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360" w:lineRule="auto"/>
        <w:ind w:left="155" w:right="290" w:hanging="8"/>
      </w:pPr>
      <w:r>
        <w:rPr/>
        <w:t>PENGARUH INDEKS KEYAKINAN KONSUMEN DAN INDIKATOR MAKROEKONOMI</w:t>
      </w:r>
      <w:r>
        <w:rPr>
          <w:spacing w:val="-4"/>
        </w:rPr>
        <w:t> </w:t>
      </w:r>
      <w:r>
        <w:rPr/>
        <w:t>TERHADAP</w:t>
      </w:r>
      <w:r>
        <w:rPr>
          <w:spacing w:val="-6"/>
        </w:rPr>
        <w:t> </w:t>
      </w:r>
      <w:r>
        <w:rPr/>
        <w:t>INDEKS</w:t>
      </w:r>
      <w:r>
        <w:rPr>
          <w:spacing w:val="-4"/>
        </w:rPr>
        <w:t> </w:t>
      </w:r>
      <w:r>
        <w:rPr/>
        <w:t>SAHAM</w:t>
      </w:r>
      <w:r>
        <w:rPr>
          <w:spacing w:val="-7"/>
        </w:rPr>
        <w:t> </w:t>
      </w:r>
      <w:r>
        <w:rPr/>
        <w:t>SYARIAH</w:t>
      </w:r>
      <w:r>
        <w:rPr>
          <w:spacing w:val="-5"/>
        </w:rPr>
        <w:t> </w:t>
      </w:r>
      <w:r>
        <w:rPr/>
        <w:t>INDONESIA</w:t>
      </w:r>
      <w:r>
        <w:rPr>
          <w:spacing w:val="-3"/>
        </w:rPr>
        <w:t> </w:t>
      </w:r>
      <w:r>
        <w:rPr/>
        <w:t>(ISSI)</w:t>
      </w:r>
    </w:p>
    <w:p>
      <w:pPr>
        <w:pStyle w:val="BodyText"/>
        <w:rPr>
          <w:b/>
        </w:rPr>
      </w:pPr>
    </w:p>
    <w:p>
      <w:pPr>
        <w:pStyle w:val="BodyText"/>
        <w:spacing w:before="183"/>
        <w:rPr>
          <w:b/>
        </w:rPr>
      </w:pPr>
    </w:p>
    <w:p>
      <w:pPr>
        <w:spacing w:before="0"/>
        <w:ind w:left="1583" w:right="1721" w:firstLine="0"/>
        <w:jc w:val="center"/>
        <w:rPr>
          <w:b/>
          <w:sz w:val="24"/>
        </w:rPr>
      </w:pPr>
      <w:r>
        <w:rPr>
          <w:b/>
          <w:spacing w:val="-2"/>
          <w:sz w:val="24"/>
        </w:rPr>
        <w:t>SKRIPSI</w:t>
      </w:r>
    </w:p>
    <w:p>
      <w:pPr>
        <w:pStyle w:val="BodyText"/>
        <w:spacing w:before="22"/>
        <w:rPr>
          <w:b/>
        </w:rPr>
      </w:pPr>
    </w:p>
    <w:p>
      <w:pPr>
        <w:pStyle w:val="BodyText"/>
        <w:spacing w:line="499" w:lineRule="auto"/>
        <w:ind w:left="1579" w:right="1721"/>
        <w:jc w:val="center"/>
      </w:pPr>
      <w:r>
        <w:rPr/>
        <w:t>Disusun</w:t>
      </w:r>
      <w:r>
        <w:rPr>
          <w:spacing w:val="-7"/>
        </w:rPr>
        <w:t> </w:t>
      </w:r>
      <w:r>
        <w:rPr/>
        <w:t>Untuk</w:t>
      </w:r>
      <w:r>
        <w:rPr>
          <w:spacing w:val="-7"/>
        </w:rPr>
        <w:t> </w:t>
      </w:r>
      <w:r>
        <w:rPr/>
        <w:t>Memenuhi</w:t>
      </w:r>
      <w:r>
        <w:rPr>
          <w:spacing w:val="-7"/>
        </w:rPr>
        <w:t> </w:t>
      </w:r>
      <w:r>
        <w:rPr/>
        <w:t>Tugas</w:t>
      </w:r>
      <w:r>
        <w:rPr>
          <w:spacing w:val="-8"/>
        </w:rPr>
        <w:t> </w:t>
      </w:r>
      <w:r>
        <w:rPr/>
        <w:t>dan</w:t>
      </w:r>
      <w:r>
        <w:rPr>
          <w:spacing w:val="-7"/>
        </w:rPr>
        <w:t> </w:t>
      </w:r>
      <w:r>
        <w:rPr/>
        <w:t>Melengkapi</w:t>
      </w:r>
      <w:r>
        <w:rPr>
          <w:spacing w:val="-5"/>
        </w:rPr>
        <w:t> </w:t>
      </w:r>
      <w:r>
        <w:rPr/>
        <w:t>Syarat Guna Memperoleh Gelar Sarjana Strata S.1</w:t>
      </w:r>
    </w:p>
    <w:p>
      <w:pPr>
        <w:pStyle w:val="BodyText"/>
        <w:spacing w:line="275" w:lineRule="exact"/>
        <w:ind w:left="1583" w:right="1721"/>
        <w:jc w:val="center"/>
      </w:pPr>
      <w:r>
        <w:rPr/>
        <w:t>dalam</w:t>
      </w:r>
      <w:r>
        <w:rPr>
          <w:spacing w:val="-2"/>
        </w:rPr>
        <w:t> </w:t>
      </w:r>
      <w:r>
        <w:rPr/>
        <w:t>Ilmu</w:t>
      </w:r>
      <w:r>
        <w:rPr>
          <w:spacing w:val="-2"/>
        </w:rPr>
        <w:t> </w:t>
      </w:r>
      <w:r>
        <w:rPr/>
        <w:t>Ekonomi </w:t>
      </w:r>
      <w:r>
        <w:rPr>
          <w:spacing w:val="-2"/>
        </w:rPr>
        <w:t>Islam</w:t>
      </w:r>
    </w:p>
    <w:p>
      <w:pPr>
        <w:pStyle w:val="BodyText"/>
        <w:rPr>
          <w:sz w:val="20"/>
        </w:rPr>
      </w:pPr>
    </w:p>
    <w:p>
      <w:pPr>
        <w:pStyle w:val="BodyText"/>
        <w:rPr>
          <w:sz w:val="20"/>
        </w:rPr>
      </w:pPr>
    </w:p>
    <w:p>
      <w:pPr>
        <w:pStyle w:val="BodyText"/>
        <w:spacing w:before="177"/>
        <w:rPr>
          <w:sz w:val="20"/>
        </w:rPr>
      </w:pPr>
      <w:r>
        <w:rPr>
          <w:sz w:val="20"/>
        </w:rPr>
        <w:drawing>
          <wp:anchor distT="0" distB="0" distL="0" distR="0" allowOverlap="1" layoutInCell="1" locked="0" behindDoc="1" simplePos="0" relativeHeight="487587840">
            <wp:simplePos x="0" y="0"/>
            <wp:positionH relativeFrom="page">
              <wp:posOffset>3111448</wp:posOffset>
            </wp:positionH>
            <wp:positionV relativeFrom="paragraph">
              <wp:posOffset>274250</wp:posOffset>
            </wp:positionV>
            <wp:extent cx="1332659" cy="1983295"/>
            <wp:effectExtent l="0" t="0" r="0" b="0"/>
            <wp:wrapTopAndBottom/>
            <wp:docPr id="1" name="Image 1" descr="A green and yellow flower with black lines  Description automatically generated"/>
            <wp:cNvGraphicFramePr>
              <a:graphicFrameLocks/>
            </wp:cNvGraphicFramePr>
            <a:graphic>
              <a:graphicData uri="http://schemas.openxmlformats.org/drawingml/2006/picture">
                <pic:pic>
                  <pic:nvPicPr>
                    <pic:cNvPr id="1" name="Image 1" descr="A green and yellow flower with black lines  Description automatically generated"/>
                    <pic:cNvPicPr/>
                  </pic:nvPicPr>
                  <pic:blipFill>
                    <a:blip r:embed="rId5" cstate="print"/>
                    <a:stretch>
                      <a:fillRect/>
                    </a:stretch>
                  </pic:blipFill>
                  <pic:spPr>
                    <a:xfrm>
                      <a:off x="0" y="0"/>
                      <a:ext cx="1332659" cy="1983295"/>
                    </a:xfrm>
                    <a:prstGeom prst="rect">
                      <a:avLst/>
                    </a:prstGeom>
                  </pic:spPr>
                </pic:pic>
              </a:graphicData>
            </a:graphic>
          </wp:anchor>
        </w:drawing>
      </w:r>
    </w:p>
    <w:p>
      <w:pPr>
        <w:pStyle w:val="BodyText"/>
      </w:pPr>
    </w:p>
    <w:p>
      <w:pPr>
        <w:pStyle w:val="BodyText"/>
      </w:pPr>
    </w:p>
    <w:p>
      <w:pPr>
        <w:pStyle w:val="BodyText"/>
        <w:spacing w:before="83"/>
      </w:pPr>
    </w:p>
    <w:p>
      <w:pPr>
        <w:pStyle w:val="BodyText"/>
        <w:ind w:left="1584" w:right="1721"/>
        <w:jc w:val="center"/>
      </w:pPr>
      <w:r>
        <w:rPr/>
        <w:t>Disusun </w:t>
      </w:r>
      <w:r>
        <w:rPr>
          <w:spacing w:val="-2"/>
        </w:rPr>
        <w:t>Oleh:</w:t>
      </w:r>
    </w:p>
    <w:p>
      <w:pPr>
        <w:pStyle w:val="BodyText"/>
        <w:spacing w:before="21"/>
      </w:pPr>
    </w:p>
    <w:p>
      <w:pPr>
        <w:spacing w:line="499" w:lineRule="auto" w:before="0"/>
        <w:ind w:left="3011" w:right="3148" w:firstLine="0"/>
        <w:jc w:val="center"/>
        <w:rPr>
          <w:b/>
          <w:sz w:val="24"/>
        </w:rPr>
      </w:pPr>
      <w:r>
        <w:rPr>
          <w:b/>
          <w:sz w:val="24"/>
        </w:rPr>
        <w:t>Nur</w:t>
      </w:r>
      <w:r>
        <w:rPr>
          <w:b/>
          <w:spacing w:val="-15"/>
          <w:sz w:val="24"/>
        </w:rPr>
        <w:t> </w:t>
      </w:r>
      <w:r>
        <w:rPr>
          <w:b/>
          <w:sz w:val="24"/>
        </w:rPr>
        <w:t>Laily</w:t>
      </w:r>
      <w:r>
        <w:rPr>
          <w:b/>
          <w:spacing w:val="-15"/>
          <w:sz w:val="24"/>
        </w:rPr>
        <w:t> </w:t>
      </w:r>
      <w:r>
        <w:rPr>
          <w:b/>
          <w:sz w:val="24"/>
        </w:rPr>
        <w:t>Hidayah </w:t>
      </w:r>
      <w:r>
        <w:rPr>
          <w:b/>
          <w:spacing w:val="-2"/>
          <w:sz w:val="24"/>
        </w:rPr>
        <w:t>2105026120</w:t>
      </w:r>
    </w:p>
    <w:p>
      <w:pPr>
        <w:pStyle w:val="BodyText"/>
        <w:rPr>
          <w:b/>
        </w:rPr>
      </w:pPr>
    </w:p>
    <w:p>
      <w:pPr>
        <w:pStyle w:val="BodyText"/>
        <w:spacing w:before="21"/>
        <w:rPr>
          <w:b/>
        </w:rPr>
      </w:pPr>
    </w:p>
    <w:p>
      <w:pPr>
        <w:spacing w:line="501" w:lineRule="auto" w:before="0"/>
        <w:ind w:left="2109" w:right="2251" w:firstLine="2"/>
        <w:jc w:val="center"/>
        <w:rPr>
          <w:b/>
          <w:sz w:val="24"/>
        </w:rPr>
      </w:pPr>
      <w:r>
        <w:rPr>
          <w:b/>
          <w:sz w:val="24"/>
        </w:rPr>
        <w:t>PROGRAM STUDI EKONOMI ISLAM FAKULTAS</w:t>
      </w:r>
      <w:r>
        <w:rPr>
          <w:b/>
          <w:spacing w:val="-10"/>
          <w:sz w:val="24"/>
        </w:rPr>
        <w:t> </w:t>
      </w:r>
      <w:r>
        <w:rPr>
          <w:b/>
          <w:sz w:val="24"/>
        </w:rPr>
        <w:t>EKONOMI</w:t>
      </w:r>
      <w:r>
        <w:rPr>
          <w:b/>
          <w:spacing w:val="-10"/>
          <w:sz w:val="24"/>
        </w:rPr>
        <w:t> </w:t>
      </w:r>
      <w:r>
        <w:rPr>
          <w:b/>
          <w:sz w:val="24"/>
        </w:rPr>
        <w:t>DAN</w:t>
      </w:r>
      <w:r>
        <w:rPr>
          <w:b/>
          <w:spacing w:val="-10"/>
          <w:sz w:val="24"/>
        </w:rPr>
        <w:t> </w:t>
      </w:r>
      <w:r>
        <w:rPr>
          <w:b/>
          <w:sz w:val="24"/>
        </w:rPr>
        <w:t>BISNIS</w:t>
      </w:r>
      <w:r>
        <w:rPr>
          <w:b/>
          <w:spacing w:val="-10"/>
          <w:sz w:val="24"/>
        </w:rPr>
        <w:t> </w:t>
      </w:r>
      <w:r>
        <w:rPr>
          <w:b/>
          <w:sz w:val="24"/>
        </w:rPr>
        <w:t>ISLAM</w:t>
      </w:r>
    </w:p>
    <w:p>
      <w:pPr>
        <w:spacing w:line="499" w:lineRule="auto" w:before="0"/>
        <w:ind w:left="1070" w:right="1215" w:firstLine="0"/>
        <w:jc w:val="center"/>
        <w:rPr>
          <w:b/>
          <w:sz w:val="24"/>
        </w:rPr>
      </w:pPr>
      <w:r>
        <w:rPr>
          <w:b/>
          <w:sz w:val="24"/>
        </w:rPr>
        <w:t>UNIVERSITAS</w:t>
      </w:r>
      <w:r>
        <w:rPr>
          <w:b/>
          <w:spacing w:val="-10"/>
          <w:sz w:val="24"/>
        </w:rPr>
        <w:t> </w:t>
      </w:r>
      <w:r>
        <w:rPr>
          <w:b/>
          <w:sz w:val="24"/>
        </w:rPr>
        <w:t>ISLAM</w:t>
      </w:r>
      <w:r>
        <w:rPr>
          <w:b/>
          <w:spacing w:val="-10"/>
          <w:sz w:val="24"/>
        </w:rPr>
        <w:t> </w:t>
      </w:r>
      <w:r>
        <w:rPr>
          <w:b/>
          <w:sz w:val="24"/>
        </w:rPr>
        <w:t>NEGERI</w:t>
      </w:r>
      <w:r>
        <w:rPr>
          <w:b/>
          <w:spacing w:val="-10"/>
          <w:sz w:val="24"/>
        </w:rPr>
        <w:t> </w:t>
      </w:r>
      <w:r>
        <w:rPr>
          <w:b/>
          <w:sz w:val="24"/>
        </w:rPr>
        <w:t>WALISONGO</w:t>
      </w:r>
      <w:r>
        <w:rPr>
          <w:b/>
          <w:spacing w:val="-9"/>
          <w:sz w:val="24"/>
        </w:rPr>
        <w:t> </w:t>
      </w:r>
      <w:r>
        <w:rPr>
          <w:b/>
          <w:sz w:val="24"/>
        </w:rPr>
        <w:t>SEMARANG </w:t>
      </w:r>
      <w:r>
        <w:rPr>
          <w:b/>
          <w:spacing w:val="-4"/>
          <w:sz w:val="24"/>
        </w:rPr>
        <w:t>2025</w:t>
      </w:r>
    </w:p>
    <w:p>
      <w:pPr>
        <w:spacing w:after="0" w:line="499" w:lineRule="auto"/>
        <w:jc w:val="center"/>
        <w:rPr>
          <w:b/>
          <w:sz w:val="24"/>
        </w:rPr>
        <w:sectPr>
          <w:type w:val="continuous"/>
          <w:pgSz w:w="11910" w:h="16840"/>
          <w:pgMar w:top="1360" w:bottom="280" w:left="1417" w:right="1275"/>
        </w:sectPr>
      </w:pPr>
    </w:p>
    <w:p>
      <w:pPr>
        <w:pStyle w:val="Heading1"/>
        <w:ind w:left="1579" w:right="1722"/>
      </w:pPr>
      <w:bookmarkStart w:name="_bookmark0" w:id="1"/>
      <w:bookmarkEnd w:id="1"/>
      <w:r>
        <w:rPr>
          <w:b w:val="0"/>
        </w:rPr>
      </w:r>
      <w:r>
        <w:rPr/>
        <w:t>LEMBAR</w:t>
      </w:r>
      <w:r>
        <w:rPr>
          <w:spacing w:val="-6"/>
        </w:rPr>
        <w:t> </w:t>
      </w:r>
      <w:r>
        <w:rPr/>
        <w:t>PERSETUJUAN</w:t>
      </w:r>
      <w:r>
        <w:rPr>
          <w:spacing w:val="-6"/>
        </w:rPr>
        <w:t> </w:t>
      </w:r>
      <w:r>
        <w:rPr>
          <w:spacing w:val="-2"/>
        </w:rPr>
        <w:t>PEMBIMBING</w:t>
      </w:r>
    </w:p>
    <w:p>
      <w:pPr>
        <w:pStyle w:val="BodyText"/>
        <w:spacing w:before="45"/>
        <w:rPr>
          <w:b/>
          <w:sz w:val="20"/>
        </w:rPr>
      </w:pPr>
      <w:r>
        <w:rPr>
          <w:b/>
          <w:sz w:val="20"/>
        </w:rPr>
        <w:drawing>
          <wp:anchor distT="0" distB="0" distL="0" distR="0" allowOverlap="1" layoutInCell="1" locked="0" behindDoc="1" simplePos="0" relativeHeight="487588352">
            <wp:simplePos x="0" y="0"/>
            <wp:positionH relativeFrom="page">
              <wp:posOffset>1357775</wp:posOffset>
            </wp:positionH>
            <wp:positionV relativeFrom="paragraph">
              <wp:posOffset>189852</wp:posOffset>
            </wp:positionV>
            <wp:extent cx="4911403" cy="6949440"/>
            <wp:effectExtent l="0" t="0" r="0" b="0"/>
            <wp:wrapTopAndBottom/>
            <wp:docPr id="3" name="Image 3" descr="A close-up of a document  AI-generated content may be incorrect."/>
            <wp:cNvGraphicFramePr>
              <a:graphicFrameLocks/>
            </wp:cNvGraphicFramePr>
            <a:graphic>
              <a:graphicData uri="http://schemas.openxmlformats.org/drawingml/2006/picture">
                <pic:pic>
                  <pic:nvPicPr>
                    <pic:cNvPr id="3" name="Image 3" descr="A close-up of a document  AI-generated content may be incorrect."/>
                    <pic:cNvPicPr/>
                  </pic:nvPicPr>
                  <pic:blipFill>
                    <a:blip r:embed="rId7" cstate="print"/>
                    <a:stretch>
                      <a:fillRect/>
                    </a:stretch>
                  </pic:blipFill>
                  <pic:spPr>
                    <a:xfrm>
                      <a:off x="0" y="0"/>
                      <a:ext cx="4911403" cy="6949440"/>
                    </a:xfrm>
                    <a:prstGeom prst="rect">
                      <a:avLst/>
                    </a:prstGeom>
                  </pic:spPr>
                </pic:pic>
              </a:graphicData>
            </a:graphic>
          </wp:anchor>
        </w:drawing>
      </w:r>
    </w:p>
    <w:p>
      <w:pPr>
        <w:pStyle w:val="BodyText"/>
        <w:spacing w:after="0"/>
        <w:rPr>
          <w:b/>
          <w:sz w:val="20"/>
        </w:rPr>
        <w:sectPr>
          <w:footerReference w:type="default" r:id="rId6"/>
          <w:pgSz w:w="11910" w:h="16840"/>
          <w:pgMar w:header="0" w:footer="1000" w:top="1360" w:bottom="1200" w:left="1417" w:right="1275"/>
          <w:pgNumType w:start="1"/>
        </w:sectPr>
      </w:pPr>
    </w:p>
    <w:p>
      <w:pPr>
        <w:pStyle w:val="Heading1"/>
      </w:pPr>
      <w:bookmarkStart w:name="_bookmark1" w:id="2"/>
      <w:bookmarkEnd w:id="2"/>
      <w:r>
        <w:rPr>
          <w:b w:val="0"/>
        </w:rPr>
      </w:r>
      <w:r>
        <w:rPr/>
        <w:t>LEMBAR</w:t>
      </w:r>
      <w:r>
        <w:rPr>
          <w:spacing w:val="-3"/>
        </w:rPr>
        <w:t> </w:t>
      </w:r>
      <w:r>
        <w:rPr>
          <w:spacing w:val="-2"/>
        </w:rPr>
        <w:t>PENGESAHAN</w:t>
      </w:r>
    </w:p>
    <w:p>
      <w:pPr>
        <w:pStyle w:val="BodyText"/>
        <w:spacing w:before="45"/>
        <w:rPr>
          <w:b/>
          <w:sz w:val="20"/>
        </w:rPr>
      </w:pPr>
      <w:r>
        <w:rPr>
          <w:b/>
          <w:sz w:val="20"/>
        </w:rPr>
        <w:drawing>
          <wp:anchor distT="0" distB="0" distL="0" distR="0" allowOverlap="1" layoutInCell="1" locked="0" behindDoc="1" simplePos="0" relativeHeight="487588864">
            <wp:simplePos x="0" y="0"/>
            <wp:positionH relativeFrom="page">
              <wp:posOffset>914400</wp:posOffset>
            </wp:positionH>
            <wp:positionV relativeFrom="paragraph">
              <wp:posOffset>189852</wp:posOffset>
            </wp:positionV>
            <wp:extent cx="5237901" cy="7831835"/>
            <wp:effectExtent l="0" t="0" r="0" b="0"/>
            <wp:wrapTopAndBottom/>
            <wp:docPr id="4" name="Image 4" descr="Close-up of a document  AI-generated content may be incorrect."/>
            <wp:cNvGraphicFramePr>
              <a:graphicFrameLocks/>
            </wp:cNvGraphicFramePr>
            <a:graphic>
              <a:graphicData uri="http://schemas.openxmlformats.org/drawingml/2006/picture">
                <pic:pic>
                  <pic:nvPicPr>
                    <pic:cNvPr id="4" name="Image 4" descr="Close-up of a document  AI-generated content may be incorrect."/>
                    <pic:cNvPicPr/>
                  </pic:nvPicPr>
                  <pic:blipFill>
                    <a:blip r:embed="rId8" cstate="print"/>
                    <a:stretch>
                      <a:fillRect/>
                    </a:stretch>
                  </pic:blipFill>
                  <pic:spPr>
                    <a:xfrm>
                      <a:off x="0" y="0"/>
                      <a:ext cx="5237901" cy="7831835"/>
                    </a:xfrm>
                    <a:prstGeom prst="rect">
                      <a:avLst/>
                    </a:prstGeom>
                  </pic:spPr>
                </pic:pic>
              </a:graphicData>
            </a:graphic>
          </wp:anchor>
        </w:drawing>
      </w:r>
    </w:p>
    <w:p>
      <w:pPr>
        <w:pStyle w:val="BodyText"/>
        <w:spacing w:after="0"/>
        <w:rPr>
          <w:b/>
          <w:sz w:val="20"/>
        </w:rPr>
        <w:sectPr>
          <w:pgSz w:w="11910" w:h="16840"/>
          <w:pgMar w:header="0" w:footer="1000" w:top="1360" w:bottom="1200" w:left="1417" w:right="1275"/>
        </w:sectPr>
      </w:pPr>
    </w:p>
    <w:p>
      <w:pPr>
        <w:pStyle w:val="Heading1"/>
        <w:ind w:left="1585"/>
      </w:pPr>
      <w:bookmarkStart w:name="_bookmark2" w:id="3"/>
      <w:bookmarkEnd w:id="3"/>
      <w:r>
        <w:rPr>
          <w:b w:val="0"/>
        </w:rPr>
      </w:r>
      <w:r>
        <w:rPr>
          <w:spacing w:val="-2"/>
        </w:rPr>
        <w:t>MOTTO</w:t>
      </w:r>
    </w:p>
    <w:p>
      <w:pPr>
        <w:pStyle w:val="BodyText"/>
        <w:rPr>
          <w:b/>
          <w:sz w:val="20"/>
        </w:rPr>
      </w:pPr>
    </w:p>
    <w:p>
      <w:pPr>
        <w:pStyle w:val="BodyText"/>
        <w:spacing w:before="194"/>
        <w:rPr>
          <w:b/>
          <w:sz w:val="20"/>
        </w:rPr>
      </w:pPr>
    </w:p>
    <w:p>
      <w:pPr>
        <w:pStyle w:val="BodyText"/>
        <w:spacing w:after="0"/>
        <w:rPr>
          <w:b/>
          <w:sz w:val="20"/>
        </w:rPr>
        <w:sectPr>
          <w:pgSz w:w="11910" w:h="16840"/>
          <w:pgMar w:header="0" w:footer="1000" w:top="1360" w:bottom="1200" w:left="1417" w:right="1275"/>
        </w:sectPr>
      </w:pPr>
    </w:p>
    <w:p>
      <w:pPr>
        <w:bidi/>
        <w:spacing w:before="103"/>
        <w:ind w:right="3590" w:left="0" w:firstLine="0"/>
        <w:jc w:val="left"/>
        <w:rPr>
          <w:b/>
          <w:bCs/>
          <w:sz w:val="52"/>
          <w:szCs w:val="52"/>
        </w:rPr>
      </w:pPr>
      <w:r>
        <w:rPr>
          <w:b/>
          <w:bCs/>
          <w:w w:val="96"/>
          <w:sz w:val="52"/>
          <w:szCs w:val="52"/>
          <w:rtl/>
        </w:rPr>
        <w:t>وَجَد</w:t>
      </w:r>
      <w:r>
        <w:rPr>
          <w:b/>
          <w:bCs/>
          <w:w w:val="96"/>
          <w:sz w:val="52"/>
          <w:szCs w:val="52"/>
          <w:rtl/>
        </w:rPr>
        <w:t>َ</w:t>
      </w:r>
    </w:p>
    <w:p>
      <w:pPr>
        <w:bidi/>
        <w:spacing w:before="103"/>
        <w:ind w:right="89" w:left="0" w:firstLine="0"/>
        <w:jc w:val="left"/>
        <w:rPr>
          <w:b/>
          <w:bCs/>
          <w:sz w:val="52"/>
          <w:szCs w:val="52"/>
        </w:rPr>
      </w:pPr>
      <w:r>
        <w:rPr>
          <w:rtl/>
        </w:rPr>
        <w:br w:type="column"/>
      </w:r>
      <w:r>
        <w:rPr>
          <w:b/>
          <w:bCs/>
          <w:w w:val="57"/>
          <w:sz w:val="52"/>
          <w:szCs w:val="52"/>
          <w:rtl/>
        </w:rPr>
        <w:t>جَ</w:t>
      </w:r>
      <w:r>
        <w:rPr>
          <w:b/>
          <w:bCs/>
          <w:spacing w:val="29"/>
          <w:w w:val="57"/>
          <w:sz w:val="52"/>
          <w:szCs w:val="52"/>
          <w:rtl/>
        </w:rPr>
        <w:t> </w:t>
      </w:r>
      <w:r>
        <w:rPr>
          <w:b/>
          <w:bCs/>
          <w:w w:val="57"/>
          <w:sz w:val="52"/>
          <w:szCs w:val="52"/>
          <w:rtl/>
        </w:rPr>
        <w:t>د</w:t>
      </w:r>
    </w:p>
    <w:p>
      <w:pPr>
        <w:spacing w:before="83"/>
        <w:ind w:left="90" w:right="0" w:firstLine="0"/>
        <w:jc w:val="left"/>
        <w:rPr>
          <w:b/>
          <w:bCs/>
          <w:sz w:val="52"/>
          <w:szCs w:val="52"/>
        </w:rPr>
      </w:pPr>
      <w:r>
        <w:rPr/>
        <w:br w:type="column"/>
      </w:r>
      <w:r>
        <w:rPr>
          <w:b/>
          <w:bCs/>
          <w:spacing w:val="-211"/>
          <w:sz w:val="52"/>
          <w:szCs w:val="52"/>
          <w:rtl/>
        </w:rPr>
        <w:t>ن</w:t>
      </w:r>
      <w:r>
        <w:rPr>
          <w:b/>
          <w:bCs/>
          <w:spacing w:val="-211"/>
          <w:position w:val="2"/>
          <w:sz w:val="52"/>
          <w:szCs w:val="52"/>
        </w:rPr>
        <w:t>˚</w:t>
      </w:r>
      <w:r>
        <w:rPr>
          <w:b/>
          <w:bCs/>
          <w:spacing w:val="79"/>
          <w:position w:val="2"/>
          <w:sz w:val="52"/>
          <w:szCs w:val="52"/>
        </w:rPr>
        <w:t> </w:t>
      </w:r>
      <w:r>
        <w:rPr>
          <w:b/>
          <w:bCs/>
          <w:spacing w:val="-11"/>
          <w:w w:val="110"/>
          <w:sz w:val="52"/>
          <w:szCs w:val="52"/>
          <w:rtl/>
        </w:rPr>
        <w:t>َ</w:t>
      </w:r>
      <w:r>
        <w:rPr>
          <w:b/>
          <w:bCs/>
          <w:spacing w:val="-11"/>
          <w:w w:val="110"/>
          <w:sz w:val="52"/>
          <w:szCs w:val="52"/>
          <w:rtl/>
        </w:rPr>
        <w:t>م</w:t>
      </w:r>
    </w:p>
    <w:p>
      <w:pPr>
        <w:spacing w:after="0"/>
        <w:jc w:val="left"/>
        <w:rPr>
          <w:b/>
          <w:sz w:val="52"/>
          <w:szCs w:val="52"/>
        </w:rPr>
        <w:sectPr>
          <w:type w:val="continuous"/>
          <w:pgSz w:w="11910" w:h="16840"/>
          <w:pgMar w:header="0" w:footer="1000" w:top="1360" w:bottom="280" w:left="1417" w:right="1275"/>
          <w:cols w:num="3" w:equalWidth="0">
            <w:col w:w="4277" w:space="40"/>
            <w:col w:w="541" w:space="39"/>
            <w:col w:w="4321"/>
          </w:cols>
        </w:sectPr>
      </w:pPr>
    </w:p>
    <w:p>
      <w:pPr>
        <w:pStyle w:val="BodyText"/>
        <w:spacing w:before="182"/>
        <w:rPr>
          <w:b/>
        </w:rPr>
      </w:pPr>
    </w:p>
    <w:p>
      <w:pPr>
        <w:pStyle w:val="BodyText"/>
        <w:ind w:left="1581" w:right="1721"/>
        <w:jc w:val="center"/>
      </w:pPr>
      <w:r>
        <w:rPr/>
        <w:t>“Barang</w:t>
      </w:r>
      <w:r>
        <w:rPr>
          <w:spacing w:val="-3"/>
        </w:rPr>
        <w:t> </w:t>
      </w:r>
      <w:r>
        <w:rPr/>
        <w:t>siapa</w:t>
      </w:r>
      <w:r>
        <w:rPr>
          <w:spacing w:val="-2"/>
        </w:rPr>
        <w:t> </w:t>
      </w:r>
      <w:r>
        <w:rPr/>
        <w:t>bersungguh-sungguh,</w:t>
      </w:r>
      <w:r>
        <w:rPr>
          <w:spacing w:val="-1"/>
        </w:rPr>
        <w:t> </w:t>
      </w:r>
      <w:r>
        <w:rPr/>
        <w:t>maka</w:t>
      </w:r>
      <w:r>
        <w:rPr>
          <w:spacing w:val="-2"/>
        </w:rPr>
        <w:t> </w:t>
      </w:r>
      <w:r>
        <w:rPr/>
        <w:t>ia</w:t>
      </w:r>
      <w:r>
        <w:rPr>
          <w:spacing w:val="-1"/>
        </w:rPr>
        <w:t> </w:t>
      </w:r>
      <w:r>
        <w:rPr/>
        <w:t>akan</w:t>
      </w:r>
      <w:r>
        <w:rPr>
          <w:spacing w:val="2"/>
        </w:rPr>
        <w:t> </w:t>
      </w:r>
      <w:r>
        <w:rPr>
          <w:spacing w:val="-2"/>
        </w:rPr>
        <w:t>berhasil”</w:t>
      </w:r>
    </w:p>
    <w:p>
      <w:pPr>
        <w:pStyle w:val="BodyText"/>
      </w:pPr>
    </w:p>
    <w:p>
      <w:pPr>
        <w:pStyle w:val="BodyText"/>
      </w:pPr>
    </w:p>
    <w:p>
      <w:pPr>
        <w:pStyle w:val="BodyText"/>
        <w:spacing w:before="45"/>
      </w:pPr>
    </w:p>
    <w:p>
      <w:pPr>
        <w:pStyle w:val="BodyText"/>
        <w:spacing w:before="1"/>
        <w:ind w:left="1580" w:right="1721"/>
        <w:jc w:val="center"/>
      </w:pPr>
      <w:r>
        <w:rPr/>
        <w:t>“Rahasia</w:t>
      </w:r>
      <w:r>
        <w:rPr>
          <w:spacing w:val="-3"/>
        </w:rPr>
        <w:t> </w:t>
      </w:r>
      <w:r>
        <w:rPr/>
        <w:t>untuk maju</w:t>
      </w:r>
      <w:r>
        <w:rPr>
          <w:spacing w:val="-1"/>
        </w:rPr>
        <w:t> </w:t>
      </w:r>
      <w:r>
        <w:rPr/>
        <w:t>adalah </w:t>
      </w:r>
      <w:r>
        <w:rPr>
          <w:spacing w:val="-2"/>
        </w:rPr>
        <w:t>memulai”</w:t>
      </w:r>
    </w:p>
    <w:p>
      <w:pPr>
        <w:pStyle w:val="BodyText"/>
        <w:spacing w:before="22"/>
      </w:pPr>
    </w:p>
    <w:p>
      <w:pPr>
        <w:pStyle w:val="BodyText"/>
        <w:ind w:left="1579" w:right="1721"/>
        <w:jc w:val="center"/>
      </w:pPr>
      <w:r>
        <w:rPr/>
        <w:t>(Mark</w:t>
      </w:r>
      <w:r>
        <w:rPr>
          <w:spacing w:val="-4"/>
        </w:rPr>
        <w:t> </w:t>
      </w:r>
      <w:r>
        <w:rPr>
          <w:spacing w:val="-2"/>
        </w:rPr>
        <w:t>Twain)</w:t>
      </w:r>
    </w:p>
    <w:p>
      <w:pPr>
        <w:pStyle w:val="BodyText"/>
      </w:pPr>
    </w:p>
    <w:p>
      <w:pPr>
        <w:pStyle w:val="BodyText"/>
      </w:pPr>
    </w:p>
    <w:p>
      <w:pPr>
        <w:pStyle w:val="BodyText"/>
        <w:spacing w:before="43"/>
      </w:pPr>
    </w:p>
    <w:p>
      <w:pPr>
        <w:pStyle w:val="BodyText"/>
        <w:spacing w:line="360" w:lineRule="auto"/>
        <w:ind w:left="69" w:right="209"/>
        <w:jc w:val="center"/>
      </w:pPr>
      <w:r>
        <w:rPr/>
        <w:t>“Bahkan</w:t>
      </w:r>
      <w:r>
        <w:rPr>
          <w:spacing w:val="-3"/>
        </w:rPr>
        <w:t> </w:t>
      </w:r>
      <w:r>
        <w:rPr/>
        <w:t>dari</w:t>
      </w:r>
      <w:r>
        <w:rPr>
          <w:spacing w:val="-3"/>
        </w:rPr>
        <w:t> </w:t>
      </w:r>
      <w:r>
        <w:rPr/>
        <w:t>hal</w:t>
      </w:r>
      <w:r>
        <w:rPr>
          <w:spacing w:val="-3"/>
        </w:rPr>
        <w:t> </w:t>
      </w:r>
      <w:r>
        <w:rPr/>
        <w:t>terburuk</w:t>
      </w:r>
      <w:r>
        <w:rPr>
          <w:spacing w:val="-3"/>
        </w:rPr>
        <w:t> </w:t>
      </w:r>
      <w:r>
        <w:rPr/>
        <w:t>sekali</w:t>
      </w:r>
      <w:r>
        <w:rPr>
          <w:spacing w:val="-3"/>
        </w:rPr>
        <w:t> </w:t>
      </w:r>
      <w:r>
        <w:rPr/>
        <w:t>pun,</w:t>
      </w:r>
      <w:r>
        <w:rPr>
          <w:spacing w:val="-3"/>
        </w:rPr>
        <w:t> </w:t>
      </w:r>
      <w:r>
        <w:rPr/>
        <w:t>akan</w:t>
      </w:r>
      <w:r>
        <w:rPr>
          <w:spacing w:val="-2"/>
        </w:rPr>
        <w:t> </w:t>
      </w:r>
      <w:r>
        <w:rPr/>
        <w:t>ada</w:t>
      </w:r>
      <w:r>
        <w:rPr>
          <w:spacing w:val="-4"/>
        </w:rPr>
        <w:t> </w:t>
      </w:r>
      <w:r>
        <w:rPr/>
        <w:t>waktunya</w:t>
      </w:r>
      <w:r>
        <w:rPr>
          <w:spacing w:val="-3"/>
        </w:rPr>
        <w:t> </w:t>
      </w:r>
      <w:r>
        <w:rPr/>
        <w:t>kita</w:t>
      </w:r>
      <w:r>
        <w:rPr>
          <w:spacing w:val="-3"/>
        </w:rPr>
        <w:t> </w:t>
      </w:r>
      <w:r>
        <w:rPr/>
        <w:t>menang.</w:t>
      </w:r>
      <w:r>
        <w:rPr>
          <w:spacing w:val="-3"/>
        </w:rPr>
        <w:t> </w:t>
      </w:r>
      <w:r>
        <w:rPr/>
        <w:t>Perihal</w:t>
      </w:r>
      <w:r>
        <w:rPr>
          <w:spacing w:val="-3"/>
        </w:rPr>
        <w:t> </w:t>
      </w:r>
      <w:r>
        <w:rPr/>
        <w:t>kapan</w:t>
      </w:r>
      <w:r>
        <w:rPr>
          <w:spacing w:val="-3"/>
        </w:rPr>
        <w:t> </w:t>
      </w:r>
      <w:r>
        <w:rPr/>
        <w:t>tibanya itu, Tuhan senang menyembunyikannya dari kita”</w:t>
      </w:r>
    </w:p>
    <w:p>
      <w:pPr>
        <w:pStyle w:val="BodyText"/>
        <w:spacing w:before="161"/>
        <w:ind w:right="139"/>
        <w:jc w:val="center"/>
      </w:pPr>
      <w:r>
        <w:rPr/>
        <w:t>(Khoirul</w:t>
      </w:r>
      <w:r>
        <w:rPr>
          <w:spacing w:val="-3"/>
        </w:rPr>
        <w:t> </w:t>
      </w:r>
      <w:r>
        <w:rPr>
          <w:spacing w:val="-2"/>
        </w:rPr>
        <w:t>Trian)</w:t>
      </w:r>
    </w:p>
    <w:p>
      <w:pPr>
        <w:pStyle w:val="BodyText"/>
      </w:pPr>
    </w:p>
    <w:p>
      <w:pPr>
        <w:pStyle w:val="BodyText"/>
      </w:pPr>
    </w:p>
    <w:p>
      <w:pPr>
        <w:pStyle w:val="BodyText"/>
        <w:spacing w:before="43"/>
      </w:pPr>
    </w:p>
    <w:p>
      <w:pPr>
        <w:pStyle w:val="BodyText"/>
        <w:spacing w:line="360" w:lineRule="auto"/>
        <w:ind w:right="142"/>
        <w:jc w:val="center"/>
      </w:pPr>
      <w:r>
        <w:rPr/>
        <w:t>“Tidak</w:t>
      </w:r>
      <w:r>
        <w:rPr>
          <w:spacing w:val="-3"/>
        </w:rPr>
        <w:t> </w:t>
      </w:r>
      <w:r>
        <w:rPr/>
        <w:t>ada</w:t>
      </w:r>
      <w:r>
        <w:rPr>
          <w:spacing w:val="-4"/>
        </w:rPr>
        <w:t> </w:t>
      </w:r>
      <w:r>
        <w:rPr/>
        <w:t>yang</w:t>
      </w:r>
      <w:r>
        <w:rPr>
          <w:spacing w:val="-3"/>
        </w:rPr>
        <w:t> </w:t>
      </w:r>
      <w:r>
        <w:rPr/>
        <w:t>tidak</w:t>
      </w:r>
      <w:r>
        <w:rPr>
          <w:spacing w:val="-3"/>
        </w:rPr>
        <w:t> </w:t>
      </w:r>
      <w:r>
        <w:rPr/>
        <w:t>mungkin</w:t>
      </w:r>
      <w:r>
        <w:rPr>
          <w:spacing w:val="-3"/>
        </w:rPr>
        <w:t> </w:t>
      </w:r>
      <w:r>
        <w:rPr/>
        <w:t>di</w:t>
      </w:r>
      <w:r>
        <w:rPr>
          <w:spacing w:val="-3"/>
        </w:rPr>
        <w:t> </w:t>
      </w:r>
      <w:r>
        <w:rPr/>
        <w:t>dunia</w:t>
      </w:r>
      <w:r>
        <w:rPr>
          <w:spacing w:val="-3"/>
        </w:rPr>
        <w:t> </w:t>
      </w:r>
      <w:r>
        <w:rPr/>
        <w:t>ini.</w:t>
      </w:r>
      <w:r>
        <w:rPr>
          <w:spacing w:val="-3"/>
        </w:rPr>
        <w:t> </w:t>
      </w:r>
      <w:r>
        <w:rPr/>
        <w:t>Manusia</w:t>
      </w:r>
      <w:r>
        <w:rPr>
          <w:spacing w:val="-3"/>
        </w:rPr>
        <w:t> </w:t>
      </w:r>
      <w:r>
        <w:rPr/>
        <w:t>hanya</w:t>
      </w:r>
      <w:r>
        <w:rPr>
          <w:spacing w:val="-4"/>
        </w:rPr>
        <w:t> </w:t>
      </w:r>
      <w:r>
        <w:rPr/>
        <w:t>perlu</w:t>
      </w:r>
      <w:r>
        <w:rPr>
          <w:spacing w:val="-3"/>
        </w:rPr>
        <w:t> </w:t>
      </w:r>
      <w:r>
        <w:rPr/>
        <w:t>berjuang</w:t>
      </w:r>
      <w:r>
        <w:rPr>
          <w:spacing w:val="-3"/>
        </w:rPr>
        <w:t> </w:t>
      </w:r>
      <w:r>
        <w:rPr/>
        <w:t>lebih</w:t>
      </w:r>
      <w:r>
        <w:rPr>
          <w:spacing w:val="-3"/>
        </w:rPr>
        <w:t> </w:t>
      </w:r>
      <w:r>
        <w:rPr/>
        <w:t>keras</w:t>
      </w:r>
      <w:r>
        <w:rPr>
          <w:spacing w:val="-4"/>
        </w:rPr>
        <w:t> </w:t>
      </w:r>
      <w:r>
        <w:rPr/>
        <w:t>dan selalu meminta pertolongan Allah dalam setiap langkahnya”</w:t>
      </w:r>
    </w:p>
    <w:p>
      <w:pPr>
        <w:pStyle w:val="BodyText"/>
        <w:spacing w:before="162"/>
        <w:ind w:left="1579" w:right="1721"/>
        <w:jc w:val="center"/>
      </w:pPr>
      <w:r>
        <w:rPr/>
        <w:t>(Nur</w:t>
      </w:r>
      <w:r>
        <w:rPr>
          <w:spacing w:val="-3"/>
        </w:rPr>
        <w:t> </w:t>
      </w:r>
      <w:r>
        <w:rPr/>
        <w:t>Laily</w:t>
      </w:r>
      <w:r>
        <w:rPr>
          <w:spacing w:val="-2"/>
        </w:rPr>
        <w:t> Hidayah)</w:t>
      </w:r>
    </w:p>
    <w:p>
      <w:pPr>
        <w:pStyle w:val="BodyText"/>
        <w:spacing w:after="0"/>
        <w:jc w:val="center"/>
        <w:sectPr>
          <w:type w:val="continuous"/>
          <w:pgSz w:w="11910" w:h="16840"/>
          <w:pgMar w:header="0" w:footer="1000" w:top="1360" w:bottom="280" w:left="1417" w:right="1275"/>
        </w:sectPr>
      </w:pPr>
    </w:p>
    <w:p>
      <w:pPr>
        <w:pStyle w:val="Heading1"/>
      </w:pPr>
      <w:bookmarkStart w:name="_bookmark3" w:id="4"/>
      <w:bookmarkEnd w:id="4"/>
      <w:r>
        <w:rPr>
          <w:b w:val="0"/>
        </w:rPr>
      </w:r>
      <w:r>
        <w:rPr>
          <w:spacing w:val="-2"/>
        </w:rPr>
        <w:t>PERSEMBAHAN</w:t>
      </w:r>
    </w:p>
    <w:p>
      <w:pPr>
        <w:pStyle w:val="BodyText"/>
        <w:spacing w:before="22"/>
        <w:rPr>
          <w:b/>
        </w:rPr>
      </w:pPr>
    </w:p>
    <w:p>
      <w:pPr>
        <w:pStyle w:val="BodyText"/>
        <w:spacing w:line="360" w:lineRule="auto"/>
        <w:ind w:left="23" w:right="158" w:firstLine="719"/>
        <w:jc w:val="both"/>
      </w:pPr>
      <w:r>
        <w:rPr/>
        <w:t>Skripsi</w:t>
      </w:r>
      <w:r>
        <w:rPr>
          <w:spacing w:val="-3"/>
        </w:rPr>
        <w:t> </w:t>
      </w:r>
      <w:r>
        <w:rPr/>
        <w:t>ini</w:t>
      </w:r>
      <w:r>
        <w:rPr>
          <w:spacing w:val="-3"/>
        </w:rPr>
        <w:t> </w:t>
      </w:r>
      <w:r>
        <w:rPr/>
        <w:t>spesial</w:t>
      </w:r>
      <w:r>
        <w:rPr>
          <w:spacing w:val="-3"/>
        </w:rPr>
        <w:t> </w:t>
      </w:r>
      <w:r>
        <w:rPr/>
        <w:t>penulis</w:t>
      </w:r>
      <w:r>
        <w:rPr>
          <w:spacing w:val="-4"/>
        </w:rPr>
        <w:t> </w:t>
      </w:r>
      <w:r>
        <w:rPr/>
        <w:t>persembahkan</w:t>
      </w:r>
      <w:r>
        <w:rPr>
          <w:spacing w:val="-3"/>
        </w:rPr>
        <w:t> </w:t>
      </w:r>
      <w:r>
        <w:rPr/>
        <w:t>untuk</w:t>
      </w:r>
      <w:r>
        <w:rPr>
          <w:spacing w:val="-3"/>
        </w:rPr>
        <w:t> </w:t>
      </w:r>
      <w:r>
        <w:rPr/>
        <w:t>orang</w:t>
      </w:r>
      <w:r>
        <w:rPr>
          <w:spacing w:val="-3"/>
        </w:rPr>
        <w:t> </w:t>
      </w:r>
      <w:r>
        <w:rPr/>
        <w:t>teristimewa</w:t>
      </w:r>
      <w:r>
        <w:rPr>
          <w:spacing w:val="-5"/>
        </w:rPr>
        <w:t> </w:t>
      </w:r>
      <w:r>
        <w:rPr/>
        <w:t>dalam</w:t>
      </w:r>
      <w:r>
        <w:rPr>
          <w:spacing w:val="-3"/>
        </w:rPr>
        <w:t> </w:t>
      </w:r>
      <w:r>
        <w:rPr/>
        <w:t>hidup</w:t>
      </w:r>
      <w:r>
        <w:rPr>
          <w:spacing w:val="-3"/>
        </w:rPr>
        <w:t> </w:t>
      </w:r>
      <w:r>
        <w:rPr/>
        <w:t>penulis yaitu</w:t>
      </w:r>
      <w:r>
        <w:rPr>
          <w:spacing w:val="-10"/>
        </w:rPr>
        <w:t> </w:t>
      </w:r>
      <w:r>
        <w:rPr/>
        <w:t>Ibu</w:t>
      </w:r>
      <w:r>
        <w:rPr>
          <w:spacing w:val="-10"/>
        </w:rPr>
        <w:t> </w:t>
      </w:r>
      <w:r>
        <w:rPr/>
        <w:t>Siti</w:t>
      </w:r>
      <w:r>
        <w:rPr>
          <w:spacing w:val="-9"/>
        </w:rPr>
        <w:t> </w:t>
      </w:r>
      <w:r>
        <w:rPr/>
        <w:t>Usifah</w:t>
      </w:r>
      <w:r>
        <w:rPr>
          <w:spacing w:val="-10"/>
        </w:rPr>
        <w:t> </w:t>
      </w:r>
      <w:r>
        <w:rPr/>
        <w:t>dan</w:t>
      </w:r>
      <w:r>
        <w:rPr>
          <w:spacing w:val="-7"/>
        </w:rPr>
        <w:t> </w:t>
      </w:r>
      <w:r>
        <w:rPr/>
        <w:t>Bapak</w:t>
      </w:r>
      <w:r>
        <w:rPr>
          <w:spacing w:val="-10"/>
        </w:rPr>
        <w:t> </w:t>
      </w:r>
      <w:r>
        <w:rPr/>
        <w:t>Karsidi</w:t>
      </w:r>
      <w:r>
        <w:rPr>
          <w:spacing w:val="-9"/>
        </w:rPr>
        <w:t> </w:t>
      </w:r>
      <w:r>
        <w:rPr/>
        <w:t>(Alm)</w:t>
      </w:r>
      <w:r>
        <w:rPr>
          <w:spacing w:val="-10"/>
        </w:rPr>
        <w:t> </w:t>
      </w:r>
      <w:r>
        <w:rPr/>
        <w:t>selaku</w:t>
      </w:r>
      <w:r>
        <w:rPr>
          <w:spacing w:val="-10"/>
        </w:rPr>
        <w:t> </w:t>
      </w:r>
      <w:r>
        <w:rPr/>
        <w:t>kedua</w:t>
      </w:r>
      <w:r>
        <w:rPr>
          <w:spacing w:val="-11"/>
        </w:rPr>
        <w:t> </w:t>
      </w:r>
      <w:r>
        <w:rPr/>
        <w:t>orang</w:t>
      </w:r>
      <w:r>
        <w:rPr>
          <w:spacing w:val="-10"/>
        </w:rPr>
        <w:t> </w:t>
      </w:r>
      <w:r>
        <w:rPr/>
        <w:t>tua.</w:t>
      </w:r>
      <w:r>
        <w:rPr>
          <w:spacing w:val="-10"/>
        </w:rPr>
        <w:t> </w:t>
      </w:r>
      <w:r>
        <w:rPr/>
        <w:t>Tiada</w:t>
      </w:r>
      <w:r>
        <w:rPr>
          <w:spacing w:val="-11"/>
        </w:rPr>
        <w:t> </w:t>
      </w:r>
      <w:r>
        <w:rPr/>
        <w:t>untaian</w:t>
      </w:r>
      <w:r>
        <w:rPr>
          <w:spacing w:val="-10"/>
        </w:rPr>
        <w:t> </w:t>
      </w:r>
      <w:r>
        <w:rPr/>
        <w:t>kata</w:t>
      </w:r>
      <w:r>
        <w:rPr>
          <w:spacing w:val="-11"/>
        </w:rPr>
        <w:t> </w:t>
      </w:r>
      <w:r>
        <w:rPr/>
        <w:t>yang cukup</w:t>
      </w:r>
      <w:r>
        <w:rPr>
          <w:spacing w:val="-15"/>
        </w:rPr>
        <w:t> </w:t>
      </w:r>
      <w:r>
        <w:rPr/>
        <w:t>untuk</w:t>
      </w:r>
      <w:r>
        <w:rPr>
          <w:spacing w:val="-15"/>
        </w:rPr>
        <w:t> </w:t>
      </w:r>
      <w:r>
        <w:rPr/>
        <w:t>menggambarkan</w:t>
      </w:r>
      <w:r>
        <w:rPr>
          <w:spacing w:val="-15"/>
        </w:rPr>
        <w:t> </w:t>
      </w:r>
      <w:r>
        <w:rPr/>
        <w:t>kasih</w:t>
      </w:r>
      <w:r>
        <w:rPr>
          <w:spacing w:val="-15"/>
        </w:rPr>
        <w:t> </w:t>
      </w:r>
      <w:r>
        <w:rPr/>
        <w:t>sayang</w:t>
      </w:r>
      <w:r>
        <w:rPr>
          <w:spacing w:val="-13"/>
        </w:rPr>
        <w:t> </w:t>
      </w:r>
      <w:r>
        <w:rPr/>
        <w:t>penulis</w:t>
      </w:r>
      <w:r>
        <w:rPr>
          <w:spacing w:val="-13"/>
        </w:rPr>
        <w:t> </w:t>
      </w:r>
      <w:r>
        <w:rPr/>
        <w:t>kepada</w:t>
      </w:r>
      <w:r>
        <w:rPr>
          <w:spacing w:val="-14"/>
        </w:rPr>
        <w:t> </w:t>
      </w:r>
      <w:r>
        <w:rPr/>
        <w:t>Ibu</w:t>
      </w:r>
      <w:r>
        <w:rPr>
          <w:spacing w:val="-13"/>
        </w:rPr>
        <w:t> </w:t>
      </w:r>
      <w:r>
        <w:rPr/>
        <w:t>dan</w:t>
      </w:r>
      <w:r>
        <w:rPr>
          <w:spacing w:val="-13"/>
        </w:rPr>
        <w:t> </w:t>
      </w:r>
      <w:r>
        <w:rPr/>
        <w:t>Bapak</w:t>
      </w:r>
      <w:r>
        <w:rPr>
          <w:spacing w:val="-13"/>
        </w:rPr>
        <w:t> </w:t>
      </w:r>
      <w:r>
        <w:rPr/>
        <w:t>yang</w:t>
      </w:r>
      <w:r>
        <w:rPr>
          <w:spacing w:val="-15"/>
        </w:rPr>
        <w:t> </w:t>
      </w:r>
      <w:r>
        <w:rPr/>
        <w:t>selalu</w:t>
      </w:r>
      <w:r>
        <w:rPr>
          <w:spacing w:val="-15"/>
        </w:rPr>
        <w:t> </w:t>
      </w:r>
      <w:r>
        <w:rPr/>
        <w:t>memberi motivasi dan wejangan yang menyertai langkah kaki kecil ini demi masa depan yang cerah. Perjalanan hidup terasa mudah apabila senyum di wajah mereka terukir indah. Terimakasih penulis</w:t>
      </w:r>
      <w:r>
        <w:rPr>
          <w:spacing w:val="-1"/>
        </w:rPr>
        <w:t> </w:t>
      </w:r>
      <w:r>
        <w:rPr/>
        <w:t>sampaikan</w:t>
      </w:r>
      <w:r>
        <w:rPr>
          <w:spacing w:val="-1"/>
        </w:rPr>
        <w:t> </w:t>
      </w:r>
      <w:r>
        <w:rPr/>
        <w:t>atas</w:t>
      </w:r>
      <w:r>
        <w:rPr>
          <w:spacing w:val="-2"/>
        </w:rPr>
        <w:t> </w:t>
      </w:r>
      <w:r>
        <w:rPr/>
        <w:t>doa-doa</w:t>
      </w:r>
      <w:r>
        <w:rPr>
          <w:spacing w:val="-2"/>
        </w:rPr>
        <w:t> </w:t>
      </w:r>
      <w:r>
        <w:rPr/>
        <w:t>dan</w:t>
      </w:r>
      <w:r>
        <w:rPr>
          <w:spacing w:val="-1"/>
        </w:rPr>
        <w:t> </w:t>
      </w:r>
      <w:r>
        <w:rPr/>
        <w:t>dukungan</w:t>
      </w:r>
      <w:r>
        <w:rPr>
          <w:spacing w:val="-1"/>
        </w:rPr>
        <w:t> </w:t>
      </w:r>
      <w:r>
        <w:rPr/>
        <w:t>yang</w:t>
      </w:r>
      <w:r>
        <w:rPr>
          <w:spacing w:val="-1"/>
        </w:rPr>
        <w:t> </w:t>
      </w:r>
      <w:r>
        <w:rPr/>
        <w:t>telah</w:t>
      </w:r>
      <w:r>
        <w:rPr>
          <w:spacing w:val="-1"/>
        </w:rPr>
        <w:t> </w:t>
      </w:r>
      <w:r>
        <w:rPr/>
        <w:t>kalian</w:t>
      </w:r>
      <w:r>
        <w:rPr>
          <w:spacing w:val="-1"/>
        </w:rPr>
        <w:t> </w:t>
      </w:r>
      <w:r>
        <w:rPr/>
        <w:t>berikan</w:t>
      </w:r>
      <w:r>
        <w:rPr>
          <w:spacing w:val="-1"/>
        </w:rPr>
        <w:t> </w:t>
      </w:r>
      <w:r>
        <w:rPr/>
        <w:t>dalam</w:t>
      </w:r>
      <w:r>
        <w:rPr>
          <w:spacing w:val="-1"/>
        </w:rPr>
        <w:t> </w:t>
      </w:r>
      <w:r>
        <w:rPr/>
        <w:t>hidup</w:t>
      </w:r>
      <w:r>
        <w:rPr>
          <w:spacing w:val="-1"/>
        </w:rPr>
        <w:t> </w:t>
      </w:r>
      <w:r>
        <w:rPr/>
        <w:t>penulis, sehingga penulis dapat menyelesikan skripsi ini. Semoga engkau selalu dilimpahkan kebahagiaan dan keberkahan baik itu di dunia maupun di akhirat nanti.</w:t>
      </w:r>
    </w:p>
    <w:p>
      <w:pPr>
        <w:pStyle w:val="BodyText"/>
        <w:spacing w:after="0" w:line="360" w:lineRule="auto"/>
        <w:jc w:val="both"/>
        <w:sectPr>
          <w:pgSz w:w="11910" w:h="16840"/>
          <w:pgMar w:header="0" w:footer="1000" w:top="1360" w:bottom="1200" w:left="1417" w:right="1275"/>
        </w:sectPr>
      </w:pPr>
    </w:p>
    <w:p>
      <w:pPr>
        <w:pStyle w:val="Heading1"/>
        <w:ind w:left="0" w:right="139"/>
      </w:pPr>
      <w:bookmarkStart w:name="_bookmark4" w:id="5"/>
      <w:bookmarkEnd w:id="5"/>
      <w:r>
        <w:rPr>
          <w:b w:val="0"/>
        </w:rPr>
      </w:r>
      <w:r>
        <w:rPr>
          <w:spacing w:val="-2"/>
        </w:rPr>
        <w:t>DEKLARASI</w:t>
      </w:r>
    </w:p>
    <w:p>
      <w:pPr>
        <w:pStyle w:val="BodyText"/>
        <w:spacing w:before="45"/>
        <w:rPr>
          <w:b/>
          <w:sz w:val="20"/>
        </w:rPr>
      </w:pPr>
      <w:r>
        <w:rPr>
          <w:b/>
          <w:sz w:val="20"/>
        </w:rPr>
        <w:drawing>
          <wp:anchor distT="0" distB="0" distL="0" distR="0" allowOverlap="1" layoutInCell="1" locked="0" behindDoc="1" simplePos="0" relativeHeight="487589376">
            <wp:simplePos x="0" y="0"/>
            <wp:positionH relativeFrom="page">
              <wp:posOffset>1351280</wp:posOffset>
            </wp:positionH>
            <wp:positionV relativeFrom="paragraph">
              <wp:posOffset>189852</wp:posOffset>
            </wp:positionV>
            <wp:extent cx="4855248" cy="7269479"/>
            <wp:effectExtent l="0" t="0" r="0" b="0"/>
            <wp:wrapTopAndBottom/>
            <wp:docPr id="5" name="Image 5" descr="A close-up of a letter  AI-generated content may be incorrect."/>
            <wp:cNvGraphicFramePr>
              <a:graphicFrameLocks/>
            </wp:cNvGraphicFramePr>
            <a:graphic>
              <a:graphicData uri="http://schemas.openxmlformats.org/drawingml/2006/picture">
                <pic:pic>
                  <pic:nvPicPr>
                    <pic:cNvPr id="5" name="Image 5" descr="A close-up of a letter  AI-generated content may be incorrect."/>
                    <pic:cNvPicPr/>
                  </pic:nvPicPr>
                  <pic:blipFill>
                    <a:blip r:embed="rId9" cstate="print"/>
                    <a:stretch>
                      <a:fillRect/>
                    </a:stretch>
                  </pic:blipFill>
                  <pic:spPr>
                    <a:xfrm>
                      <a:off x="0" y="0"/>
                      <a:ext cx="4855248" cy="7269479"/>
                    </a:xfrm>
                    <a:prstGeom prst="rect">
                      <a:avLst/>
                    </a:prstGeom>
                  </pic:spPr>
                </pic:pic>
              </a:graphicData>
            </a:graphic>
          </wp:anchor>
        </w:drawing>
      </w:r>
    </w:p>
    <w:p>
      <w:pPr>
        <w:pStyle w:val="BodyText"/>
        <w:spacing w:after="0"/>
        <w:rPr>
          <w:b/>
          <w:sz w:val="20"/>
        </w:rPr>
        <w:sectPr>
          <w:pgSz w:w="11910" w:h="16840"/>
          <w:pgMar w:header="0" w:footer="1000" w:top="1360" w:bottom="1200" w:left="1417" w:right="1275"/>
        </w:sectPr>
      </w:pPr>
    </w:p>
    <w:p>
      <w:pPr>
        <w:pStyle w:val="Heading1"/>
        <w:ind w:left="1583"/>
      </w:pPr>
      <w:bookmarkStart w:name="_bookmark5" w:id="6"/>
      <w:bookmarkEnd w:id="6"/>
      <w:r>
        <w:rPr>
          <w:b w:val="0"/>
        </w:rPr>
      </w:r>
      <w:r>
        <w:rPr/>
        <w:t>PEDOMAN</w:t>
      </w:r>
      <w:r>
        <w:rPr>
          <w:spacing w:val="-11"/>
        </w:rPr>
        <w:t> </w:t>
      </w:r>
      <w:r>
        <w:rPr/>
        <w:t>TRANSLITERASI</w:t>
      </w:r>
      <w:r>
        <w:rPr>
          <w:spacing w:val="-5"/>
        </w:rPr>
        <w:t> </w:t>
      </w:r>
      <w:r>
        <w:rPr/>
        <w:t>ARAB-</w:t>
      </w:r>
      <w:r>
        <w:rPr>
          <w:spacing w:val="-2"/>
        </w:rPr>
        <w:t>LATIN</w:t>
      </w:r>
    </w:p>
    <w:p>
      <w:pPr>
        <w:pStyle w:val="BodyText"/>
        <w:spacing w:before="22"/>
        <w:rPr>
          <w:b/>
        </w:rPr>
      </w:pPr>
    </w:p>
    <w:p>
      <w:pPr>
        <w:pStyle w:val="BodyText"/>
        <w:spacing w:line="360" w:lineRule="auto"/>
        <w:ind w:left="23" w:right="163" w:firstLine="427"/>
        <w:jc w:val="both"/>
      </w:pPr>
      <w:r>
        <w:rPr/>
        <w:t>Transliterasi kata-kata Bahasa Arab yang digunakan dalam penulisan skripsi ini berpedoman pada “Pedoman Transliterasi Arab-Latin” yang telah dikeluarkan berdasarkan Keputusan</w:t>
      </w:r>
      <w:r>
        <w:rPr>
          <w:spacing w:val="-11"/>
        </w:rPr>
        <w:t> </w:t>
      </w:r>
      <w:r>
        <w:rPr/>
        <w:t>Bersama</w:t>
      </w:r>
      <w:r>
        <w:rPr>
          <w:spacing w:val="-12"/>
        </w:rPr>
        <w:t> </w:t>
      </w:r>
      <w:r>
        <w:rPr/>
        <w:t>Menteri</w:t>
      </w:r>
      <w:r>
        <w:rPr>
          <w:spacing w:val="-10"/>
        </w:rPr>
        <w:t> </w:t>
      </w:r>
      <w:r>
        <w:rPr/>
        <w:t>Agama</w:t>
      </w:r>
      <w:r>
        <w:rPr>
          <w:spacing w:val="-11"/>
        </w:rPr>
        <w:t> </w:t>
      </w:r>
      <w:r>
        <w:rPr/>
        <w:t>dan</w:t>
      </w:r>
      <w:r>
        <w:rPr>
          <w:spacing w:val="-11"/>
        </w:rPr>
        <w:t> </w:t>
      </w:r>
      <w:r>
        <w:rPr/>
        <w:t>Menteri</w:t>
      </w:r>
      <w:r>
        <w:rPr>
          <w:spacing w:val="-8"/>
        </w:rPr>
        <w:t> </w:t>
      </w:r>
      <w:r>
        <w:rPr/>
        <w:t>Pendidikan</w:t>
      </w:r>
      <w:r>
        <w:rPr>
          <w:spacing w:val="-11"/>
        </w:rPr>
        <w:t> </w:t>
      </w:r>
      <w:r>
        <w:rPr/>
        <w:t>dan</w:t>
      </w:r>
      <w:r>
        <w:rPr>
          <w:spacing w:val="-11"/>
        </w:rPr>
        <w:t> </w:t>
      </w:r>
      <w:r>
        <w:rPr/>
        <w:t>Kebudayaan</w:t>
      </w:r>
      <w:r>
        <w:rPr>
          <w:spacing w:val="-11"/>
        </w:rPr>
        <w:t> </w:t>
      </w:r>
      <w:r>
        <w:rPr/>
        <w:t>RI</w:t>
      </w:r>
      <w:r>
        <w:rPr>
          <w:spacing w:val="-14"/>
        </w:rPr>
        <w:t> </w:t>
      </w:r>
      <w:r>
        <w:rPr/>
        <w:t>Tahun</w:t>
      </w:r>
      <w:r>
        <w:rPr>
          <w:spacing w:val="-11"/>
        </w:rPr>
        <w:t> </w:t>
      </w:r>
      <w:r>
        <w:rPr/>
        <w:t>1987. Penjelasan terkait pedoman penulisan transliterasi Arab-Latin sebagai berikut:</w:t>
      </w:r>
    </w:p>
    <w:p>
      <w:pPr>
        <w:pStyle w:val="ListParagraph"/>
        <w:numPr>
          <w:ilvl w:val="0"/>
          <w:numId w:val="1"/>
        </w:numPr>
        <w:tabs>
          <w:tab w:pos="874" w:val="left" w:leader="none"/>
        </w:tabs>
        <w:spacing w:line="240" w:lineRule="auto" w:before="161" w:after="0"/>
        <w:ind w:left="874" w:right="0" w:hanging="424"/>
        <w:jc w:val="both"/>
        <w:rPr>
          <w:sz w:val="24"/>
        </w:rPr>
      </w:pPr>
      <w:r>
        <w:rPr>
          <w:sz w:val="24"/>
        </w:rPr>
        <w:t>Huruf</w:t>
      </w:r>
      <w:r>
        <w:rPr>
          <w:spacing w:val="-2"/>
          <w:sz w:val="24"/>
        </w:rPr>
        <w:t> Konsonan</w:t>
      </w:r>
    </w:p>
    <w:p>
      <w:pPr>
        <w:pStyle w:val="BodyText"/>
        <w:spacing w:before="16"/>
        <w:rPr>
          <w:sz w:val="20"/>
        </w:rPr>
      </w:pPr>
    </w:p>
    <w:tbl>
      <w:tblPr>
        <w:tblW w:w="0" w:type="auto"/>
        <w:jc w:val="left"/>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561"/>
        <w:gridCol w:w="2552"/>
        <w:gridCol w:w="2835"/>
      </w:tblGrid>
      <w:tr>
        <w:trPr>
          <w:trHeight w:val="414" w:hRule="atLeast"/>
        </w:trPr>
        <w:tc>
          <w:tcPr>
            <w:tcW w:w="1560" w:type="dxa"/>
          </w:tcPr>
          <w:p>
            <w:pPr>
              <w:pStyle w:val="TableParagraph"/>
              <w:spacing w:line="275" w:lineRule="exact" w:before="0"/>
              <w:rPr>
                <w:sz w:val="24"/>
              </w:rPr>
            </w:pPr>
            <w:r>
              <w:rPr>
                <w:sz w:val="24"/>
              </w:rPr>
              <w:t>Huruf</w:t>
            </w:r>
            <w:r>
              <w:rPr>
                <w:spacing w:val="-4"/>
                <w:sz w:val="24"/>
              </w:rPr>
              <w:t> Arab</w:t>
            </w:r>
          </w:p>
        </w:tc>
        <w:tc>
          <w:tcPr>
            <w:tcW w:w="1561" w:type="dxa"/>
          </w:tcPr>
          <w:p>
            <w:pPr>
              <w:pStyle w:val="TableParagraph"/>
              <w:spacing w:line="275" w:lineRule="exact" w:before="0"/>
              <w:rPr>
                <w:sz w:val="24"/>
              </w:rPr>
            </w:pPr>
            <w:r>
              <w:rPr>
                <w:spacing w:val="-4"/>
                <w:sz w:val="24"/>
              </w:rPr>
              <w:t>Nama</w:t>
            </w:r>
          </w:p>
        </w:tc>
        <w:tc>
          <w:tcPr>
            <w:tcW w:w="2552" w:type="dxa"/>
          </w:tcPr>
          <w:p>
            <w:pPr>
              <w:pStyle w:val="TableParagraph"/>
              <w:spacing w:line="275" w:lineRule="exact" w:before="0"/>
              <w:rPr>
                <w:sz w:val="24"/>
              </w:rPr>
            </w:pPr>
            <w:r>
              <w:rPr>
                <w:sz w:val="24"/>
              </w:rPr>
              <w:t>Huruf</w:t>
            </w:r>
            <w:r>
              <w:rPr>
                <w:spacing w:val="-2"/>
                <w:sz w:val="24"/>
              </w:rPr>
              <w:t> Latin</w:t>
            </w:r>
          </w:p>
        </w:tc>
        <w:tc>
          <w:tcPr>
            <w:tcW w:w="2835" w:type="dxa"/>
          </w:tcPr>
          <w:p>
            <w:pPr>
              <w:pStyle w:val="TableParagraph"/>
              <w:spacing w:line="275" w:lineRule="exact" w:before="0"/>
              <w:ind w:left="104"/>
              <w:rPr>
                <w:sz w:val="24"/>
              </w:rPr>
            </w:pPr>
            <w:r>
              <w:rPr>
                <w:spacing w:val="-4"/>
                <w:sz w:val="24"/>
              </w:rPr>
              <w:t>Nama</w:t>
            </w:r>
          </w:p>
        </w:tc>
      </w:tr>
      <w:tr>
        <w:trPr>
          <w:trHeight w:val="414" w:hRule="atLeast"/>
        </w:trPr>
        <w:tc>
          <w:tcPr>
            <w:tcW w:w="1560" w:type="dxa"/>
          </w:tcPr>
          <w:p>
            <w:pPr>
              <w:pStyle w:val="TableParagraph"/>
              <w:spacing w:line="275" w:lineRule="exact" w:before="0"/>
            </w:pPr>
            <w:r>
              <w:rPr>
                <w:rtl/>
              </w:rPr>
              <w:t>ﺍ</w:t>
            </w:r>
          </w:p>
        </w:tc>
        <w:tc>
          <w:tcPr>
            <w:tcW w:w="1561" w:type="dxa"/>
          </w:tcPr>
          <w:p>
            <w:pPr>
              <w:pStyle w:val="TableParagraph"/>
              <w:spacing w:line="275" w:lineRule="exact" w:before="0"/>
              <w:rPr>
                <w:sz w:val="24"/>
              </w:rPr>
            </w:pPr>
            <w:r>
              <w:rPr>
                <w:spacing w:val="-4"/>
                <w:sz w:val="24"/>
              </w:rPr>
              <w:t>Alif</w:t>
            </w:r>
          </w:p>
        </w:tc>
        <w:tc>
          <w:tcPr>
            <w:tcW w:w="2552" w:type="dxa"/>
          </w:tcPr>
          <w:p>
            <w:pPr>
              <w:pStyle w:val="TableParagraph"/>
              <w:spacing w:line="275" w:lineRule="exact" w:before="0"/>
              <w:rPr>
                <w:sz w:val="24"/>
              </w:rPr>
            </w:pPr>
            <w:r>
              <w:rPr>
                <w:sz w:val="24"/>
              </w:rPr>
              <w:t>Tidak</w:t>
            </w:r>
            <w:r>
              <w:rPr>
                <w:spacing w:val="-1"/>
                <w:sz w:val="24"/>
              </w:rPr>
              <w:t> </w:t>
            </w:r>
            <w:r>
              <w:rPr>
                <w:spacing w:val="-2"/>
                <w:sz w:val="24"/>
              </w:rPr>
              <w:t>Dilambangkan</w:t>
            </w:r>
          </w:p>
        </w:tc>
        <w:tc>
          <w:tcPr>
            <w:tcW w:w="2835" w:type="dxa"/>
          </w:tcPr>
          <w:p>
            <w:pPr>
              <w:pStyle w:val="TableParagraph"/>
              <w:spacing w:line="275" w:lineRule="exact" w:before="0"/>
              <w:ind w:left="104"/>
              <w:rPr>
                <w:sz w:val="24"/>
              </w:rPr>
            </w:pPr>
            <w:r>
              <w:rPr>
                <w:sz w:val="24"/>
              </w:rPr>
              <w:t>Tidak</w:t>
            </w:r>
            <w:r>
              <w:rPr>
                <w:spacing w:val="-1"/>
                <w:sz w:val="24"/>
              </w:rPr>
              <w:t> </w:t>
            </w:r>
            <w:r>
              <w:rPr>
                <w:spacing w:val="-2"/>
                <w:sz w:val="24"/>
              </w:rPr>
              <w:t>Dilambangkan</w:t>
            </w:r>
          </w:p>
        </w:tc>
      </w:tr>
      <w:tr>
        <w:trPr>
          <w:trHeight w:val="413" w:hRule="atLeast"/>
        </w:trPr>
        <w:tc>
          <w:tcPr>
            <w:tcW w:w="1560" w:type="dxa"/>
          </w:tcPr>
          <w:p>
            <w:pPr>
              <w:pStyle w:val="TableParagraph"/>
              <w:spacing w:line="276" w:lineRule="exact" w:before="0"/>
            </w:pPr>
            <w:r>
              <w:rPr>
                <w:rtl/>
              </w:rPr>
              <w:t>ﺏ</w:t>
            </w:r>
          </w:p>
        </w:tc>
        <w:tc>
          <w:tcPr>
            <w:tcW w:w="1561" w:type="dxa"/>
          </w:tcPr>
          <w:p>
            <w:pPr>
              <w:pStyle w:val="TableParagraph"/>
              <w:spacing w:line="276" w:lineRule="exact" w:before="0"/>
              <w:rPr>
                <w:sz w:val="24"/>
              </w:rPr>
            </w:pPr>
            <w:r>
              <w:rPr>
                <w:spacing w:val="-5"/>
                <w:sz w:val="24"/>
              </w:rPr>
              <w:t>Ba</w:t>
            </w:r>
          </w:p>
        </w:tc>
        <w:tc>
          <w:tcPr>
            <w:tcW w:w="2552" w:type="dxa"/>
          </w:tcPr>
          <w:p>
            <w:pPr>
              <w:pStyle w:val="TableParagraph"/>
              <w:spacing w:line="276" w:lineRule="exact" w:before="0"/>
              <w:rPr>
                <w:sz w:val="24"/>
              </w:rPr>
            </w:pPr>
            <w:r>
              <w:rPr>
                <w:spacing w:val="-10"/>
                <w:sz w:val="24"/>
              </w:rPr>
              <w:t>B</w:t>
            </w:r>
          </w:p>
        </w:tc>
        <w:tc>
          <w:tcPr>
            <w:tcW w:w="2835" w:type="dxa"/>
          </w:tcPr>
          <w:p>
            <w:pPr>
              <w:pStyle w:val="TableParagraph"/>
              <w:spacing w:line="276" w:lineRule="exact" w:before="0"/>
              <w:ind w:left="104"/>
              <w:rPr>
                <w:sz w:val="24"/>
              </w:rPr>
            </w:pPr>
            <w:r>
              <w:rPr>
                <w:spacing w:val="-5"/>
                <w:sz w:val="24"/>
              </w:rPr>
              <w:t>Be</w:t>
            </w:r>
          </w:p>
        </w:tc>
      </w:tr>
      <w:tr>
        <w:trPr>
          <w:trHeight w:val="414" w:hRule="atLeast"/>
        </w:trPr>
        <w:tc>
          <w:tcPr>
            <w:tcW w:w="1560" w:type="dxa"/>
          </w:tcPr>
          <w:p>
            <w:pPr>
              <w:pStyle w:val="TableParagraph"/>
              <w:spacing w:line="275" w:lineRule="exact" w:before="0"/>
            </w:pPr>
            <w:r>
              <w:rPr>
                <w:rtl/>
              </w:rPr>
              <w:t>ﺕ</w:t>
            </w:r>
          </w:p>
        </w:tc>
        <w:tc>
          <w:tcPr>
            <w:tcW w:w="1561" w:type="dxa"/>
          </w:tcPr>
          <w:p>
            <w:pPr>
              <w:pStyle w:val="TableParagraph"/>
              <w:spacing w:line="275" w:lineRule="exact" w:before="0"/>
              <w:rPr>
                <w:sz w:val="24"/>
              </w:rPr>
            </w:pPr>
            <w:r>
              <w:rPr>
                <w:spacing w:val="-5"/>
                <w:sz w:val="24"/>
              </w:rPr>
              <w:t>Ta</w:t>
            </w:r>
          </w:p>
        </w:tc>
        <w:tc>
          <w:tcPr>
            <w:tcW w:w="2552" w:type="dxa"/>
          </w:tcPr>
          <w:p>
            <w:pPr>
              <w:pStyle w:val="TableParagraph"/>
              <w:spacing w:line="275" w:lineRule="exact" w:before="0"/>
              <w:rPr>
                <w:sz w:val="24"/>
              </w:rPr>
            </w:pPr>
            <w:r>
              <w:rPr>
                <w:spacing w:val="-10"/>
                <w:sz w:val="24"/>
              </w:rPr>
              <w:t>T</w:t>
            </w:r>
          </w:p>
        </w:tc>
        <w:tc>
          <w:tcPr>
            <w:tcW w:w="2835" w:type="dxa"/>
          </w:tcPr>
          <w:p>
            <w:pPr>
              <w:pStyle w:val="TableParagraph"/>
              <w:spacing w:line="275" w:lineRule="exact" w:before="0"/>
              <w:ind w:left="104"/>
              <w:rPr>
                <w:sz w:val="24"/>
              </w:rPr>
            </w:pPr>
            <w:r>
              <w:rPr>
                <w:spacing w:val="-5"/>
                <w:sz w:val="24"/>
              </w:rPr>
              <w:t>Te</w:t>
            </w:r>
          </w:p>
        </w:tc>
      </w:tr>
      <w:tr>
        <w:trPr>
          <w:trHeight w:val="438" w:hRule="atLeast"/>
        </w:trPr>
        <w:tc>
          <w:tcPr>
            <w:tcW w:w="1560" w:type="dxa"/>
          </w:tcPr>
          <w:p>
            <w:pPr>
              <w:pStyle w:val="TableParagraph"/>
              <w:spacing w:line="275" w:lineRule="exact" w:before="0"/>
            </w:pPr>
            <w:r>
              <w:rPr>
                <w:rtl/>
              </w:rPr>
              <w:t>ﺙ</w:t>
            </w:r>
          </w:p>
        </w:tc>
        <w:tc>
          <w:tcPr>
            <w:tcW w:w="1561" w:type="dxa"/>
          </w:tcPr>
          <w:p>
            <w:pPr>
              <w:pStyle w:val="TableParagraph"/>
              <w:spacing w:line="275" w:lineRule="exact" w:before="0"/>
              <w:rPr>
                <w:sz w:val="24"/>
              </w:rPr>
            </w:pPr>
            <w:r>
              <w:rPr>
                <w:spacing w:val="-5"/>
                <w:sz w:val="24"/>
              </w:rPr>
              <w:t>Sa</w:t>
            </w:r>
          </w:p>
        </w:tc>
        <w:tc>
          <w:tcPr>
            <w:tcW w:w="2552" w:type="dxa"/>
          </w:tcPr>
          <w:p>
            <w:pPr>
              <w:pStyle w:val="TableParagraph"/>
              <w:spacing w:line="292" w:lineRule="exact" w:before="0"/>
              <w:rPr>
                <w:rFonts w:ascii="Calibri" w:hAnsi="Calibri"/>
                <w:sz w:val="24"/>
              </w:rPr>
            </w:pPr>
            <w:r>
              <w:rPr>
                <w:rFonts w:ascii="Calibri" w:hAnsi="Calibri"/>
                <w:spacing w:val="-10"/>
                <w:sz w:val="24"/>
              </w:rPr>
              <w:t>Ṣ</w:t>
            </w:r>
          </w:p>
        </w:tc>
        <w:tc>
          <w:tcPr>
            <w:tcW w:w="2835" w:type="dxa"/>
          </w:tcPr>
          <w:p>
            <w:pPr>
              <w:pStyle w:val="TableParagraph"/>
              <w:spacing w:line="275" w:lineRule="exact" w:before="0"/>
              <w:ind w:left="104"/>
              <w:rPr>
                <w:sz w:val="24"/>
              </w:rPr>
            </w:pPr>
            <w:r>
              <w:rPr>
                <w:sz w:val="24"/>
              </w:rPr>
              <w:t>Es</w:t>
            </w:r>
            <w:r>
              <w:rPr>
                <w:spacing w:val="-2"/>
                <w:sz w:val="24"/>
              </w:rPr>
              <w:t> </w:t>
            </w:r>
            <w:r>
              <w:rPr>
                <w:sz w:val="24"/>
              </w:rPr>
              <w:t>(dengan</w:t>
            </w:r>
            <w:r>
              <w:rPr>
                <w:spacing w:val="-1"/>
                <w:sz w:val="24"/>
              </w:rPr>
              <w:t> </w:t>
            </w:r>
            <w:r>
              <w:rPr>
                <w:sz w:val="24"/>
              </w:rPr>
              <w:t>titik</w:t>
            </w:r>
            <w:r>
              <w:rPr>
                <w:spacing w:val="-1"/>
                <w:sz w:val="24"/>
              </w:rPr>
              <w:t> </w:t>
            </w:r>
            <w:r>
              <w:rPr>
                <w:sz w:val="24"/>
              </w:rPr>
              <w:t>di</w:t>
            </w:r>
            <w:r>
              <w:rPr>
                <w:spacing w:val="-1"/>
                <w:sz w:val="24"/>
              </w:rPr>
              <w:t> </w:t>
            </w:r>
            <w:r>
              <w:rPr>
                <w:spacing w:val="-2"/>
                <w:sz w:val="24"/>
              </w:rPr>
              <w:t>bawah)</w:t>
            </w:r>
          </w:p>
        </w:tc>
      </w:tr>
      <w:tr>
        <w:trPr>
          <w:trHeight w:val="414" w:hRule="atLeast"/>
        </w:trPr>
        <w:tc>
          <w:tcPr>
            <w:tcW w:w="1560" w:type="dxa"/>
          </w:tcPr>
          <w:p>
            <w:pPr>
              <w:pStyle w:val="TableParagraph"/>
              <w:spacing w:line="275" w:lineRule="exact" w:before="0"/>
            </w:pPr>
            <w:r>
              <w:rPr>
                <w:rtl/>
              </w:rPr>
              <w:t>ﺝ</w:t>
            </w:r>
          </w:p>
        </w:tc>
        <w:tc>
          <w:tcPr>
            <w:tcW w:w="1561" w:type="dxa"/>
          </w:tcPr>
          <w:p>
            <w:pPr>
              <w:pStyle w:val="TableParagraph"/>
              <w:spacing w:line="275" w:lineRule="exact" w:before="0"/>
              <w:rPr>
                <w:sz w:val="24"/>
              </w:rPr>
            </w:pPr>
            <w:r>
              <w:rPr>
                <w:spacing w:val="-5"/>
                <w:sz w:val="24"/>
              </w:rPr>
              <w:t>Jim</w:t>
            </w:r>
          </w:p>
        </w:tc>
        <w:tc>
          <w:tcPr>
            <w:tcW w:w="2552" w:type="dxa"/>
          </w:tcPr>
          <w:p>
            <w:pPr>
              <w:pStyle w:val="TableParagraph"/>
              <w:spacing w:line="275" w:lineRule="exact" w:before="0"/>
              <w:rPr>
                <w:sz w:val="24"/>
              </w:rPr>
            </w:pPr>
            <w:r>
              <w:rPr>
                <w:spacing w:val="-10"/>
                <w:sz w:val="24"/>
              </w:rPr>
              <w:t>J</w:t>
            </w:r>
          </w:p>
        </w:tc>
        <w:tc>
          <w:tcPr>
            <w:tcW w:w="2835" w:type="dxa"/>
          </w:tcPr>
          <w:p>
            <w:pPr>
              <w:pStyle w:val="TableParagraph"/>
              <w:spacing w:line="275" w:lineRule="exact" w:before="0"/>
              <w:ind w:left="104"/>
              <w:rPr>
                <w:sz w:val="24"/>
              </w:rPr>
            </w:pPr>
            <w:r>
              <w:rPr>
                <w:spacing w:val="-5"/>
                <w:sz w:val="24"/>
              </w:rPr>
              <w:t>Je</w:t>
            </w:r>
          </w:p>
        </w:tc>
      </w:tr>
      <w:tr>
        <w:trPr>
          <w:trHeight w:val="438" w:hRule="atLeast"/>
        </w:trPr>
        <w:tc>
          <w:tcPr>
            <w:tcW w:w="1560" w:type="dxa"/>
          </w:tcPr>
          <w:p>
            <w:pPr>
              <w:pStyle w:val="TableParagraph"/>
              <w:spacing w:line="275" w:lineRule="exact" w:before="0"/>
            </w:pPr>
            <w:r>
              <w:rPr>
                <w:rtl/>
              </w:rPr>
              <w:t>ﺡ</w:t>
            </w:r>
          </w:p>
        </w:tc>
        <w:tc>
          <w:tcPr>
            <w:tcW w:w="1561" w:type="dxa"/>
          </w:tcPr>
          <w:p>
            <w:pPr>
              <w:pStyle w:val="TableParagraph"/>
              <w:spacing w:line="275" w:lineRule="exact" w:before="0"/>
              <w:rPr>
                <w:sz w:val="24"/>
              </w:rPr>
            </w:pPr>
            <w:r>
              <w:rPr>
                <w:spacing w:val="-5"/>
                <w:sz w:val="24"/>
              </w:rPr>
              <w:t>Ha</w:t>
            </w:r>
          </w:p>
        </w:tc>
        <w:tc>
          <w:tcPr>
            <w:tcW w:w="2552" w:type="dxa"/>
          </w:tcPr>
          <w:p>
            <w:pPr>
              <w:pStyle w:val="TableParagraph"/>
              <w:spacing w:line="292" w:lineRule="exact" w:before="0"/>
              <w:rPr>
                <w:rFonts w:ascii="Calibri" w:hAnsi="Calibri"/>
                <w:sz w:val="24"/>
              </w:rPr>
            </w:pPr>
            <w:r>
              <w:rPr>
                <w:rFonts w:ascii="Calibri" w:hAnsi="Calibri"/>
                <w:spacing w:val="-10"/>
                <w:sz w:val="24"/>
              </w:rPr>
              <w:t>Ḥ</w:t>
            </w:r>
          </w:p>
        </w:tc>
        <w:tc>
          <w:tcPr>
            <w:tcW w:w="2835" w:type="dxa"/>
          </w:tcPr>
          <w:p>
            <w:pPr>
              <w:pStyle w:val="TableParagraph"/>
              <w:spacing w:line="275" w:lineRule="exact" w:before="0"/>
              <w:ind w:left="104"/>
              <w:rPr>
                <w:sz w:val="24"/>
              </w:rPr>
            </w:pPr>
            <w:r>
              <w:rPr>
                <w:sz w:val="24"/>
              </w:rPr>
              <w:t>Ha</w:t>
            </w:r>
            <w:r>
              <w:rPr>
                <w:spacing w:val="-3"/>
                <w:sz w:val="24"/>
              </w:rPr>
              <w:t> </w:t>
            </w:r>
            <w:r>
              <w:rPr>
                <w:sz w:val="24"/>
              </w:rPr>
              <w:t>(dengan titik di </w:t>
            </w:r>
            <w:r>
              <w:rPr>
                <w:spacing w:val="-2"/>
                <w:sz w:val="24"/>
              </w:rPr>
              <w:t>bawah)</w:t>
            </w:r>
          </w:p>
        </w:tc>
      </w:tr>
      <w:tr>
        <w:trPr>
          <w:trHeight w:val="414" w:hRule="atLeast"/>
        </w:trPr>
        <w:tc>
          <w:tcPr>
            <w:tcW w:w="1560" w:type="dxa"/>
          </w:tcPr>
          <w:p>
            <w:pPr>
              <w:pStyle w:val="TableParagraph"/>
              <w:spacing w:line="275" w:lineRule="exact" w:before="0"/>
            </w:pPr>
            <w:r>
              <w:rPr>
                <w:rtl/>
              </w:rPr>
              <w:t>ﺥ</w:t>
            </w:r>
          </w:p>
        </w:tc>
        <w:tc>
          <w:tcPr>
            <w:tcW w:w="1561" w:type="dxa"/>
          </w:tcPr>
          <w:p>
            <w:pPr>
              <w:pStyle w:val="TableParagraph"/>
              <w:spacing w:line="275" w:lineRule="exact" w:before="0"/>
              <w:rPr>
                <w:sz w:val="24"/>
              </w:rPr>
            </w:pPr>
            <w:r>
              <w:rPr>
                <w:spacing w:val="-5"/>
                <w:sz w:val="24"/>
              </w:rPr>
              <w:t>Kha</w:t>
            </w:r>
          </w:p>
        </w:tc>
        <w:tc>
          <w:tcPr>
            <w:tcW w:w="2552" w:type="dxa"/>
          </w:tcPr>
          <w:p>
            <w:pPr>
              <w:pStyle w:val="TableParagraph"/>
              <w:spacing w:line="275" w:lineRule="exact" w:before="0"/>
              <w:rPr>
                <w:sz w:val="24"/>
              </w:rPr>
            </w:pPr>
            <w:r>
              <w:rPr>
                <w:spacing w:val="-5"/>
                <w:sz w:val="24"/>
              </w:rPr>
              <w:t>Kh</w:t>
            </w:r>
          </w:p>
        </w:tc>
        <w:tc>
          <w:tcPr>
            <w:tcW w:w="2835" w:type="dxa"/>
          </w:tcPr>
          <w:p>
            <w:pPr>
              <w:pStyle w:val="TableParagraph"/>
              <w:spacing w:line="275" w:lineRule="exact" w:before="0"/>
              <w:ind w:left="104"/>
              <w:rPr>
                <w:sz w:val="24"/>
              </w:rPr>
            </w:pPr>
            <w:r>
              <w:rPr>
                <w:sz w:val="24"/>
              </w:rPr>
              <w:t>Ka</w:t>
            </w:r>
            <w:r>
              <w:rPr>
                <w:spacing w:val="-5"/>
                <w:sz w:val="24"/>
              </w:rPr>
              <w:t> </w:t>
            </w:r>
            <w:r>
              <w:rPr>
                <w:sz w:val="24"/>
              </w:rPr>
              <w:t>dan </w:t>
            </w:r>
            <w:r>
              <w:rPr>
                <w:spacing w:val="-5"/>
                <w:sz w:val="24"/>
              </w:rPr>
              <w:t>Ha</w:t>
            </w:r>
          </w:p>
        </w:tc>
      </w:tr>
      <w:tr>
        <w:trPr>
          <w:trHeight w:val="412" w:hRule="atLeast"/>
        </w:trPr>
        <w:tc>
          <w:tcPr>
            <w:tcW w:w="1560" w:type="dxa"/>
          </w:tcPr>
          <w:p>
            <w:pPr>
              <w:pStyle w:val="TableParagraph"/>
              <w:spacing w:line="275" w:lineRule="exact" w:before="0"/>
            </w:pPr>
            <w:r>
              <w:rPr>
                <w:rtl/>
              </w:rPr>
              <w:t>ﺩ</w:t>
            </w:r>
          </w:p>
        </w:tc>
        <w:tc>
          <w:tcPr>
            <w:tcW w:w="1561" w:type="dxa"/>
          </w:tcPr>
          <w:p>
            <w:pPr>
              <w:pStyle w:val="TableParagraph"/>
              <w:spacing w:line="275" w:lineRule="exact" w:before="0"/>
              <w:rPr>
                <w:sz w:val="24"/>
              </w:rPr>
            </w:pPr>
            <w:r>
              <w:rPr>
                <w:spacing w:val="-5"/>
                <w:sz w:val="24"/>
              </w:rPr>
              <w:t>Dal</w:t>
            </w:r>
          </w:p>
        </w:tc>
        <w:tc>
          <w:tcPr>
            <w:tcW w:w="2552" w:type="dxa"/>
          </w:tcPr>
          <w:p>
            <w:pPr>
              <w:pStyle w:val="TableParagraph"/>
              <w:spacing w:line="275" w:lineRule="exact" w:before="0"/>
              <w:rPr>
                <w:sz w:val="24"/>
              </w:rPr>
            </w:pPr>
            <w:r>
              <w:rPr>
                <w:spacing w:val="-10"/>
                <w:sz w:val="24"/>
              </w:rPr>
              <w:t>D</w:t>
            </w:r>
          </w:p>
        </w:tc>
        <w:tc>
          <w:tcPr>
            <w:tcW w:w="2835" w:type="dxa"/>
          </w:tcPr>
          <w:p>
            <w:pPr>
              <w:pStyle w:val="TableParagraph"/>
              <w:spacing w:line="275" w:lineRule="exact" w:before="0"/>
              <w:ind w:left="104"/>
              <w:rPr>
                <w:sz w:val="24"/>
              </w:rPr>
            </w:pPr>
            <w:r>
              <w:rPr>
                <w:spacing w:val="-5"/>
                <w:sz w:val="24"/>
              </w:rPr>
              <w:t>De</w:t>
            </w:r>
          </w:p>
        </w:tc>
      </w:tr>
      <w:tr>
        <w:trPr>
          <w:trHeight w:val="441" w:hRule="atLeast"/>
        </w:trPr>
        <w:tc>
          <w:tcPr>
            <w:tcW w:w="1560" w:type="dxa"/>
          </w:tcPr>
          <w:p>
            <w:pPr>
              <w:pStyle w:val="TableParagraph"/>
              <w:spacing w:line="240" w:lineRule="auto" w:before="1"/>
            </w:pPr>
            <w:r>
              <w:rPr>
                <w:rtl/>
              </w:rPr>
              <w:t>ﺫ</w:t>
            </w:r>
          </w:p>
        </w:tc>
        <w:tc>
          <w:tcPr>
            <w:tcW w:w="1561" w:type="dxa"/>
          </w:tcPr>
          <w:p>
            <w:pPr>
              <w:pStyle w:val="TableParagraph"/>
              <w:spacing w:line="240" w:lineRule="auto" w:before="1"/>
              <w:rPr>
                <w:sz w:val="24"/>
              </w:rPr>
            </w:pPr>
            <w:r>
              <w:rPr>
                <w:spacing w:val="-5"/>
                <w:sz w:val="24"/>
              </w:rPr>
              <w:t>Zal</w:t>
            </w:r>
          </w:p>
        </w:tc>
        <w:tc>
          <w:tcPr>
            <w:tcW w:w="2552" w:type="dxa"/>
          </w:tcPr>
          <w:p>
            <w:pPr>
              <w:pStyle w:val="TableParagraph"/>
              <w:spacing w:line="240" w:lineRule="auto" w:before="1"/>
              <w:rPr>
                <w:rFonts w:ascii="Calibri" w:hAnsi="Calibri"/>
                <w:sz w:val="24"/>
              </w:rPr>
            </w:pPr>
            <w:r>
              <w:rPr>
                <w:rFonts w:ascii="Calibri" w:hAnsi="Calibri"/>
                <w:spacing w:val="-10"/>
                <w:sz w:val="24"/>
              </w:rPr>
              <w:t>Ẓ</w:t>
            </w:r>
          </w:p>
        </w:tc>
        <w:tc>
          <w:tcPr>
            <w:tcW w:w="2835" w:type="dxa"/>
          </w:tcPr>
          <w:p>
            <w:pPr>
              <w:pStyle w:val="TableParagraph"/>
              <w:spacing w:line="240" w:lineRule="auto" w:before="1"/>
              <w:ind w:left="104"/>
              <w:rPr>
                <w:sz w:val="24"/>
              </w:rPr>
            </w:pPr>
            <w:r>
              <w:rPr>
                <w:sz w:val="24"/>
              </w:rPr>
              <w:t>Zet</w:t>
            </w:r>
            <w:r>
              <w:rPr>
                <w:spacing w:val="-2"/>
                <w:sz w:val="24"/>
              </w:rPr>
              <w:t> </w:t>
            </w:r>
            <w:r>
              <w:rPr>
                <w:sz w:val="24"/>
              </w:rPr>
              <w:t>(dengan</w:t>
            </w:r>
            <w:r>
              <w:rPr>
                <w:spacing w:val="-1"/>
                <w:sz w:val="24"/>
              </w:rPr>
              <w:t> </w:t>
            </w:r>
            <w:r>
              <w:rPr>
                <w:sz w:val="24"/>
              </w:rPr>
              <w:t>titik</w:t>
            </w:r>
            <w:r>
              <w:rPr>
                <w:spacing w:val="-1"/>
                <w:sz w:val="24"/>
              </w:rPr>
              <w:t> </w:t>
            </w:r>
            <w:r>
              <w:rPr>
                <w:sz w:val="24"/>
              </w:rPr>
              <w:t>di</w:t>
            </w:r>
            <w:r>
              <w:rPr>
                <w:spacing w:val="-1"/>
                <w:sz w:val="24"/>
              </w:rPr>
              <w:t> </w:t>
            </w:r>
            <w:r>
              <w:rPr>
                <w:spacing w:val="-2"/>
                <w:sz w:val="24"/>
              </w:rPr>
              <w:t>bawah)</w:t>
            </w:r>
          </w:p>
        </w:tc>
      </w:tr>
      <w:tr>
        <w:trPr>
          <w:trHeight w:val="412" w:hRule="atLeast"/>
        </w:trPr>
        <w:tc>
          <w:tcPr>
            <w:tcW w:w="1560" w:type="dxa"/>
          </w:tcPr>
          <w:p>
            <w:pPr>
              <w:pStyle w:val="TableParagraph"/>
              <w:spacing w:line="275" w:lineRule="exact" w:before="0"/>
            </w:pPr>
            <w:r>
              <w:rPr>
                <w:rtl/>
              </w:rPr>
              <w:t>ﺭ</w:t>
            </w:r>
          </w:p>
        </w:tc>
        <w:tc>
          <w:tcPr>
            <w:tcW w:w="1561" w:type="dxa"/>
          </w:tcPr>
          <w:p>
            <w:pPr>
              <w:pStyle w:val="TableParagraph"/>
              <w:spacing w:line="275" w:lineRule="exact" w:before="0"/>
              <w:rPr>
                <w:sz w:val="24"/>
              </w:rPr>
            </w:pPr>
            <w:r>
              <w:rPr>
                <w:spacing w:val="-5"/>
                <w:sz w:val="24"/>
              </w:rPr>
              <w:t>Ra</w:t>
            </w:r>
          </w:p>
        </w:tc>
        <w:tc>
          <w:tcPr>
            <w:tcW w:w="2552" w:type="dxa"/>
          </w:tcPr>
          <w:p>
            <w:pPr>
              <w:pStyle w:val="TableParagraph"/>
              <w:spacing w:line="275" w:lineRule="exact" w:before="0"/>
              <w:rPr>
                <w:sz w:val="24"/>
              </w:rPr>
            </w:pPr>
            <w:r>
              <w:rPr>
                <w:spacing w:val="-10"/>
                <w:sz w:val="24"/>
              </w:rPr>
              <w:t>R</w:t>
            </w:r>
          </w:p>
        </w:tc>
        <w:tc>
          <w:tcPr>
            <w:tcW w:w="2835" w:type="dxa"/>
          </w:tcPr>
          <w:p>
            <w:pPr>
              <w:pStyle w:val="TableParagraph"/>
              <w:spacing w:line="275" w:lineRule="exact" w:before="0"/>
              <w:ind w:left="104"/>
              <w:rPr>
                <w:sz w:val="24"/>
              </w:rPr>
            </w:pPr>
            <w:r>
              <w:rPr>
                <w:spacing w:val="-5"/>
                <w:sz w:val="24"/>
              </w:rPr>
              <w:t>Er</w:t>
            </w:r>
          </w:p>
        </w:tc>
      </w:tr>
      <w:tr>
        <w:trPr>
          <w:trHeight w:val="414" w:hRule="atLeast"/>
        </w:trPr>
        <w:tc>
          <w:tcPr>
            <w:tcW w:w="1560" w:type="dxa"/>
          </w:tcPr>
          <w:p>
            <w:pPr>
              <w:pStyle w:val="TableParagraph"/>
              <w:spacing w:line="275" w:lineRule="exact" w:before="0"/>
            </w:pPr>
            <w:r>
              <w:rPr>
                <w:rtl/>
              </w:rPr>
              <w:t>ﺯ</w:t>
            </w:r>
          </w:p>
        </w:tc>
        <w:tc>
          <w:tcPr>
            <w:tcW w:w="1561" w:type="dxa"/>
          </w:tcPr>
          <w:p>
            <w:pPr>
              <w:pStyle w:val="TableParagraph"/>
              <w:spacing w:line="275" w:lineRule="exact" w:before="0"/>
              <w:rPr>
                <w:sz w:val="24"/>
              </w:rPr>
            </w:pPr>
            <w:r>
              <w:rPr>
                <w:spacing w:val="-5"/>
                <w:sz w:val="24"/>
              </w:rPr>
              <w:t>Zai</w:t>
            </w:r>
          </w:p>
        </w:tc>
        <w:tc>
          <w:tcPr>
            <w:tcW w:w="2552" w:type="dxa"/>
          </w:tcPr>
          <w:p>
            <w:pPr>
              <w:pStyle w:val="TableParagraph"/>
              <w:spacing w:line="275" w:lineRule="exact" w:before="0"/>
              <w:rPr>
                <w:sz w:val="24"/>
              </w:rPr>
            </w:pPr>
            <w:r>
              <w:rPr>
                <w:spacing w:val="-10"/>
                <w:sz w:val="24"/>
              </w:rPr>
              <w:t>Z</w:t>
            </w:r>
          </w:p>
        </w:tc>
        <w:tc>
          <w:tcPr>
            <w:tcW w:w="2835" w:type="dxa"/>
          </w:tcPr>
          <w:p>
            <w:pPr>
              <w:pStyle w:val="TableParagraph"/>
              <w:spacing w:line="275" w:lineRule="exact" w:before="0"/>
              <w:ind w:left="104"/>
              <w:rPr>
                <w:sz w:val="24"/>
              </w:rPr>
            </w:pPr>
            <w:r>
              <w:rPr>
                <w:spacing w:val="-5"/>
                <w:sz w:val="24"/>
              </w:rPr>
              <w:t>Zet</w:t>
            </w:r>
          </w:p>
        </w:tc>
      </w:tr>
      <w:tr>
        <w:trPr>
          <w:trHeight w:val="414" w:hRule="atLeast"/>
        </w:trPr>
        <w:tc>
          <w:tcPr>
            <w:tcW w:w="1560" w:type="dxa"/>
          </w:tcPr>
          <w:p>
            <w:pPr>
              <w:pStyle w:val="TableParagraph"/>
              <w:spacing w:line="275" w:lineRule="exact" w:before="0"/>
            </w:pPr>
            <w:r>
              <w:rPr>
                <w:rtl/>
              </w:rPr>
              <w:t>ﺱ</w:t>
            </w:r>
          </w:p>
        </w:tc>
        <w:tc>
          <w:tcPr>
            <w:tcW w:w="1561" w:type="dxa"/>
          </w:tcPr>
          <w:p>
            <w:pPr>
              <w:pStyle w:val="TableParagraph"/>
              <w:spacing w:line="275" w:lineRule="exact" w:before="0"/>
              <w:rPr>
                <w:sz w:val="24"/>
              </w:rPr>
            </w:pPr>
            <w:r>
              <w:rPr>
                <w:spacing w:val="-5"/>
                <w:sz w:val="24"/>
              </w:rPr>
              <w:t>Sin</w:t>
            </w:r>
          </w:p>
        </w:tc>
        <w:tc>
          <w:tcPr>
            <w:tcW w:w="2552" w:type="dxa"/>
          </w:tcPr>
          <w:p>
            <w:pPr>
              <w:pStyle w:val="TableParagraph"/>
              <w:spacing w:line="275" w:lineRule="exact" w:before="0"/>
              <w:rPr>
                <w:sz w:val="24"/>
              </w:rPr>
            </w:pPr>
            <w:r>
              <w:rPr>
                <w:spacing w:val="-10"/>
                <w:sz w:val="24"/>
              </w:rPr>
              <w:t>S</w:t>
            </w:r>
          </w:p>
        </w:tc>
        <w:tc>
          <w:tcPr>
            <w:tcW w:w="2835" w:type="dxa"/>
          </w:tcPr>
          <w:p>
            <w:pPr>
              <w:pStyle w:val="TableParagraph"/>
              <w:spacing w:line="275" w:lineRule="exact" w:before="0"/>
              <w:ind w:left="104"/>
              <w:rPr>
                <w:sz w:val="24"/>
              </w:rPr>
            </w:pPr>
            <w:r>
              <w:rPr>
                <w:spacing w:val="-5"/>
                <w:sz w:val="24"/>
              </w:rPr>
              <w:t>Es</w:t>
            </w:r>
          </w:p>
        </w:tc>
      </w:tr>
      <w:tr>
        <w:trPr>
          <w:trHeight w:val="412" w:hRule="atLeast"/>
        </w:trPr>
        <w:tc>
          <w:tcPr>
            <w:tcW w:w="1560" w:type="dxa"/>
          </w:tcPr>
          <w:p>
            <w:pPr>
              <w:pStyle w:val="TableParagraph"/>
              <w:spacing w:line="275" w:lineRule="exact" w:before="0"/>
            </w:pPr>
            <w:r>
              <w:rPr>
                <w:rtl/>
              </w:rPr>
              <w:t>ﺵ</w:t>
            </w:r>
          </w:p>
        </w:tc>
        <w:tc>
          <w:tcPr>
            <w:tcW w:w="1561" w:type="dxa"/>
          </w:tcPr>
          <w:p>
            <w:pPr>
              <w:pStyle w:val="TableParagraph"/>
              <w:spacing w:line="275" w:lineRule="exact" w:before="0"/>
              <w:rPr>
                <w:sz w:val="24"/>
              </w:rPr>
            </w:pPr>
            <w:r>
              <w:rPr>
                <w:spacing w:val="-4"/>
                <w:sz w:val="24"/>
              </w:rPr>
              <w:t>Syin</w:t>
            </w:r>
          </w:p>
        </w:tc>
        <w:tc>
          <w:tcPr>
            <w:tcW w:w="2552" w:type="dxa"/>
          </w:tcPr>
          <w:p>
            <w:pPr>
              <w:pStyle w:val="TableParagraph"/>
              <w:spacing w:line="275" w:lineRule="exact" w:before="0"/>
              <w:rPr>
                <w:sz w:val="24"/>
              </w:rPr>
            </w:pPr>
            <w:r>
              <w:rPr>
                <w:spacing w:val="-5"/>
                <w:sz w:val="24"/>
              </w:rPr>
              <w:t>Sy</w:t>
            </w:r>
          </w:p>
        </w:tc>
        <w:tc>
          <w:tcPr>
            <w:tcW w:w="2835" w:type="dxa"/>
          </w:tcPr>
          <w:p>
            <w:pPr>
              <w:pStyle w:val="TableParagraph"/>
              <w:spacing w:line="275" w:lineRule="exact" w:before="0"/>
              <w:ind w:left="104"/>
              <w:rPr>
                <w:sz w:val="24"/>
              </w:rPr>
            </w:pPr>
            <w:r>
              <w:rPr>
                <w:sz w:val="24"/>
              </w:rPr>
              <w:t>Es</w:t>
            </w:r>
            <w:r>
              <w:rPr>
                <w:spacing w:val="-4"/>
                <w:sz w:val="24"/>
              </w:rPr>
              <w:t> </w:t>
            </w:r>
            <w:r>
              <w:rPr>
                <w:sz w:val="24"/>
              </w:rPr>
              <w:t>dan</w:t>
            </w:r>
            <w:r>
              <w:rPr>
                <w:spacing w:val="-1"/>
                <w:sz w:val="24"/>
              </w:rPr>
              <w:t> </w:t>
            </w:r>
            <w:r>
              <w:rPr>
                <w:spacing w:val="-5"/>
                <w:sz w:val="24"/>
              </w:rPr>
              <w:t>Ye</w:t>
            </w:r>
          </w:p>
        </w:tc>
      </w:tr>
      <w:tr>
        <w:trPr>
          <w:trHeight w:val="441" w:hRule="atLeast"/>
        </w:trPr>
        <w:tc>
          <w:tcPr>
            <w:tcW w:w="1560" w:type="dxa"/>
          </w:tcPr>
          <w:p>
            <w:pPr>
              <w:pStyle w:val="TableParagraph"/>
              <w:spacing w:line="275" w:lineRule="exact" w:before="0"/>
            </w:pPr>
            <w:r>
              <w:rPr>
                <w:rtl/>
              </w:rPr>
              <w:t>ﺹ</w:t>
            </w:r>
          </w:p>
        </w:tc>
        <w:tc>
          <w:tcPr>
            <w:tcW w:w="1561" w:type="dxa"/>
          </w:tcPr>
          <w:p>
            <w:pPr>
              <w:pStyle w:val="TableParagraph"/>
              <w:spacing w:line="275" w:lineRule="exact" w:before="0"/>
              <w:rPr>
                <w:sz w:val="24"/>
              </w:rPr>
            </w:pPr>
            <w:r>
              <w:rPr>
                <w:spacing w:val="-5"/>
                <w:sz w:val="24"/>
              </w:rPr>
              <w:t>Sad</w:t>
            </w:r>
          </w:p>
        </w:tc>
        <w:tc>
          <w:tcPr>
            <w:tcW w:w="2552" w:type="dxa"/>
          </w:tcPr>
          <w:p>
            <w:pPr>
              <w:pStyle w:val="TableParagraph"/>
              <w:spacing w:line="292" w:lineRule="exact" w:before="0"/>
              <w:rPr>
                <w:rFonts w:ascii="Calibri" w:hAnsi="Calibri"/>
                <w:sz w:val="24"/>
              </w:rPr>
            </w:pPr>
            <w:r>
              <w:rPr>
                <w:rFonts w:ascii="Calibri" w:hAnsi="Calibri"/>
                <w:spacing w:val="-10"/>
                <w:sz w:val="24"/>
              </w:rPr>
              <w:t>Ṣ</w:t>
            </w:r>
          </w:p>
        </w:tc>
        <w:tc>
          <w:tcPr>
            <w:tcW w:w="2835" w:type="dxa"/>
          </w:tcPr>
          <w:p>
            <w:pPr>
              <w:pStyle w:val="TableParagraph"/>
              <w:spacing w:line="275" w:lineRule="exact" w:before="0"/>
              <w:ind w:left="104"/>
              <w:rPr>
                <w:sz w:val="24"/>
              </w:rPr>
            </w:pPr>
            <w:r>
              <w:rPr>
                <w:sz w:val="24"/>
              </w:rPr>
              <w:t>Es</w:t>
            </w:r>
            <w:r>
              <w:rPr>
                <w:spacing w:val="-2"/>
                <w:sz w:val="24"/>
              </w:rPr>
              <w:t> </w:t>
            </w:r>
            <w:r>
              <w:rPr>
                <w:sz w:val="24"/>
              </w:rPr>
              <w:t>(dengan</w:t>
            </w:r>
            <w:r>
              <w:rPr>
                <w:spacing w:val="-1"/>
                <w:sz w:val="24"/>
              </w:rPr>
              <w:t> </w:t>
            </w:r>
            <w:r>
              <w:rPr>
                <w:sz w:val="24"/>
              </w:rPr>
              <w:t>titik</w:t>
            </w:r>
            <w:r>
              <w:rPr>
                <w:spacing w:val="-1"/>
                <w:sz w:val="24"/>
              </w:rPr>
              <w:t> </w:t>
            </w:r>
            <w:r>
              <w:rPr>
                <w:sz w:val="24"/>
              </w:rPr>
              <w:t>di</w:t>
            </w:r>
            <w:r>
              <w:rPr>
                <w:spacing w:val="-1"/>
                <w:sz w:val="24"/>
              </w:rPr>
              <w:t> </w:t>
            </w:r>
            <w:r>
              <w:rPr>
                <w:spacing w:val="-2"/>
                <w:sz w:val="24"/>
              </w:rPr>
              <w:t>bawah)</w:t>
            </w:r>
          </w:p>
        </w:tc>
      </w:tr>
      <w:tr>
        <w:trPr>
          <w:trHeight w:val="438" w:hRule="atLeast"/>
        </w:trPr>
        <w:tc>
          <w:tcPr>
            <w:tcW w:w="1560" w:type="dxa"/>
          </w:tcPr>
          <w:p>
            <w:pPr>
              <w:pStyle w:val="TableParagraph"/>
              <w:spacing w:line="275" w:lineRule="exact" w:before="0"/>
            </w:pPr>
            <w:r>
              <w:rPr>
                <w:rtl/>
              </w:rPr>
              <w:t>ﺽ</w:t>
            </w:r>
          </w:p>
        </w:tc>
        <w:tc>
          <w:tcPr>
            <w:tcW w:w="1561" w:type="dxa"/>
          </w:tcPr>
          <w:p>
            <w:pPr>
              <w:pStyle w:val="TableParagraph"/>
              <w:spacing w:line="275" w:lineRule="exact" w:before="0"/>
              <w:rPr>
                <w:sz w:val="24"/>
              </w:rPr>
            </w:pPr>
            <w:r>
              <w:rPr>
                <w:spacing w:val="-5"/>
                <w:sz w:val="24"/>
              </w:rPr>
              <w:t>Dad</w:t>
            </w:r>
          </w:p>
        </w:tc>
        <w:tc>
          <w:tcPr>
            <w:tcW w:w="2552" w:type="dxa"/>
          </w:tcPr>
          <w:p>
            <w:pPr>
              <w:pStyle w:val="TableParagraph"/>
              <w:spacing w:line="292" w:lineRule="exact" w:before="0"/>
              <w:rPr>
                <w:rFonts w:ascii="Calibri" w:hAnsi="Calibri"/>
                <w:sz w:val="24"/>
              </w:rPr>
            </w:pPr>
            <w:r>
              <w:rPr>
                <w:rFonts w:ascii="Calibri" w:hAnsi="Calibri"/>
                <w:spacing w:val="-10"/>
                <w:sz w:val="24"/>
              </w:rPr>
              <w:t>Ḍ</w:t>
            </w:r>
          </w:p>
        </w:tc>
        <w:tc>
          <w:tcPr>
            <w:tcW w:w="2835" w:type="dxa"/>
          </w:tcPr>
          <w:p>
            <w:pPr>
              <w:pStyle w:val="TableParagraph"/>
              <w:spacing w:line="275" w:lineRule="exact" w:before="0"/>
              <w:ind w:left="104"/>
              <w:rPr>
                <w:sz w:val="24"/>
              </w:rPr>
            </w:pPr>
            <w:r>
              <w:rPr>
                <w:sz w:val="24"/>
              </w:rPr>
              <w:t>De</w:t>
            </w:r>
            <w:r>
              <w:rPr>
                <w:spacing w:val="-3"/>
                <w:sz w:val="24"/>
              </w:rPr>
              <w:t> </w:t>
            </w:r>
            <w:r>
              <w:rPr>
                <w:sz w:val="24"/>
              </w:rPr>
              <w:t>(dengan titik di </w:t>
            </w:r>
            <w:r>
              <w:rPr>
                <w:spacing w:val="-2"/>
                <w:sz w:val="24"/>
              </w:rPr>
              <w:t>bawah)</w:t>
            </w:r>
          </w:p>
        </w:tc>
      </w:tr>
      <w:tr>
        <w:trPr>
          <w:trHeight w:val="438" w:hRule="atLeast"/>
        </w:trPr>
        <w:tc>
          <w:tcPr>
            <w:tcW w:w="1560" w:type="dxa"/>
          </w:tcPr>
          <w:p>
            <w:pPr>
              <w:pStyle w:val="TableParagraph"/>
              <w:spacing w:line="275" w:lineRule="exact" w:before="0"/>
            </w:pPr>
            <w:r>
              <w:rPr>
                <w:rtl/>
              </w:rPr>
              <w:t>ﻁ</w:t>
            </w:r>
          </w:p>
        </w:tc>
        <w:tc>
          <w:tcPr>
            <w:tcW w:w="1561" w:type="dxa"/>
          </w:tcPr>
          <w:p>
            <w:pPr>
              <w:pStyle w:val="TableParagraph"/>
              <w:spacing w:line="275" w:lineRule="exact" w:before="0"/>
              <w:rPr>
                <w:sz w:val="24"/>
              </w:rPr>
            </w:pPr>
            <w:r>
              <w:rPr>
                <w:spacing w:val="-5"/>
                <w:sz w:val="24"/>
              </w:rPr>
              <w:t>Ta</w:t>
            </w:r>
          </w:p>
        </w:tc>
        <w:tc>
          <w:tcPr>
            <w:tcW w:w="2552" w:type="dxa"/>
          </w:tcPr>
          <w:p>
            <w:pPr>
              <w:pStyle w:val="TableParagraph"/>
              <w:spacing w:line="292" w:lineRule="exact" w:before="0"/>
              <w:rPr>
                <w:rFonts w:ascii="Calibri" w:hAnsi="Calibri"/>
                <w:sz w:val="24"/>
              </w:rPr>
            </w:pPr>
            <w:r>
              <w:rPr>
                <w:rFonts w:ascii="Calibri" w:hAnsi="Calibri"/>
                <w:spacing w:val="-10"/>
                <w:sz w:val="24"/>
              </w:rPr>
              <w:t>Ṭ</w:t>
            </w:r>
          </w:p>
        </w:tc>
        <w:tc>
          <w:tcPr>
            <w:tcW w:w="2835" w:type="dxa"/>
          </w:tcPr>
          <w:p>
            <w:pPr>
              <w:pStyle w:val="TableParagraph"/>
              <w:spacing w:line="275" w:lineRule="exact" w:before="0"/>
              <w:ind w:left="104"/>
              <w:rPr>
                <w:sz w:val="24"/>
              </w:rPr>
            </w:pPr>
            <w:r>
              <w:rPr>
                <w:sz w:val="24"/>
              </w:rPr>
              <w:t>Te</w:t>
            </w:r>
            <w:r>
              <w:rPr>
                <w:spacing w:val="-3"/>
                <w:sz w:val="24"/>
              </w:rPr>
              <w:t> </w:t>
            </w:r>
            <w:r>
              <w:rPr>
                <w:sz w:val="24"/>
              </w:rPr>
              <w:t>(dengan titik di </w:t>
            </w:r>
            <w:r>
              <w:rPr>
                <w:spacing w:val="-2"/>
                <w:sz w:val="24"/>
              </w:rPr>
              <w:t>bawah)</w:t>
            </w:r>
          </w:p>
        </w:tc>
      </w:tr>
      <w:tr>
        <w:trPr>
          <w:trHeight w:val="438" w:hRule="atLeast"/>
        </w:trPr>
        <w:tc>
          <w:tcPr>
            <w:tcW w:w="1560" w:type="dxa"/>
          </w:tcPr>
          <w:p>
            <w:pPr>
              <w:pStyle w:val="TableParagraph"/>
              <w:spacing w:line="275" w:lineRule="exact" w:before="0"/>
            </w:pPr>
            <w:r>
              <w:rPr>
                <w:rtl/>
              </w:rPr>
              <w:t>ﻅ</w:t>
            </w:r>
          </w:p>
        </w:tc>
        <w:tc>
          <w:tcPr>
            <w:tcW w:w="1561" w:type="dxa"/>
          </w:tcPr>
          <w:p>
            <w:pPr>
              <w:pStyle w:val="TableParagraph"/>
              <w:spacing w:line="275" w:lineRule="exact" w:before="0"/>
              <w:rPr>
                <w:sz w:val="24"/>
              </w:rPr>
            </w:pPr>
            <w:r>
              <w:rPr>
                <w:spacing w:val="-5"/>
                <w:sz w:val="24"/>
              </w:rPr>
              <w:t>Za</w:t>
            </w:r>
          </w:p>
        </w:tc>
        <w:tc>
          <w:tcPr>
            <w:tcW w:w="2552" w:type="dxa"/>
          </w:tcPr>
          <w:p>
            <w:pPr>
              <w:pStyle w:val="TableParagraph"/>
              <w:spacing w:line="292" w:lineRule="exact" w:before="0"/>
              <w:rPr>
                <w:rFonts w:ascii="Calibri" w:hAnsi="Calibri"/>
                <w:sz w:val="24"/>
              </w:rPr>
            </w:pPr>
            <w:r>
              <w:rPr>
                <w:rFonts w:ascii="Calibri" w:hAnsi="Calibri"/>
                <w:spacing w:val="-10"/>
                <w:sz w:val="24"/>
              </w:rPr>
              <w:t>Ẓ</w:t>
            </w:r>
          </w:p>
        </w:tc>
        <w:tc>
          <w:tcPr>
            <w:tcW w:w="2835" w:type="dxa"/>
          </w:tcPr>
          <w:p>
            <w:pPr>
              <w:pStyle w:val="TableParagraph"/>
              <w:spacing w:line="275" w:lineRule="exact" w:before="0"/>
              <w:ind w:left="104"/>
              <w:rPr>
                <w:sz w:val="24"/>
              </w:rPr>
            </w:pPr>
            <w:r>
              <w:rPr>
                <w:sz w:val="24"/>
              </w:rPr>
              <w:t>Zet</w:t>
            </w:r>
            <w:r>
              <w:rPr>
                <w:spacing w:val="-2"/>
                <w:sz w:val="24"/>
              </w:rPr>
              <w:t> </w:t>
            </w:r>
            <w:r>
              <w:rPr>
                <w:sz w:val="24"/>
              </w:rPr>
              <w:t>(dengan</w:t>
            </w:r>
            <w:r>
              <w:rPr>
                <w:spacing w:val="-1"/>
                <w:sz w:val="24"/>
              </w:rPr>
              <w:t> </w:t>
            </w:r>
            <w:r>
              <w:rPr>
                <w:sz w:val="24"/>
              </w:rPr>
              <w:t>titik</w:t>
            </w:r>
            <w:r>
              <w:rPr>
                <w:spacing w:val="-1"/>
                <w:sz w:val="24"/>
              </w:rPr>
              <w:t> </w:t>
            </w:r>
            <w:r>
              <w:rPr>
                <w:sz w:val="24"/>
              </w:rPr>
              <w:t>di</w:t>
            </w:r>
            <w:r>
              <w:rPr>
                <w:spacing w:val="-1"/>
                <w:sz w:val="24"/>
              </w:rPr>
              <w:t> </w:t>
            </w:r>
            <w:r>
              <w:rPr>
                <w:spacing w:val="-2"/>
                <w:sz w:val="24"/>
              </w:rPr>
              <w:t>bawah)</w:t>
            </w:r>
          </w:p>
        </w:tc>
      </w:tr>
      <w:tr>
        <w:trPr>
          <w:trHeight w:val="415" w:hRule="atLeast"/>
        </w:trPr>
        <w:tc>
          <w:tcPr>
            <w:tcW w:w="1560" w:type="dxa"/>
          </w:tcPr>
          <w:p>
            <w:pPr>
              <w:pStyle w:val="TableParagraph"/>
              <w:spacing w:line="275" w:lineRule="exact" w:before="0"/>
            </w:pPr>
            <w:r>
              <w:rPr>
                <w:rtl/>
              </w:rPr>
              <w:t>ﻉ</w:t>
            </w:r>
          </w:p>
        </w:tc>
        <w:tc>
          <w:tcPr>
            <w:tcW w:w="1561" w:type="dxa"/>
          </w:tcPr>
          <w:p>
            <w:pPr>
              <w:pStyle w:val="TableParagraph"/>
              <w:spacing w:line="275" w:lineRule="exact" w:before="0"/>
              <w:rPr>
                <w:sz w:val="24"/>
              </w:rPr>
            </w:pPr>
            <w:r>
              <w:rPr>
                <w:spacing w:val="-5"/>
                <w:sz w:val="24"/>
              </w:rPr>
              <w:t>Ain</w:t>
            </w:r>
          </w:p>
        </w:tc>
        <w:tc>
          <w:tcPr>
            <w:tcW w:w="2552" w:type="dxa"/>
          </w:tcPr>
          <w:p>
            <w:pPr>
              <w:pStyle w:val="TableParagraph"/>
              <w:spacing w:line="275" w:lineRule="exact" w:before="0"/>
              <w:rPr>
                <w:sz w:val="24"/>
              </w:rPr>
            </w:pPr>
            <w:r>
              <w:rPr>
                <w:spacing w:val="-10"/>
                <w:sz w:val="24"/>
              </w:rPr>
              <w:t>‘</w:t>
            </w:r>
          </w:p>
        </w:tc>
        <w:tc>
          <w:tcPr>
            <w:tcW w:w="2835" w:type="dxa"/>
          </w:tcPr>
          <w:p>
            <w:pPr>
              <w:pStyle w:val="TableParagraph"/>
              <w:spacing w:line="275" w:lineRule="exact" w:before="0"/>
              <w:ind w:left="104"/>
              <w:rPr>
                <w:sz w:val="24"/>
              </w:rPr>
            </w:pPr>
            <w:r>
              <w:rPr>
                <w:sz w:val="24"/>
              </w:rPr>
              <w:t>Apostrof</w:t>
            </w:r>
            <w:r>
              <w:rPr>
                <w:spacing w:val="-2"/>
                <w:sz w:val="24"/>
              </w:rPr>
              <w:t> terbalik</w:t>
            </w:r>
          </w:p>
        </w:tc>
      </w:tr>
      <w:tr>
        <w:trPr>
          <w:trHeight w:val="414" w:hRule="atLeast"/>
        </w:trPr>
        <w:tc>
          <w:tcPr>
            <w:tcW w:w="1560" w:type="dxa"/>
          </w:tcPr>
          <w:p>
            <w:pPr>
              <w:pStyle w:val="TableParagraph"/>
              <w:spacing w:line="275" w:lineRule="exact" w:before="0"/>
            </w:pPr>
            <w:r>
              <w:rPr>
                <w:rtl/>
              </w:rPr>
              <w:t>ﻍ</w:t>
            </w:r>
          </w:p>
        </w:tc>
        <w:tc>
          <w:tcPr>
            <w:tcW w:w="1561" w:type="dxa"/>
          </w:tcPr>
          <w:p>
            <w:pPr>
              <w:pStyle w:val="TableParagraph"/>
              <w:spacing w:line="275" w:lineRule="exact" w:before="0"/>
              <w:rPr>
                <w:sz w:val="24"/>
              </w:rPr>
            </w:pPr>
            <w:r>
              <w:rPr>
                <w:spacing w:val="-4"/>
                <w:sz w:val="24"/>
              </w:rPr>
              <w:t>Gain</w:t>
            </w:r>
          </w:p>
        </w:tc>
        <w:tc>
          <w:tcPr>
            <w:tcW w:w="2552" w:type="dxa"/>
          </w:tcPr>
          <w:p>
            <w:pPr>
              <w:pStyle w:val="TableParagraph"/>
              <w:spacing w:line="275" w:lineRule="exact" w:before="0"/>
              <w:rPr>
                <w:sz w:val="24"/>
              </w:rPr>
            </w:pPr>
            <w:r>
              <w:rPr>
                <w:spacing w:val="-10"/>
                <w:sz w:val="24"/>
              </w:rPr>
              <w:t>G</w:t>
            </w:r>
          </w:p>
        </w:tc>
        <w:tc>
          <w:tcPr>
            <w:tcW w:w="2835" w:type="dxa"/>
          </w:tcPr>
          <w:p>
            <w:pPr>
              <w:pStyle w:val="TableParagraph"/>
              <w:spacing w:line="275" w:lineRule="exact" w:before="0"/>
              <w:ind w:left="104"/>
              <w:rPr>
                <w:sz w:val="24"/>
              </w:rPr>
            </w:pPr>
            <w:r>
              <w:rPr>
                <w:spacing w:val="-5"/>
                <w:sz w:val="24"/>
              </w:rPr>
              <w:t>Ge</w:t>
            </w:r>
          </w:p>
        </w:tc>
      </w:tr>
      <w:tr>
        <w:trPr>
          <w:trHeight w:val="412" w:hRule="atLeast"/>
        </w:trPr>
        <w:tc>
          <w:tcPr>
            <w:tcW w:w="1560" w:type="dxa"/>
          </w:tcPr>
          <w:p>
            <w:pPr>
              <w:pStyle w:val="TableParagraph"/>
              <w:spacing w:line="275" w:lineRule="exact" w:before="0"/>
            </w:pPr>
            <w:r>
              <w:rPr>
                <w:rtl/>
              </w:rPr>
              <w:t>ﻑ</w:t>
            </w:r>
          </w:p>
        </w:tc>
        <w:tc>
          <w:tcPr>
            <w:tcW w:w="1561" w:type="dxa"/>
          </w:tcPr>
          <w:p>
            <w:pPr>
              <w:pStyle w:val="TableParagraph"/>
              <w:spacing w:line="275" w:lineRule="exact" w:before="0"/>
              <w:rPr>
                <w:sz w:val="24"/>
              </w:rPr>
            </w:pPr>
            <w:r>
              <w:rPr>
                <w:spacing w:val="-5"/>
                <w:sz w:val="24"/>
              </w:rPr>
              <w:t>Fa</w:t>
            </w:r>
          </w:p>
        </w:tc>
        <w:tc>
          <w:tcPr>
            <w:tcW w:w="2552" w:type="dxa"/>
          </w:tcPr>
          <w:p>
            <w:pPr>
              <w:pStyle w:val="TableParagraph"/>
              <w:spacing w:line="275" w:lineRule="exact" w:before="0"/>
              <w:rPr>
                <w:sz w:val="24"/>
              </w:rPr>
            </w:pPr>
            <w:r>
              <w:rPr>
                <w:spacing w:val="-10"/>
                <w:sz w:val="24"/>
              </w:rPr>
              <w:t>F</w:t>
            </w:r>
          </w:p>
        </w:tc>
        <w:tc>
          <w:tcPr>
            <w:tcW w:w="2835" w:type="dxa"/>
          </w:tcPr>
          <w:p>
            <w:pPr>
              <w:pStyle w:val="TableParagraph"/>
              <w:spacing w:line="275" w:lineRule="exact" w:before="0"/>
              <w:ind w:left="104"/>
              <w:rPr>
                <w:sz w:val="24"/>
              </w:rPr>
            </w:pPr>
            <w:r>
              <w:rPr>
                <w:spacing w:val="-5"/>
                <w:sz w:val="24"/>
              </w:rPr>
              <w:t>Ef</w:t>
            </w:r>
          </w:p>
        </w:tc>
      </w:tr>
      <w:tr>
        <w:trPr>
          <w:trHeight w:val="414" w:hRule="atLeast"/>
        </w:trPr>
        <w:tc>
          <w:tcPr>
            <w:tcW w:w="1560" w:type="dxa"/>
          </w:tcPr>
          <w:p>
            <w:pPr>
              <w:pStyle w:val="TableParagraph"/>
              <w:spacing w:line="275" w:lineRule="exact" w:before="0"/>
            </w:pPr>
            <w:r>
              <w:rPr>
                <w:rtl/>
              </w:rPr>
              <w:t>ﻕ</w:t>
            </w:r>
          </w:p>
        </w:tc>
        <w:tc>
          <w:tcPr>
            <w:tcW w:w="1561" w:type="dxa"/>
          </w:tcPr>
          <w:p>
            <w:pPr>
              <w:pStyle w:val="TableParagraph"/>
              <w:spacing w:line="275" w:lineRule="exact" w:before="0"/>
              <w:rPr>
                <w:sz w:val="24"/>
              </w:rPr>
            </w:pPr>
            <w:r>
              <w:rPr>
                <w:spacing w:val="-5"/>
                <w:sz w:val="24"/>
              </w:rPr>
              <w:t>Qof</w:t>
            </w:r>
          </w:p>
        </w:tc>
        <w:tc>
          <w:tcPr>
            <w:tcW w:w="2552" w:type="dxa"/>
          </w:tcPr>
          <w:p>
            <w:pPr>
              <w:pStyle w:val="TableParagraph"/>
              <w:spacing w:line="275" w:lineRule="exact" w:before="0"/>
              <w:rPr>
                <w:sz w:val="24"/>
              </w:rPr>
            </w:pPr>
            <w:r>
              <w:rPr>
                <w:spacing w:val="-10"/>
                <w:sz w:val="24"/>
              </w:rPr>
              <w:t>Q</w:t>
            </w:r>
          </w:p>
        </w:tc>
        <w:tc>
          <w:tcPr>
            <w:tcW w:w="2835" w:type="dxa"/>
          </w:tcPr>
          <w:p>
            <w:pPr>
              <w:pStyle w:val="TableParagraph"/>
              <w:spacing w:line="275" w:lineRule="exact" w:before="0"/>
              <w:ind w:left="104"/>
              <w:rPr>
                <w:sz w:val="24"/>
              </w:rPr>
            </w:pPr>
            <w:r>
              <w:rPr>
                <w:spacing w:val="-5"/>
                <w:sz w:val="24"/>
              </w:rPr>
              <w:t>Qi</w:t>
            </w:r>
          </w:p>
        </w:tc>
      </w:tr>
      <w:tr>
        <w:trPr>
          <w:trHeight w:val="414" w:hRule="atLeast"/>
        </w:trPr>
        <w:tc>
          <w:tcPr>
            <w:tcW w:w="1560" w:type="dxa"/>
          </w:tcPr>
          <w:p>
            <w:pPr>
              <w:pStyle w:val="TableParagraph"/>
              <w:spacing w:line="275" w:lineRule="exact" w:before="0"/>
            </w:pPr>
            <w:r>
              <w:rPr>
                <w:rtl/>
              </w:rPr>
              <w:t>ﻙ</w:t>
            </w:r>
          </w:p>
        </w:tc>
        <w:tc>
          <w:tcPr>
            <w:tcW w:w="1561" w:type="dxa"/>
          </w:tcPr>
          <w:p>
            <w:pPr>
              <w:pStyle w:val="TableParagraph"/>
              <w:spacing w:line="275" w:lineRule="exact" w:before="0"/>
              <w:rPr>
                <w:sz w:val="24"/>
              </w:rPr>
            </w:pPr>
            <w:r>
              <w:rPr>
                <w:spacing w:val="-5"/>
                <w:sz w:val="24"/>
              </w:rPr>
              <w:t>Kaf</w:t>
            </w:r>
          </w:p>
        </w:tc>
        <w:tc>
          <w:tcPr>
            <w:tcW w:w="2552" w:type="dxa"/>
          </w:tcPr>
          <w:p>
            <w:pPr>
              <w:pStyle w:val="TableParagraph"/>
              <w:spacing w:line="275" w:lineRule="exact" w:before="0"/>
              <w:rPr>
                <w:sz w:val="24"/>
              </w:rPr>
            </w:pPr>
            <w:r>
              <w:rPr>
                <w:spacing w:val="-10"/>
                <w:sz w:val="24"/>
              </w:rPr>
              <w:t>K</w:t>
            </w:r>
          </w:p>
        </w:tc>
        <w:tc>
          <w:tcPr>
            <w:tcW w:w="2835" w:type="dxa"/>
          </w:tcPr>
          <w:p>
            <w:pPr>
              <w:pStyle w:val="TableParagraph"/>
              <w:spacing w:line="275" w:lineRule="exact" w:before="0"/>
              <w:ind w:left="104"/>
              <w:rPr>
                <w:sz w:val="24"/>
              </w:rPr>
            </w:pPr>
            <w:r>
              <w:rPr>
                <w:spacing w:val="-5"/>
                <w:sz w:val="24"/>
              </w:rPr>
              <w:t>Ka</w:t>
            </w:r>
          </w:p>
        </w:tc>
      </w:tr>
      <w:tr>
        <w:trPr>
          <w:trHeight w:val="412" w:hRule="atLeast"/>
        </w:trPr>
        <w:tc>
          <w:tcPr>
            <w:tcW w:w="1560" w:type="dxa"/>
          </w:tcPr>
          <w:p>
            <w:pPr>
              <w:pStyle w:val="TableParagraph"/>
              <w:spacing w:line="275" w:lineRule="exact" w:before="0"/>
            </w:pPr>
            <w:r>
              <w:rPr>
                <w:rtl/>
              </w:rPr>
              <w:t>ﻝ</w:t>
            </w:r>
          </w:p>
        </w:tc>
        <w:tc>
          <w:tcPr>
            <w:tcW w:w="1561" w:type="dxa"/>
          </w:tcPr>
          <w:p>
            <w:pPr>
              <w:pStyle w:val="TableParagraph"/>
              <w:spacing w:line="275" w:lineRule="exact" w:before="0"/>
              <w:rPr>
                <w:sz w:val="24"/>
              </w:rPr>
            </w:pPr>
            <w:r>
              <w:rPr>
                <w:spacing w:val="-5"/>
                <w:sz w:val="24"/>
              </w:rPr>
              <w:t>Lam</w:t>
            </w:r>
          </w:p>
        </w:tc>
        <w:tc>
          <w:tcPr>
            <w:tcW w:w="2552" w:type="dxa"/>
          </w:tcPr>
          <w:p>
            <w:pPr>
              <w:pStyle w:val="TableParagraph"/>
              <w:spacing w:line="275" w:lineRule="exact" w:before="0"/>
              <w:rPr>
                <w:sz w:val="24"/>
              </w:rPr>
            </w:pPr>
            <w:r>
              <w:rPr>
                <w:spacing w:val="-10"/>
                <w:sz w:val="24"/>
              </w:rPr>
              <w:t>L</w:t>
            </w:r>
          </w:p>
        </w:tc>
        <w:tc>
          <w:tcPr>
            <w:tcW w:w="2835" w:type="dxa"/>
          </w:tcPr>
          <w:p>
            <w:pPr>
              <w:pStyle w:val="TableParagraph"/>
              <w:spacing w:line="275" w:lineRule="exact" w:before="0"/>
              <w:ind w:left="104"/>
              <w:rPr>
                <w:sz w:val="24"/>
              </w:rPr>
            </w:pPr>
            <w:r>
              <w:rPr>
                <w:spacing w:val="-5"/>
                <w:sz w:val="24"/>
              </w:rPr>
              <w:t>El</w:t>
            </w:r>
          </w:p>
        </w:tc>
      </w:tr>
      <w:tr>
        <w:trPr>
          <w:trHeight w:val="414" w:hRule="atLeast"/>
        </w:trPr>
        <w:tc>
          <w:tcPr>
            <w:tcW w:w="1560" w:type="dxa"/>
          </w:tcPr>
          <w:p>
            <w:pPr>
              <w:pStyle w:val="TableParagraph"/>
              <w:spacing w:line="275" w:lineRule="exact" w:before="0"/>
            </w:pPr>
            <w:r>
              <w:rPr>
                <w:rtl/>
              </w:rPr>
              <w:t>ﻡ</w:t>
            </w:r>
          </w:p>
        </w:tc>
        <w:tc>
          <w:tcPr>
            <w:tcW w:w="1561" w:type="dxa"/>
          </w:tcPr>
          <w:p>
            <w:pPr>
              <w:pStyle w:val="TableParagraph"/>
              <w:spacing w:line="275" w:lineRule="exact" w:before="0"/>
              <w:rPr>
                <w:sz w:val="24"/>
              </w:rPr>
            </w:pPr>
            <w:r>
              <w:rPr>
                <w:spacing w:val="-5"/>
                <w:sz w:val="24"/>
              </w:rPr>
              <w:t>Mim</w:t>
            </w:r>
          </w:p>
        </w:tc>
        <w:tc>
          <w:tcPr>
            <w:tcW w:w="2552" w:type="dxa"/>
          </w:tcPr>
          <w:p>
            <w:pPr>
              <w:pStyle w:val="TableParagraph"/>
              <w:spacing w:line="275" w:lineRule="exact" w:before="0"/>
              <w:rPr>
                <w:sz w:val="24"/>
              </w:rPr>
            </w:pPr>
            <w:r>
              <w:rPr>
                <w:spacing w:val="-10"/>
                <w:sz w:val="24"/>
              </w:rPr>
              <w:t>M</w:t>
            </w:r>
          </w:p>
        </w:tc>
        <w:tc>
          <w:tcPr>
            <w:tcW w:w="2835" w:type="dxa"/>
          </w:tcPr>
          <w:p>
            <w:pPr>
              <w:pStyle w:val="TableParagraph"/>
              <w:spacing w:line="275" w:lineRule="exact" w:before="0"/>
              <w:ind w:left="104"/>
              <w:rPr>
                <w:sz w:val="24"/>
              </w:rPr>
            </w:pPr>
            <w:r>
              <w:rPr>
                <w:spacing w:val="-5"/>
                <w:sz w:val="24"/>
              </w:rPr>
              <w:t>Em</w:t>
            </w:r>
          </w:p>
        </w:tc>
      </w:tr>
    </w:tbl>
    <w:p>
      <w:pPr>
        <w:pStyle w:val="TableParagraph"/>
        <w:spacing w:after="0" w:line="275" w:lineRule="exact"/>
        <w:rPr>
          <w:sz w:val="24"/>
        </w:rPr>
        <w:sectPr>
          <w:pgSz w:w="11910" w:h="16840"/>
          <w:pgMar w:header="0" w:footer="1000" w:top="1360" w:bottom="1525" w:left="1417" w:right="1275"/>
        </w:sectPr>
      </w:pPr>
    </w:p>
    <w:tbl>
      <w:tblPr>
        <w:tblW w:w="0" w:type="auto"/>
        <w:jc w:val="left"/>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561"/>
        <w:gridCol w:w="2552"/>
        <w:gridCol w:w="2835"/>
      </w:tblGrid>
      <w:tr>
        <w:trPr>
          <w:trHeight w:val="415" w:hRule="atLeast"/>
        </w:trPr>
        <w:tc>
          <w:tcPr>
            <w:tcW w:w="1560" w:type="dxa"/>
          </w:tcPr>
          <w:p>
            <w:pPr>
              <w:pStyle w:val="TableParagraph"/>
              <w:spacing w:line="275" w:lineRule="exact" w:before="0"/>
            </w:pPr>
            <w:r>
              <w:rPr>
                <w:rtl/>
              </w:rPr>
              <w:t>ﻥ</w:t>
            </w:r>
          </w:p>
        </w:tc>
        <w:tc>
          <w:tcPr>
            <w:tcW w:w="1561" w:type="dxa"/>
          </w:tcPr>
          <w:p>
            <w:pPr>
              <w:pStyle w:val="TableParagraph"/>
              <w:spacing w:line="275" w:lineRule="exact" w:before="0"/>
              <w:rPr>
                <w:sz w:val="24"/>
              </w:rPr>
            </w:pPr>
            <w:r>
              <w:rPr>
                <w:spacing w:val="-5"/>
                <w:sz w:val="24"/>
              </w:rPr>
              <w:t>Nun</w:t>
            </w:r>
          </w:p>
        </w:tc>
        <w:tc>
          <w:tcPr>
            <w:tcW w:w="2552" w:type="dxa"/>
          </w:tcPr>
          <w:p>
            <w:pPr>
              <w:pStyle w:val="TableParagraph"/>
              <w:spacing w:line="275" w:lineRule="exact" w:before="0"/>
              <w:rPr>
                <w:sz w:val="24"/>
              </w:rPr>
            </w:pPr>
            <w:r>
              <w:rPr>
                <w:spacing w:val="-10"/>
                <w:sz w:val="24"/>
              </w:rPr>
              <w:t>N</w:t>
            </w:r>
          </w:p>
        </w:tc>
        <w:tc>
          <w:tcPr>
            <w:tcW w:w="2835" w:type="dxa"/>
          </w:tcPr>
          <w:p>
            <w:pPr>
              <w:pStyle w:val="TableParagraph"/>
              <w:spacing w:line="275" w:lineRule="exact" w:before="0"/>
              <w:ind w:left="104"/>
              <w:rPr>
                <w:sz w:val="24"/>
              </w:rPr>
            </w:pPr>
            <w:r>
              <w:rPr>
                <w:spacing w:val="-5"/>
                <w:sz w:val="24"/>
              </w:rPr>
              <w:t>En</w:t>
            </w:r>
          </w:p>
        </w:tc>
      </w:tr>
      <w:tr>
        <w:trPr>
          <w:trHeight w:val="412" w:hRule="atLeast"/>
        </w:trPr>
        <w:tc>
          <w:tcPr>
            <w:tcW w:w="1560" w:type="dxa"/>
          </w:tcPr>
          <w:p>
            <w:pPr>
              <w:pStyle w:val="TableParagraph"/>
              <w:spacing w:line="275" w:lineRule="exact" w:before="0"/>
            </w:pPr>
            <w:r>
              <w:rPr>
                <w:rtl/>
              </w:rPr>
              <w:t>ﻭ</w:t>
            </w:r>
          </w:p>
        </w:tc>
        <w:tc>
          <w:tcPr>
            <w:tcW w:w="1561" w:type="dxa"/>
          </w:tcPr>
          <w:p>
            <w:pPr>
              <w:pStyle w:val="TableParagraph"/>
              <w:spacing w:line="275" w:lineRule="exact" w:before="0"/>
              <w:rPr>
                <w:sz w:val="24"/>
              </w:rPr>
            </w:pPr>
            <w:r>
              <w:rPr>
                <w:spacing w:val="-5"/>
                <w:sz w:val="24"/>
              </w:rPr>
              <w:t>Wau</w:t>
            </w:r>
          </w:p>
        </w:tc>
        <w:tc>
          <w:tcPr>
            <w:tcW w:w="2552" w:type="dxa"/>
          </w:tcPr>
          <w:p>
            <w:pPr>
              <w:pStyle w:val="TableParagraph"/>
              <w:spacing w:line="275" w:lineRule="exact" w:before="0"/>
              <w:rPr>
                <w:sz w:val="24"/>
              </w:rPr>
            </w:pPr>
            <w:r>
              <w:rPr>
                <w:spacing w:val="-10"/>
                <w:sz w:val="24"/>
              </w:rPr>
              <w:t>W</w:t>
            </w:r>
          </w:p>
        </w:tc>
        <w:tc>
          <w:tcPr>
            <w:tcW w:w="2835" w:type="dxa"/>
          </w:tcPr>
          <w:p>
            <w:pPr>
              <w:pStyle w:val="TableParagraph"/>
              <w:spacing w:line="275" w:lineRule="exact" w:before="0"/>
              <w:ind w:left="104"/>
              <w:rPr>
                <w:sz w:val="24"/>
              </w:rPr>
            </w:pPr>
            <w:r>
              <w:rPr>
                <w:spacing w:val="-5"/>
                <w:sz w:val="24"/>
              </w:rPr>
              <w:t>We</w:t>
            </w:r>
          </w:p>
        </w:tc>
      </w:tr>
      <w:tr>
        <w:trPr>
          <w:trHeight w:val="414" w:hRule="atLeast"/>
        </w:trPr>
        <w:tc>
          <w:tcPr>
            <w:tcW w:w="1560" w:type="dxa"/>
          </w:tcPr>
          <w:p>
            <w:pPr>
              <w:pStyle w:val="TableParagraph"/>
              <w:spacing w:line="275" w:lineRule="exact" w:before="0"/>
            </w:pPr>
            <w:r>
              <w:rPr>
                <w:rtl/>
              </w:rPr>
              <w:t>ﻩ</w:t>
            </w:r>
          </w:p>
        </w:tc>
        <w:tc>
          <w:tcPr>
            <w:tcW w:w="1561" w:type="dxa"/>
          </w:tcPr>
          <w:p>
            <w:pPr>
              <w:pStyle w:val="TableParagraph"/>
              <w:spacing w:line="275" w:lineRule="exact" w:before="0"/>
              <w:rPr>
                <w:sz w:val="24"/>
              </w:rPr>
            </w:pPr>
            <w:r>
              <w:rPr>
                <w:spacing w:val="-5"/>
                <w:sz w:val="24"/>
              </w:rPr>
              <w:t>Ha</w:t>
            </w:r>
          </w:p>
        </w:tc>
        <w:tc>
          <w:tcPr>
            <w:tcW w:w="2552" w:type="dxa"/>
          </w:tcPr>
          <w:p>
            <w:pPr>
              <w:pStyle w:val="TableParagraph"/>
              <w:spacing w:line="275" w:lineRule="exact" w:before="0"/>
              <w:rPr>
                <w:sz w:val="24"/>
              </w:rPr>
            </w:pPr>
            <w:r>
              <w:rPr>
                <w:spacing w:val="-10"/>
                <w:sz w:val="24"/>
              </w:rPr>
              <w:t>‘</w:t>
            </w:r>
          </w:p>
        </w:tc>
        <w:tc>
          <w:tcPr>
            <w:tcW w:w="2835" w:type="dxa"/>
          </w:tcPr>
          <w:p>
            <w:pPr>
              <w:pStyle w:val="TableParagraph"/>
              <w:spacing w:line="275" w:lineRule="exact" w:before="0"/>
              <w:ind w:left="104"/>
              <w:rPr>
                <w:sz w:val="24"/>
              </w:rPr>
            </w:pPr>
            <w:r>
              <w:rPr>
                <w:spacing w:val="-5"/>
                <w:sz w:val="24"/>
              </w:rPr>
              <w:t>Ha</w:t>
            </w:r>
          </w:p>
        </w:tc>
      </w:tr>
      <w:tr>
        <w:trPr>
          <w:trHeight w:val="414" w:hRule="atLeast"/>
        </w:trPr>
        <w:tc>
          <w:tcPr>
            <w:tcW w:w="1560" w:type="dxa"/>
          </w:tcPr>
          <w:p>
            <w:pPr>
              <w:pStyle w:val="TableParagraph"/>
              <w:spacing w:line="275" w:lineRule="exact" w:before="0"/>
            </w:pPr>
            <w:r>
              <w:rPr>
                <w:rtl/>
              </w:rPr>
              <w:t>ﺀ</w:t>
            </w:r>
          </w:p>
        </w:tc>
        <w:tc>
          <w:tcPr>
            <w:tcW w:w="1561" w:type="dxa"/>
          </w:tcPr>
          <w:p>
            <w:pPr>
              <w:pStyle w:val="TableParagraph"/>
              <w:spacing w:line="275" w:lineRule="exact" w:before="0"/>
              <w:rPr>
                <w:sz w:val="24"/>
              </w:rPr>
            </w:pPr>
            <w:r>
              <w:rPr>
                <w:spacing w:val="-2"/>
                <w:sz w:val="24"/>
              </w:rPr>
              <w:t>Hamzah</w:t>
            </w:r>
          </w:p>
        </w:tc>
        <w:tc>
          <w:tcPr>
            <w:tcW w:w="2552" w:type="dxa"/>
          </w:tcPr>
          <w:p>
            <w:pPr>
              <w:pStyle w:val="TableParagraph"/>
              <w:spacing w:line="275" w:lineRule="exact" w:before="0"/>
              <w:rPr>
                <w:sz w:val="24"/>
              </w:rPr>
            </w:pPr>
            <w:r>
              <w:rPr>
                <w:spacing w:val="-10"/>
                <w:sz w:val="24"/>
              </w:rPr>
              <w:t>Y</w:t>
            </w:r>
          </w:p>
        </w:tc>
        <w:tc>
          <w:tcPr>
            <w:tcW w:w="2835" w:type="dxa"/>
          </w:tcPr>
          <w:p>
            <w:pPr>
              <w:pStyle w:val="TableParagraph"/>
              <w:spacing w:line="275" w:lineRule="exact" w:before="0"/>
              <w:ind w:left="104"/>
              <w:rPr>
                <w:sz w:val="24"/>
              </w:rPr>
            </w:pPr>
            <w:r>
              <w:rPr>
                <w:spacing w:val="-2"/>
                <w:sz w:val="24"/>
              </w:rPr>
              <w:t>Apostrof</w:t>
            </w:r>
          </w:p>
        </w:tc>
      </w:tr>
      <w:tr>
        <w:trPr>
          <w:trHeight w:val="412" w:hRule="atLeast"/>
        </w:trPr>
        <w:tc>
          <w:tcPr>
            <w:tcW w:w="1560" w:type="dxa"/>
          </w:tcPr>
          <w:p>
            <w:pPr>
              <w:pStyle w:val="TableParagraph"/>
              <w:spacing w:line="275" w:lineRule="exact" w:before="0"/>
            </w:pPr>
            <w:r>
              <w:rPr>
                <w:rtl/>
              </w:rPr>
              <w:t>ي</w:t>
            </w:r>
          </w:p>
        </w:tc>
        <w:tc>
          <w:tcPr>
            <w:tcW w:w="1561" w:type="dxa"/>
          </w:tcPr>
          <w:p>
            <w:pPr>
              <w:pStyle w:val="TableParagraph"/>
              <w:spacing w:line="275" w:lineRule="exact" w:before="0"/>
              <w:rPr>
                <w:sz w:val="24"/>
              </w:rPr>
            </w:pPr>
            <w:r>
              <w:rPr>
                <w:spacing w:val="-5"/>
                <w:sz w:val="24"/>
              </w:rPr>
              <w:t>Ya</w:t>
            </w:r>
          </w:p>
        </w:tc>
        <w:tc>
          <w:tcPr>
            <w:tcW w:w="2552" w:type="dxa"/>
          </w:tcPr>
          <w:p>
            <w:pPr>
              <w:pStyle w:val="TableParagraph"/>
              <w:spacing w:line="240" w:lineRule="auto" w:before="0"/>
              <w:ind w:left="0"/>
              <w:rPr>
                <w:sz w:val="24"/>
              </w:rPr>
            </w:pPr>
          </w:p>
        </w:tc>
        <w:tc>
          <w:tcPr>
            <w:tcW w:w="2835" w:type="dxa"/>
          </w:tcPr>
          <w:p>
            <w:pPr>
              <w:pStyle w:val="TableParagraph"/>
              <w:spacing w:line="275" w:lineRule="exact" w:before="0"/>
              <w:ind w:left="104"/>
              <w:rPr>
                <w:sz w:val="24"/>
              </w:rPr>
            </w:pPr>
            <w:r>
              <w:rPr>
                <w:spacing w:val="-5"/>
                <w:sz w:val="24"/>
              </w:rPr>
              <w:t>Ye</w:t>
            </w:r>
          </w:p>
        </w:tc>
      </w:tr>
    </w:tbl>
    <w:p>
      <w:pPr>
        <w:pStyle w:val="BodyText"/>
      </w:pPr>
    </w:p>
    <w:p>
      <w:pPr>
        <w:pStyle w:val="BodyText"/>
        <w:spacing w:before="46"/>
      </w:pPr>
    </w:p>
    <w:p>
      <w:pPr>
        <w:pStyle w:val="ListParagraph"/>
        <w:numPr>
          <w:ilvl w:val="0"/>
          <w:numId w:val="1"/>
        </w:numPr>
        <w:tabs>
          <w:tab w:pos="874" w:val="left" w:leader="none"/>
        </w:tabs>
        <w:spacing w:line="240" w:lineRule="auto" w:before="1" w:after="0"/>
        <w:ind w:left="874" w:right="0" w:hanging="424"/>
        <w:jc w:val="both"/>
        <w:rPr>
          <w:sz w:val="24"/>
        </w:rPr>
      </w:pPr>
      <w:r>
        <w:rPr>
          <w:sz w:val="24"/>
        </w:rPr>
        <w:t>Huruf</w:t>
      </w:r>
      <w:r>
        <w:rPr>
          <w:spacing w:val="-5"/>
          <w:sz w:val="24"/>
        </w:rPr>
        <w:t> </w:t>
      </w:r>
      <w:r>
        <w:rPr>
          <w:spacing w:val="-2"/>
          <w:sz w:val="24"/>
        </w:rPr>
        <w:t>Vokal</w:t>
      </w:r>
    </w:p>
    <w:p>
      <w:pPr>
        <w:pStyle w:val="BodyText"/>
        <w:spacing w:line="360" w:lineRule="auto" w:before="137" w:after="3"/>
        <w:ind w:left="450" w:right="163" w:firstLine="424"/>
        <w:jc w:val="both"/>
      </w:pPr>
      <w:r>
        <w:rPr/>
        <w:t>Huruf vokal Bahasa Arab sama seperti huruf vokal Bahasa Indonesia karena terdiri dari vokal tunggal, vokal monofrong dan vokal rangkap/diftong. Vokal tunggal atau Bahasa Arab yang lambangnya berupa tanda atau harakat, translasinya sebagai berikut:</w:t>
      </w:r>
    </w:p>
    <w:tbl>
      <w:tblPr>
        <w:tblW w:w="0" w:type="auto"/>
        <w:jc w:val="left"/>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5"/>
        <w:gridCol w:w="2686"/>
        <w:gridCol w:w="2590"/>
      </w:tblGrid>
      <w:tr>
        <w:trPr>
          <w:trHeight w:val="412" w:hRule="atLeast"/>
        </w:trPr>
        <w:tc>
          <w:tcPr>
            <w:tcW w:w="2595" w:type="dxa"/>
          </w:tcPr>
          <w:p>
            <w:pPr>
              <w:pStyle w:val="TableParagraph"/>
              <w:spacing w:line="275" w:lineRule="exact" w:before="0"/>
              <w:rPr>
                <w:sz w:val="24"/>
              </w:rPr>
            </w:pPr>
            <w:r>
              <w:rPr>
                <w:spacing w:val="-4"/>
                <w:sz w:val="24"/>
              </w:rPr>
              <w:t>Tanda</w:t>
            </w:r>
          </w:p>
        </w:tc>
        <w:tc>
          <w:tcPr>
            <w:tcW w:w="2686" w:type="dxa"/>
          </w:tcPr>
          <w:p>
            <w:pPr>
              <w:pStyle w:val="TableParagraph"/>
              <w:spacing w:line="275" w:lineRule="exact" w:before="0"/>
              <w:rPr>
                <w:sz w:val="24"/>
              </w:rPr>
            </w:pPr>
            <w:r>
              <w:rPr>
                <w:spacing w:val="-4"/>
                <w:sz w:val="24"/>
              </w:rPr>
              <w:t>Nama</w:t>
            </w:r>
          </w:p>
        </w:tc>
        <w:tc>
          <w:tcPr>
            <w:tcW w:w="2590" w:type="dxa"/>
          </w:tcPr>
          <w:p>
            <w:pPr>
              <w:pStyle w:val="TableParagraph"/>
              <w:spacing w:line="275" w:lineRule="exact" w:before="0"/>
              <w:rPr>
                <w:sz w:val="24"/>
              </w:rPr>
            </w:pPr>
            <w:r>
              <w:rPr>
                <w:sz w:val="24"/>
              </w:rPr>
              <w:t>Huruf</w:t>
            </w:r>
            <w:r>
              <w:rPr>
                <w:spacing w:val="-2"/>
                <w:sz w:val="24"/>
              </w:rPr>
              <w:t> Latin</w:t>
            </w:r>
          </w:p>
        </w:tc>
      </w:tr>
      <w:tr>
        <w:trPr>
          <w:trHeight w:val="414" w:hRule="atLeast"/>
        </w:trPr>
        <w:tc>
          <w:tcPr>
            <w:tcW w:w="2595" w:type="dxa"/>
          </w:tcPr>
          <w:p>
            <w:pPr>
              <w:pStyle w:val="TableParagraph"/>
              <w:spacing w:line="275" w:lineRule="exact" w:before="0"/>
            </w:pPr>
            <w:r>
              <w:rPr>
                <w:rtl/>
              </w:rPr>
              <w:t>ﹷ</w:t>
            </w:r>
          </w:p>
        </w:tc>
        <w:tc>
          <w:tcPr>
            <w:tcW w:w="2686" w:type="dxa"/>
          </w:tcPr>
          <w:p>
            <w:pPr>
              <w:pStyle w:val="TableParagraph"/>
              <w:spacing w:line="275" w:lineRule="exact" w:before="0"/>
              <w:rPr>
                <w:sz w:val="24"/>
              </w:rPr>
            </w:pPr>
            <w:r>
              <w:rPr>
                <w:spacing w:val="-2"/>
                <w:sz w:val="24"/>
              </w:rPr>
              <w:t>Fathah</w:t>
            </w:r>
          </w:p>
        </w:tc>
        <w:tc>
          <w:tcPr>
            <w:tcW w:w="2590" w:type="dxa"/>
          </w:tcPr>
          <w:p>
            <w:pPr>
              <w:pStyle w:val="TableParagraph"/>
              <w:spacing w:line="275" w:lineRule="exact" w:before="0"/>
              <w:rPr>
                <w:sz w:val="24"/>
              </w:rPr>
            </w:pPr>
            <w:r>
              <w:rPr>
                <w:spacing w:val="-10"/>
                <w:sz w:val="24"/>
              </w:rPr>
              <w:t>A</w:t>
            </w:r>
          </w:p>
        </w:tc>
      </w:tr>
      <w:tr>
        <w:trPr>
          <w:trHeight w:val="412" w:hRule="atLeast"/>
        </w:trPr>
        <w:tc>
          <w:tcPr>
            <w:tcW w:w="2595" w:type="dxa"/>
          </w:tcPr>
          <w:p>
            <w:pPr>
              <w:pStyle w:val="TableParagraph"/>
              <w:spacing w:line="275" w:lineRule="exact" w:before="0"/>
            </w:pPr>
            <w:r>
              <w:rPr>
                <w:rtl/>
              </w:rPr>
              <w:t>ﹻ</w:t>
            </w:r>
          </w:p>
        </w:tc>
        <w:tc>
          <w:tcPr>
            <w:tcW w:w="2686" w:type="dxa"/>
          </w:tcPr>
          <w:p>
            <w:pPr>
              <w:pStyle w:val="TableParagraph"/>
              <w:spacing w:line="275" w:lineRule="exact" w:before="0"/>
              <w:rPr>
                <w:sz w:val="24"/>
              </w:rPr>
            </w:pPr>
            <w:r>
              <w:rPr>
                <w:spacing w:val="-2"/>
                <w:sz w:val="24"/>
              </w:rPr>
              <w:t>Kasrah</w:t>
            </w:r>
          </w:p>
        </w:tc>
        <w:tc>
          <w:tcPr>
            <w:tcW w:w="2590" w:type="dxa"/>
          </w:tcPr>
          <w:p>
            <w:pPr>
              <w:pStyle w:val="TableParagraph"/>
              <w:spacing w:line="275" w:lineRule="exact" w:before="0"/>
              <w:rPr>
                <w:sz w:val="24"/>
              </w:rPr>
            </w:pPr>
            <w:r>
              <w:rPr>
                <w:spacing w:val="-10"/>
                <w:sz w:val="24"/>
              </w:rPr>
              <w:t>I</w:t>
            </w:r>
          </w:p>
        </w:tc>
      </w:tr>
      <w:tr>
        <w:trPr>
          <w:trHeight w:val="414" w:hRule="atLeast"/>
        </w:trPr>
        <w:tc>
          <w:tcPr>
            <w:tcW w:w="2595" w:type="dxa"/>
          </w:tcPr>
          <w:p>
            <w:pPr>
              <w:pStyle w:val="TableParagraph"/>
              <w:spacing w:line="240" w:lineRule="auto" w:before="1"/>
            </w:pPr>
            <w:r>
              <w:rPr>
                <w:rtl/>
              </w:rPr>
              <w:t>ﹹ</w:t>
            </w:r>
          </w:p>
        </w:tc>
        <w:tc>
          <w:tcPr>
            <w:tcW w:w="2686" w:type="dxa"/>
          </w:tcPr>
          <w:p>
            <w:pPr>
              <w:pStyle w:val="TableParagraph"/>
              <w:spacing w:line="240" w:lineRule="auto" w:before="1"/>
              <w:rPr>
                <w:sz w:val="24"/>
              </w:rPr>
            </w:pPr>
            <w:r>
              <w:rPr>
                <w:spacing w:val="-2"/>
                <w:sz w:val="24"/>
              </w:rPr>
              <w:t>Dhammah</w:t>
            </w:r>
          </w:p>
        </w:tc>
        <w:tc>
          <w:tcPr>
            <w:tcW w:w="2590" w:type="dxa"/>
          </w:tcPr>
          <w:p>
            <w:pPr>
              <w:pStyle w:val="TableParagraph"/>
              <w:spacing w:line="240" w:lineRule="auto" w:before="1"/>
              <w:rPr>
                <w:sz w:val="24"/>
              </w:rPr>
            </w:pPr>
            <w:r>
              <w:rPr>
                <w:spacing w:val="-10"/>
                <w:sz w:val="24"/>
              </w:rPr>
              <w:t>U</w:t>
            </w:r>
          </w:p>
        </w:tc>
      </w:tr>
    </w:tbl>
    <w:p>
      <w:pPr>
        <w:pStyle w:val="BodyText"/>
        <w:spacing w:before="140"/>
      </w:pPr>
    </w:p>
    <w:p>
      <w:pPr>
        <w:pStyle w:val="BodyText"/>
        <w:spacing w:line="360" w:lineRule="auto"/>
        <w:ind w:left="450" w:right="163" w:firstLine="424"/>
        <w:jc w:val="both"/>
      </w:pPr>
      <w:r>
        <w:rPr/>
        <w:t>Vokal</w:t>
      </w:r>
      <w:r>
        <w:rPr>
          <w:spacing w:val="-8"/>
        </w:rPr>
        <w:t> </w:t>
      </w:r>
      <w:r>
        <w:rPr/>
        <w:t>rangka</w:t>
      </w:r>
      <w:r>
        <w:rPr>
          <w:spacing w:val="-10"/>
        </w:rPr>
        <w:t> </w:t>
      </w:r>
      <w:r>
        <w:rPr/>
        <w:t>Bahasa</w:t>
      </w:r>
      <w:r>
        <w:rPr>
          <w:spacing w:val="-9"/>
        </w:rPr>
        <w:t> </w:t>
      </w:r>
      <w:r>
        <w:rPr/>
        <w:t>Arab</w:t>
      </w:r>
      <w:r>
        <w:rPr>
          <w:spacing w:val="-8"/>
        </w:rPr>
        <w:t> </w:t>
      </w:r>
      <w:r>
        <w:rPr/>
        <w:t>yang</w:t>
      </w:r>
      <w:r>
        <w:rPr>
          <w:spacing w:val="-8"/>
        </w:rPr>
        <w:t> </w:t>
      </w:r>
      <w:r>
        <w:rPr/>
        <w:t>lambangnya</w:t>
      </w:r>
      <w:r>
        <w:rPr>
          <w:spacing w:val="-9"/>
        </w:rPr>
        <w:t> </w:t>
      </w:r>
      <w:r>
        <w:rPr/>
        <w:t>berupa</w:t>
      </w:r>
      <w:r>
        <w:rPr>
          <w:spacing w:val="-9"/>
        </w:rPr>
        <w:t> </w:t>
      </w:r>
      <w:r>
        <w:rPr/>
        <w:t>gabungan</w:t>
      </w:r>
      <w:r>
        <w:rPr>
          <w:spacing w:val="-6"/>
        </w:rPr>
        <w:t> </w:t>
      </w:r>
      <w:r>
        <w:rPr/>
        <w:t>antara</w:t>
      </w:r>
      <w:r>
        <w:rPr>
          <w:spacing w:val="-9"/>
        </w:rPr>
        <w:t> </w:t>
      </w:r>
      <w:r>
        <w:rPr/>
        <w:t>harakat</w:t>
      </w:r>
      <w:r>
        <w:rPr>
          <w:spacing w:val="-8"/>
        </w:rPr>
        <w:t> </w:t>
      </w:r>
      <w:r>
        <w:rPr/>
        <w:t>dengan huruf, translasinya sebagai berikut:</w:t>
      </w:r>
    </w:p>
    <w:tbl>
      <w:tblPr>
        <w:tblW w:w="0" w:type="auto"/>
        <w:jc w:val="left"/>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4"/>
        <w:gridCol w:w="2077"/>
        <w:gridCol w:w="1856"/>
        <w:gridCol w:w="1857"/>
      </w:tblGrid>
      <w:tr>
        <w:trPr>
          <w:trHeight w:val="412" w:hRule="atLeast"/>
        </w:trPr>
        <w:tc>
          <w:tcPr>
            <w:tcW w:w="2084" w:type="dxa"/>
          </w:tcPr>
          <w:p>
            <w:pPr>
              <w:pStyle w:val="TableParagraph"/>
              <w:spacing w:line="275" w:lineRule="exact" w:before="0"/>
              <w:rPr>
                <w:sz w:val="24"/>
              </w:rPr>
            </w:pPr>
            <w:r>
              <w:rPr>
                <w:spacing w:val="-4"/>
                <w:sz w:val="24"/>
              </w:rPr>
              <w:t>Tanda</w:t>
            </w:r>
          </w:p>
        </w:tc>
        <w:tc>
          <w:tcPr>
            <w:tcW w:w="2077" w:type="dxa"/>
          </w:tcPr>
          <w:p>
            <w:pPr>
              <w:pStyle w:val="TableParagraph"/>
              <w:spacing w:line="275" w:lineRule="exact" w:before="0"/>
              <w:rPr>
                <w:sz w:val="24"/>
              </w:rPr>
            </w:pPr>
            <w:r>
              <w:rPr>
                <w:spacing w:val="-4"/>
                <w:sz w:val="24"/>
              </w:rPr>
              <w:t>Nama</w:t>
            </w:r>
          </w:p>
        </w:tc>
        <w:tc>
          <w:tcPr>
            <w:tcW w:w="1856" w:type="dxa"/>
          </w:tcPr>
          <w:p>
            <w:pPr>
              <w:pStyle w:val="TableParagraph"/>
              <w:spacing w:line="275" w:lineRule="exact" w:before="0"/>
              <w:rPr>
                <w:sz w:val="24"/>
              </w:rPr>
            </w:pPr>
            <w:r>
              <w:rPr>
                <w:sz w:val="24"/>
              </w:rPr>
              <w:t>Huruf</w:t>
            </w:r>
            <w:r>
              <w:rPr>
                <w:spacing w:val="-2"/>
                <w:sz w:val="24"/>
              </w:rPr>
              <w:t> Latin</w:t>
            </w:r>
          </w:p>
        </w:tc>
        <w:tc>
          <w:tcPr>
            <w:tcW w:w="1857" w:type="dxa"/>
          </w:tcPr>
          <w:p>
            <w:pPr>
              <w:pStyle w:val="TableParagraph"/>
              <w:spacing w:line="275" w:lineRule="exact" w:before="0"/>
              <w:ind w:left="106"/>
              <w:rPr>
                <w:sz w:val="24"/>
              </w:rPr>
            </w:pPr>
            <w:r>
              <w:rPr>
                <w:spacing w:val="-4"/>
                <w:sz w:val="24"/>
              </w:rPr>
              <w:t>Nama</w:t>
            </w:r>
          </w:p>
        </w:tc>
      </w:tr>
      <w:tr>
        <w:trPr>
          <w:trHeight w:val="414" w:hRule="atLeast"/>
        </w:trPr>
        <w:tc>
          <w:tcPr>
            <w:tcW w:w="2084" w:type="dxa"/>
          </w:tcPr>
          <w:p>
            <w:pPr>
              <w:pStyle w:val="TableParagraph"/>
              <w:spacing w:line="240" w:lineRule="auto" w:before="1"/>
              <w:rPr>
                <w:sz w:val="24"/>
                <w:szCs w:val="24"/>
              </w:rPr>
            </w:pPr>
            <w:r>
              <w:rPr>
                <w:spacing w:val="-130"/>
                <w:sz w:val="24"/>
                <w:szCs w:val="24"/>
                <w:rtl/>
              </w:rPr>
              <w:t>ي</w:t>
            </w:r>
            <w:r>
              <w:rPr>
                <w:spacing w:val="-130"/>
                <w:position w:val="-2"/>
                <w:sz w:val="24"/>
                <w:szCs w:val="24"/>
              </w:rPr>
              <w:t>˚</w:t>
            </w:r>
            <w:r>
              <w:rPr>
                <w:spacing w:val="69"/>
                <w:position w:val="-2"/>
                <w:sz w:val="24"/>
                <w:szCs w:val="24"/>
              </w:rPr>
              <w:t> </w:t>
            </w:r>
            <w:r>
              <w:rPr>
                <w:spacing w:val="-11"/>
                <w:sz w:val="24"/>
                <w:szCs w:val="24"/>
                <w:rtl/>
              </w:rPr>
              <w:t>َ</w:t>
            </w:r>
            <w:r>
              <w:rPr>
                <w:spacing w:val="-11"/>
                <w:sz w:val="24"/>
                <w:szCs w:val="24"/>
                <w:rtl/>
              </w:rPr>
              <w:t>ﺍ</w:t>
            </w:r>
          </w:p>
        </w:tc>
        <w:tc>
          <w:tcPr>
            <w:tcW w:w="2077" w:type="dxa"/>
          </w:tcPr>
          <w:p>
            <w:pPr>
              <w:pStyle w:val="TableParagraph"/>
              <w:spacing w:line="240" w:lineRule="auto" w:before="1"/>
              <w:rPr>
                <w:sz w:val="24"/>
              </w:rPr>
            </w:pPr>
            <w:r>
              <w:rPr>
                <w:sz w:val="24"/>
              </w:rPr>
              <w:t>Fathah</w:t>
            </w:r>
            <w:r>
              <w:rPr>
                <w:spacing w:val="-2"/>
                <w:sz w:val="24"/>
              </w:rPr>
              <w:t> </w:t>
            </w:r>
            <w:r>
              <w:rPr>
                <w:sz w:val="24"/>
              </w:rPr>
              <w:t>dan</w:t>
            </w:r>
            <w:r>
              <w:rPr>
                <w:spacing w:val="-1"/>
                <w:sz w:val="24"/>
              </w:rPr>
              <w:t> </w:t>
            </w:r>
            <w:r>
              <w:rPr>
                <w:spacing w:val="-5"/>
                <w:sz w:val="24"/>
              </w:rPr>
              <w:t>Ya</w:t>
            </w:r>
          </w:p>
        </w:tc>
        <w:tc>
          <w:tcPr>
            <w:tcW w:w="1856" w:type="dxa"/>
          </w:tcPr>
          <w:p>
            <w:pPr>
              <w:pStyle w:val="TableParagraph"/>
              <w:spacing w:line="240" w:lineRule="auto" w:before="1"/>
              <w:rPr>
                <w:sz w:val="24"/>
              </w:rPr>
            </w:pPr>
            <w:r>
              <w:rPr>
                <w:spacing w:val="-5"/>
                <w:sz w:val="24"/>
              </w:rPr>
              <w:t>Ai</w:t>
            </w:r>
          </w:p>
        </w:tc>
        <w:tc>
          <w:tcPr>
            <w:tcW w:w="1857" w:type="dxa"/>
          </w:tcPr>
          <w:p>
            <w:pPr>
              <w:pStyle w:val="TableParagraph"/>
              <w:spacing w:line="240" w:lineRule="auto" w:before="1"/>
              <w:ind w:left="106"/>
              <w:rPr>
                <w:sz w:val="24"/>
              </w:rPr>
            </w:pPr>
            <w:r>
              <w:rPr>
                <w:sz w:val="24"/>
              </w:rPr>
              <w:t>A</w:t>
            </w:r>
            <w:r>
              <w:rPr>
                <w:spacing w:val="-2"/>
                <w:sz w:val="24"/>
              </w:rPr>
              <w:t> </w:t>
            </w:r>
            <w:r>
              <w:rPr>
                <w:sz w:val="24"/>
              </w:rPr>
              <w:t>dan</w:t>
            </w:r>
            <w:r>
              <w:rPr>
                <w:spacing w:val="1"/>
                <w:sz w:val="24"/>
              </w:rPr>
              <w:t> </w:t>
            </w:r>
            <w:r>
              <w:rPr>
                <w:spacing w:val="-10"/>
                <w:sz w:val="24"/>
              </w:rPr>
              <w:t>I</w:t>
            </w:r>
          </w:p>
        </w:tc>
      </w:tr>
      <w:tr>
        <w:trPr>
          <w:trHeight w:val="414" w:hRule="atLeast"/>
        </w:trPr>
        <w:tc>
          <w:tcPr>
            <w:tcW w:w="2084" w:type="dxa"/>
          </w:tcPr>
          <w:p>
            <w:pPr>
              <w:pStyle w:val="TableParagraph"/>
              <w:spacing w:line="295" w:lineRule="exact" w:before="0"/>
              <w:rPr>
                <w:sz w:val="24"/>
                <w:szCs w:val="24"/>
              </w:rPr>
            </w:pPr>
            <w:r>
              <w:rPr>
                <w:spacing w:val="-70"/>
                <w:sz w:val="24"/>
                <w:szCs w:val="24"/>
                <w:rtl/>
              </w:rPr>
              <w:t>ﻭ</w:t>
            </w:r>
            <w:r>
              <w:rPr>
                <w:spacing w:val="-70"/>
                <w:position w:val="-1"/>
                <w:sz w:val="24"/>
                <w:szCs w:val="24"/>
              </w:rPr>
              <w:t>˚</w:t>
            </w:r>
            <w:r>
              <w:rPr>
                <w:spacing w:val="-2"/>
                <w:position w:val="-1"/>
                <w:sz w:val="24"/>
                <w:szCs w:val="24"/>
              </w:rPr>
              <w:t> </w:t>
            </w:r>
            <w:r>
              <w:rPr>
                <w:spacing w:val="-11"/>
                <w:sz w:val="24"/>
                <w:szCs w:val="24"/>
                <w:rtl/>
              </w:rPr>
              <w:t>َ</w:t>
            </w:r>
            <w:r>
              <w:rPr>
                <w:spacing w:val="-11"/>
                <w:sz w:val="24"/>
                <w:szCs w:val="24"/>
                <w:rtl/>
              </w:rPr>
              <w:t>ﺍ</w:t>
            </w:r>
          </w:p>
        </w:tc>
        <w:tc>
          <w:tcPr>
            <w:tcW w:w="2077" w:type="dxa"/>
          </w:tcPr>
          <w:p>
            <w:pPr>
              <w:pStyle w:val="TableParagraph"/>
              <w:spacing w:line="275" w:lineRule="exact" w:before="0"/>
              <w:rPr>
                <w:sz w:val="24"/>
              </w:rPr>
            </w:pPr>
            <w:r>
              <w:rPr>
                <w:sz w:val="24"/>
              </w:rPr>
              <w:t>Fathah</w:t>
            </w:r>
            <w:r>
              <w:rPr>
                <w:spacing w:val="-2"/>
                <w:sz w:val="24"/>
              </w:rPr>
              <w:t> </w:t>
            </w:r>
            <w:r>
              <w:rPr>
                <w:sz w:val="24"/>
              </w:rPr>
              <w:t>dan</w:t>
            </w:r>
            <w:r>
              <w:rPr>
                <w:spacing w:val="-1"/>
                <w:sz w:val="24"/>
              </w:rPr>
              <w:t> </w:t>
            </w:r>
            <w:r>
              <w:rPr>
                <w:spacing w:val="-5"/>
                <w:sz w:val="24"/>
              </w:rPr>
              <w:t>Wau</w:t>
            </w:r>
          </w:p>
        </w:tc>
        <w:tc>
          <w:tcPr>
            <w:tcW w:w="1856" w:type="dxa"/>
          </w:tcPr>
          <w:p>
            <w:pPr>
              <w:pStyle w:val="TableParagraph"/>
              <w:spacing w:line="275" w:lineRule="exact" w:before="0"/>
              <w:rPr>
                <w:sz w:val="24"/>
              </w:rPr>
            </w:pPr>
            <w:r>
              <w:rPr>
                <w:spacing w:val="-5"/>
                <w:sz w:val="24"/>
              </w:rPr>
              <w:t>Au</w:t>
            </w:r>
          </w:p>
        </w:tc>
        <w:tc>
          <w:tcPr>
            <w:tcW w:w="1857" w:type="dxa"/>
          </w:tcPr>
          <w:p>
            <w:pPr>
              <w:pStyle w:val="TableParagraph"/>
              <w:spacing w:line="275" w:lineRule="exact" w:before="0"/>
              <w:ind w:left="106"/>
              <w:rPr>
                <w:sz w:val="24"/>
              </w:rPr>
            </w:pPr>
            <w:r>
              <w:rPr>
                <w:sz w:val="24"/>
              </w:rPr>
              <w:t>A</w:t>
            </w:r>
            <w:r>
              <w:rPr>
                <w:spacing w:val="-2"/>
                <w:sz w:val="24"/>
              </w:rPr>
              <w:t> </w:t>
            </w:r>
            <w:r>
              <w:rPr>
                <w:sz w:val="24"/>
              </w:rPr>
              <w:t>dan</w:t>
            </w:r>
            <w:r>
              <w:rPr>
                <w:spacing w:val="-1"/>
                <w:sz w:val="24"/>
              </w:rPr>
              <w:t> </w:t>
            </w:r>
            <w:r>
              <w:rPr>
                <w:spacing w:val="-10"/>
                <w:sz w:val="24"/>
              </w:rPr>
              <w:t>U</w:t>
            </w:r>
          </w:p>
        </w:tc>
      </w:tr>
    </w:tbl>
    <w:p>
      <w:pPr>
        <w:pStyle w:val="BodyText"/>
      </w:pPr>
    </w:p>
    <w:p>
      <w:pPr>
        <w:pStyle w:val="BodyText"/>
        <w:spacing w:before="22"/>
      </w:pPr>
    </w:p>
    <w:p>
      <w:pPr>
        <w:pStyle w:val="ListParagraph"/>
        <w:numPr>
          <w:ilvl w:val="0"/>
          <w:numId w:val="1"/>
        </w:numPr>
        <w:tabs>
          <w:tab w:pos="874" w:val="left" w:leader="none"/>
        </w:tabs>
        <w:spacing w:line="240" w:lineRule="auto" w:before="0" w:after="0"/>
        <w:ind w:left="874" w:right="0" w:hanging="424"/>
        <w:jc w:val="both"/>
        <w:rPr>
          <w:sz w:val="24"/>
        </w:rPr>
      </w:pPr>
      <w:r>
        <w:rPr>
          <w:sz w:val="24"/>
        </w:rPr>
        <w:t>Syaddah</w:t>
      </w:r>
      <w:r>
        <w:rPr>
          <w:spacing w:val="-2"/>
          <w:sz w:val="24"/>
        </w:rPr>
        <w:t> (Tasydid)</w:t>
      </w:r>
    </w:p>
    <w:p>
      <w:pPr>
        <w:pStyle w:val="BodyText"/>
        <w:spacing w:line="360" w:lineRule="auto" w:before="140"/>
        <w:ind w:left="450" w:right="162" w:firstLine="424"/>
        <w:jc w:val="both"/>
      </w:pPr>
      <w:r>
        <w:rPr/>
        <w:t>Dalam penulisan Bahasa Arab, syaddah dilambangkan menggunakan tanda (</w:t>
      </w:r>
      <w:r>
        <w:rPr>
          <w:rtl/>
        </w:rPr>
        <w:t>ﹱ</w:t>
      </w:r>
      <w:r>
        <w:rPr/>
        <w:t>). Sedangkan, dalam transliterasi pada huruf ada syaddahnya dibaca dengan pengulangan huruf (konsonan ganda)</w:t>
      </w:r>
      <w:r>
        <w:rPr/>
        <w:t>.</w:t>
      </w:r>
    </w:p>
    <w:p>
      <w:pPr>
        <w:pStyle w:val="ListParagraph"/>
        <w:numPr>
          <w:ilvl w:val="0"/>
          <w:numId w:val="1"/>
        </w:numPr>
        <w:tabs>
          <w:tab w:pos="874" w:val="left" w:leader="none"/>
        </w:tabs>
        <w:spacing w:line="275" w:lineRule="exact" w:before="0" w:after="0"/>
        <w:ind w:left="874" w:right="0" w:hanging="424"/>
        <w:jc w:val="both"/>
        <w:rPr>
          <w:sz w:val="24"/>
        </w:rPr>
      </w:pPr>
      <w:r>
        <w:rPr>
          <w:sz w:val="24"/>
        </w:rPr>
        <w:t>Ta’</w:t>
      </w:r>
      <w:r>
        <w:rPr>
          <w:spacing w:val="-2"/>
          <w:sz w:val="24"/>
        </w:rPr>
        <w:t> Marbutah</w:t>
      </w:r>
    </w:p>
    <w:p>
      <w:pPr>
        <w:pStyle w:val="BodyText"/>
        <w:spacing w:line="360" w:lineRule="auto" w:before="137"/>
        <w:ind w:left="450" w:right="160" w:firstLine="424"/>
        <w:jc w:val="both"/>
      </w:pPr>
      <w:r>
        <w:rPr/>
        <w:t>Terdapat dua macam translasi untuk ta’ marbutah. Berikut penjelasan dari macam- macam ta’ marbutah:</w:t>
      </w:r>
    </w:p>
    <w:p>
      <w:pPr>
        <w:pStyle w:val="ListParagraph"/>
        <w:numPr>
          <w:ilvl w:val="1"/>
          <w:numId w:val="1"/>
        </w:numPr>
        <w:tabs>
          <w:tab w:pos="1299" w:val="left" w:leader="none"/>
        </w:tabs>
        <w:spacing w:line="240" w:lineRule="auto" w:before="0" w:after="0"/>
        <w:ind w:left="1299" w:right="0" w:hanging="424"/>
        <w:jc w:val="both"/>
        <w:rPr>
          <w:sz w:val="24"/>
        </w:rPr>
      </w:pPr>
      <w:r>
        <w:rPr>
          <w:sz w:val="24"/>
        </w:rPr>
        <w:t>Ta’</w:t>
      </w:r>
      <w:r>
        <w:rPr>
          <w:spacing w:val="4"/>
          <w:sz w:val="24"/>
        </w:rPr>
        <w:t> </w:t>
      </w:r>
      <w:r>
        <w:rPr>
          <w:sz w:val="24"/>
        </w:rPr>
        <w:t>yang</w:t>
      </w:r>
      <w:r>
        <w:rPr>
          <w:spacing w:val="7"/>
          <w:sz w:val="24"/>
        </w:rPr>
        <w:t> </w:t>
      </w:r>
      <w:r>
        <w:rPr>
          <w:sz w:val="24"/>
        </w:rPr>
        <w:t>apabila</w:t>
      </w:r>
      <w:r>
        <w:rPr>
          <w:spacing w:val="7"/>
          <w:sz w:val="24"/>
        </w:rPr>
        <w:t> </w:t>
      </w:r>
      <w:r>
        <w:rPr>
          <w:sz w:val="24"/>
        </w:rPr>
        <w:t>dimatikan</w:t>
      </w:r>
      <w:r>
        <w:rPr>
          <w:spacing w:val="7"/>
          <w:sz w:val="24"/>
        </w:rPr>
        <w:t> </w:t>
      </w:r>
      <w:r>
        <w:rPr>
          <w:sz w:val="24"/>
        </w:rPr>
        <w:t>atau</w:t>
      </w:r>
      <w:r>
        <w:rPr>
          <w:spacing w:val="7"/>
          <w:sz w:val="24"/>
        </w:rPr>
        <w:t> </w:t>
      </w:r>
      <w:r>
        <w:rPr>
          <w:sz w:val="24"/>
        </w:rPr>
        <w:t>mendapatkan</w:t>
      </w:r>
      <w:r>
        <w:rPr>
          <w:spacing w:val="6"/>
          <w:sz w:val="24"/>
        </w:rPr>
        <w:t> </w:t>
      </w:r>
      <w:r>
        <w:rPr>
          <w:sz w:val="24"/>
        </w:rPr>
        <w:t>harakat,</w:t>
      </w:r>
      <w:r>
        <w:rPr>
          <w:spacing w:val="8"/>
          <w:sz w:val="24"/>
        </w:rPr>
        <w:t> </w:t>
      </w:r>
      <w:r>
        <w:rPr>
          <w:sz w:val="24"/>
        </w:rPr>
        <w:t>sukun</w:t>
      </w:r>
      <w:r>
        <w:rPr>
          <w:spacing w:val="7"/>
          <w:sz w:val="24"/>
        </w:rPr>
        <w:t> </w:t>
      </w:r>
      <w:r>
        <w:rPr>
          <w:sz w:val="24"/>
        </w:rPr>
        <w:t>literasinya</w:t>
      </w:r>
      <w:r>
        <w:rPr>
          <w:spacing w:val="8"/>
          <w:sz w:val="24"/>
        </w:rPr>
        <w:t> </w:t>
      </w:r>
      <w:r>
        <w:rPr>
          <w:spacing w:val="-2"/>
          <w:sz w:val="24"/>
        </w:rPr>
        <w:t>ditulis.</w:t>
      </w:r>
    </w:p>
    <w:p>
      <w:pPr>
        <w:spacing w:before="162"/>
        <w:ind w:left="1300" w:right="0" w:firstLine="0"/>
        <w:jc w:val="left"/>
        <w:rPr>
          <w:rFonts w:ascii="Microsoft Sans Serif" w:cs="Microsoft Sans Serif"/>
          <w:sz w:val="28"/>
          <w:szCs w:val="28"/>
        </w:rPr>
      </w:pPr>
      <w:r>
        <w:rPr>
          <w:sz w:val="24"/>
          <w:szCs w:val="24"/>
        </w:rPr>
        <w:t>Contoh:</w:t>
      </w:r>
      <w:r>
        <w:rPr>
          <w:spacing w:val="-2"/>
          <w:sz w:val="24"/>
          <w:szCs w:val="24"/>
        </w:rPr>
        <w:t> </w:t>
      </w:r>
      <w:r>
        <w:rPr>
          <w:rFonts w:ascii="Microsoft Sans Serif" w:cs="Microsoft Sans Serif"/>
          <w:spacing w:val="-4"/>
          <w:sz w:val="28"/>
          <w:szCs w:val="28"/>
          <w:rtl/>
        </w:rPr>
        <w:t>ﺣﻜﻤ</w:t>
      </w:r>
      <w:r>
        <w:rPr>
          <w:rFonts w:ascii="Microsoft Sans Serif" w:cs="Microsoft Sans Serif"/>
          <w:spacing w:val="-4"/>
          <w:sz w:val="28"/>
          <w:szCs w:val="28"/>
          <w:rtl/>
        </w:rPr>
        <w:t>ﺔ</w:t>
      </w:r>
    </w:p>
    <w:p>
      <w:pPr>
        <w:pStyle w:val="BodyText"/>
        <w:spacing w:before="14"/>
        <w:rPr>
          <w:rFonts w:ascii="Microsoft Sans Serif"/>
        </w:rPr>
      </w:pPr>
    </w:p>
    <w:p>
      <w:pPr>
        <w:pStyle w:val="ListParagraph"/>
        <w:numPr>
          <w:ilvl w:val="1"/>
          <w:numId w:val="1"/>
        </w:numPr>
        <w:tabs>
          <w:tab w:pos="1299" w:val="left" w:leader="none"/>
        </w:tabs>
        <w:spacing w:line="240" w:lineRule="auto" w:before="1" w:after="0"/>
        <w:ind w:left="1299" w:right="0" w:hanging="424"/>
        <w:jc w:val="both"/>
        <w:rPr>
          <w:sz w:val="24"/>
        </w:rPr>
      </w:pPr>
      <w:r>
        <w:rPr>
          <w:sz w:val="24"/>
        </w:rPr>
        <w:t>Ta’</w:t>
      </w:r>
      <w:r>
        <w:rPr>
          <w:spacing w:val="-16"/>
          <w:sz w:val="24"/>
        </w:rPr>
        <w:t> </w:t>
      </w:r>
      <w:r>
        <w:rPr>
          <w:sz w:val="24"/>
        </w:rPr>
        <w:t>yang</w:t>
      </w:r>
      <w:r>
        <w:rPr>
          <w:spacing w:val="-13"/>
          <w:sz w:val="24"/>
        </w:rPr>
        <w:t> </w:t>
      </w:r>
      <w:r>
        <w:rPr>
          <w:sz w:val="24"/>
        </w:rPr>
        <w:t>apabila</w:t>
      </w:r>
      <w:r>
        <w:rPr>
          <w:spacing w:val="-14"/>
          <w:sz w:val="24"/>
        </w:rPr>
        <w:t> </w:t>
      </w:r>
      <w:r>
        <w:rPr>
          <w:sz w:val="24"/>
        </w:rPr>
        <w:t>dirangkai</w:t>
      </w:r>
      <w:r>
        <w:rPr>
          <w:spacing w:val="-13"/>
          <w:sz w:val="24"/>
        </w:rPr>
        <w:t> </w:t>
      </w:r>
      <w:r>
        <w:rPr>
          <w:sz w:val="24"/>
        </w:rPr>
        <w:t>dengan</w:t>
      </w:r>
      <w:r>
        <w:rPr>
          <w:spacing w:val="-13"/>
          <w:sz w:val="24"/>
        </w:rPr>
        <w:t> </w:t>
      </w:r>
      <w:r>
        <w:rPr>
          <w:sz w:val="24"/>
        </w:rPr>
        <w:t>kata</w:t>
      </w:r>
      <w:r>
        <w:rPr>
          <w:spacing w:val="-14"/>
          <w:sz w:val="24"/>
        </w:rPr>
        <w:t> </w:t>
      </w:r>
      <w:r>
        <w:rPr>
          <w:sz w:val="24"/>
        </w:rPr>
        <w:t>lain</w:t>
      </w:r>
      <w:r>
        <w:rPr>
          <w:spacing w:val="-13"/>
          <w:sz w:val="24"/>
        </w:rPr>
        <w:t> </w:t>
      </w:r>
      <w:r>
        <w:rPr>
          <w:sz w:val="24"/>
        </w:rPr>
        <w:t>dan</w:t>
      </w:r>
      <w:r>
        <w:rPr>
          <w:spacing w:val="-13"/>
          <w:sz w:val="24"/>
        </w:rPr>
        <w:t> </w:t>
      </w:r>
      <w:r>
        <w:rPr>
          <w:sz w:val="24"/>
        </w:rPr>
        <w:t>dihidupkan</w:t>
      </w:r>
      <w:r>
        <w:rPr>
          <w:spacing w:val="-13"/>
          <w:sz w:val="24"/>
        </w:rPr>
        <w:t> </w:t>
      </w:r>
      <w:r>
        <w:rPr>
          <w:sz w:val="24"/>
        </w:rPr>
        <w:t>atau</w:t>
      </w:r>
      <w:r>
        <w:rPr>
          <w:spacing w:val="-14"/>
          <w:sz w:val="24"/>
        </w:rPr>
        <w:t> </w:t>
      </w:r>
      <w:r>
        <w:rPr>
          <w:sz w:val="24"/>
        </w:rPr>
        <w:t>diberikan</w:t>
      </w:r>
      <w:r>
        <w:rPr>
          <w:spacing w:val="-12"/>
          <w:sz w:val="24"/>
        </w:rPr>
        <w:t> </w:t>
      </w:r>
      <w:r>
        <w:rPr>
          <w:spacing w:val="-2"/>
          <w:sz w:val="24"/>
        </w:rPr>
        <w:t>kasroh</w:t>
      </w:r>
    </w:p>
    <w:p>
      <w:pPr>
        <w:pStyle w:val="BodyText"/>
        <w:spacing w:before="162"/>
        <w:ind w:left="1300"/>
        <w:rPr>
          <w:rFonts w:ascii="Microsoft Sans Serif" w:cs="Microsoft Sans Serif"/>
          <w:sz w:val="28"/>
          <w:szCs w:val="28"/>
        </w:rPr>
      </w:pPr>
      <w:r>
        <w:rPr/>
        <w:t>atau</w:t>
      </w:r>
      <w:r>
        <w:rPr>
          <w:spacing w:val="-1"/>
        </w:rPr>
        <w:t> </w:t>
      </w:r>
      <w:r>
        <w:rPr/>
        <w:t>dhammah,</w:t>
      </w:r>
      <w:r>
        <w:rPr>
          <w:spacing w:val="-1"/>
        </w:rPr>
        <w:t> </w:t>
      </w:r>
      <w:r>
        <w:rPr/>
        <w:t>maka</w:t>
      </w:r>
      <w:r>
        <w:rPr>
          <w:spacing w:val="-1"/>
        </w:rPr>
        <w:t> </w:t>
      </w:r>
      <w:r>
        <w:rPr/>
        <w:t>dalam</w:t>
      </w:r>
      <w:r>
        <w:rPr>
          <w:spacing w:val="-1"/>
        </w:rPr>
        <w:t> </w:t>
      </w:r>
      <w:r>
        <w:rPr/>
        <w:t>translasinya</w:t>
      </w:r>
      <w:r>
        <w:rPr>
          <w:spacing w:val="-1"/>
        </w:rPr>
        <w:t> </w:t>
      </w:r>
      <w:r>
        <w:rPr/>
        <w:t>dibaca</w:t>
      </w:r>
      <w:r>
        <w:rPr>
          <w:spacing w:val="-1"/>
        </w:rPr>
        <w:t> </w:t>
      </w:r>
      <w:r>
        <w:rPr/>
        <w:t>t.</w:t>
      </w:r>
      <w:r>
        <w:rPr>
          <w:spacing w:val="1"/>
        </w:rPr>
        <w:t> </w:t>
      </w:r>
      <w:r>
        <w:rPr/>
        <w:t>Contoh: </w:t>
      </w:r>
      <w:r>
        <w:rPr>
          <w:rFonts w:ascii="Microsoft Sans Serif" w:cs="Microsoft Sans Serif"/>
          <w:spacing w:val="-14"/>
          <w:w w:val="80"/>
          <w:sz w:val="28"/>
          <w:szCs w:val="28"/>
          <w:rtl/>
        </w:rPr>
        <w:t>زكاةالفط</w:t>
      </w:r>
      <w:r>
        <w:rPr>
          <w:rFonts w:ascii="Microsoft Sans Serif" w:cs="Microsoft Sans Serif"/>
          <w:spacing w:val="-14"/>
          <w:w w:val="80"/>
          <w:sz w:val="28"/>
          <w:szCs w:val="28"/>
          <w:rtl/>
        </w:rPr>
        <w:t>ر</w:t>
      </w:r>
    </w:p>
    <w:p>
      <w:pPr>
        <w:pStyle w:val="BodyText"/>
        <w:spacing w:after="0"/>
        <w:rPr>
          <w:rFonts w:ascii="Microsoft Sans Serif" w:cs="Microsoft Sans Serif"/>
          <w:sz w:val="28"/>
          <w:szCs w:val="28"/>
        </w:rPr>
        <w:sectPr>
          <w:type w:val="continuous"/>
          <w:pgSz w:w="11910" w:h="16840"/>
          <w:pgMar w:header="0" w:footer="1000" w:top="1400" w:bottom="1200" w:left="1417" w:right="1275"/>
        </w:sectPr>
      </w:pPr>
    </w:p>
    <w:p>
      <w:pPr>
        <w:pStyle w:val="ListParagraph"/>
        <w:numPr>
          <w:ilvl w:val="0"/>
          <w:numId w:val="1"/>
        </w:numPr>
        <w:tabs>
          <w:tab w:pos="874" w:val="left" w:leader="none"/>
        </w:tabs>
        <w:spacing w:line="240" w:lineRule="auto" w:before="60" w:after="0"/>
        <w:ind w:left="874" w:right="0" w:hanging="424"/>
        <w:jc w:val="both"/>
        <w:rPr>
          <w:sz w:val="24"/>
        </w:rPr>
      </w:pPr>
      <w:r>
        <w:rPr>
          <w:sz w:val="24"/>
        </w:rPr>
        <w:t>Kata</w:t>
      </w:r>
      <w:r>
        <w:rPr>
          <w:spacing w:val="-2"/>
          <w:sz w:val="24"/>
        </w:rPr>
        <w:t> Sandang</w:t>
      </w:r>
    </w:p>
    <w:p>
      <w:pPr>
        <w:pStyle w:val="BodyText"/>
        <w:spacing w:before="138"/>
        <w:ind w:left="875"/>
      </w:pPr>
      <w:r>
        <w:rPr/>
        <w:t>Kata</w:t>
      </w:r>
      <w:r>
        <w:rPr>
          <w:spacing w:val="5"/>
        </w:rPr>
        <w:t> </w:t>
      </w:r>
      <w:r>
        <w:rPr/>
        <w:t>sandang</w:t>
      </w:r>
      <w:r>
        <w:rPr>
          <w:spacing w:val="8"/>
        </w:rPr>
        <w:t> </w:t>
      </w:r>
      <w:r>
        <w:rPr/>
        <w:t>dalam</w:t>
      </w:r>
      <w:r>
        <w:rPr>
          <w:spacing w:val="8"/>
        </w:rPr>
        <w:t> </w:t>
      </w:r>
      <w:r>
        <w:rPr/>
        <w:t>penulisan</w:t>
      </w:r>
      <w:r>
        <w:rPr>
          <w:spacing w:val="8"/>
        </w:rPr>
        <w:t> </w:t>
      </w:r>
      <w:r>
        <w:rPr/>
        <w:t>Bahasa</w:t>
      </w:r>
      <w:r>
        <w:rPr>
          <w:spacing w:val="7"/>
        </w:rPr>
        <w:t> </w:t>
      </w:r>
      <w:r>
        <w:rPr/>
        <w:t>Arab</w:t>
      </w:r>
      <w:r>
        <w:rPr>
          <w:spacing w:val="8"/>
        </w:rPr>
        <w:t> </w:t>
      </w:r>
      <w:r>
        <w:rPr/>
        <w:t>dilambangkan</w:t>
      </w:r>
      <w:r>
        <w:rPr>
          <w:spacing w:val="8"/>
        </w:rPr>
        <w:t> </w:t>
      </w:r>
      <w:r>
        <w:rPr/>
        <w:t>dengan</w:t>
      </w:r>
      <w:r>
        <w:rPr>
          <w:spacing w:val="10"/>
        </w:rPr>
        <w:t> </w:t>
      </w:r>
      <w:r>
        <w:rPr/>
        <w:t>alif</w:t>
      </w:r>
      <w:r>
        <w:rPr>
          <w:spacing w:val="7"/>
        </w:rPr>
        <w:t> </w:t>
      </w:r>
      <w:r>
        <w:rPr/>
        <w:t>lam</w:t>
      </w:r>
      <w:r>
        <w:rPr>
          <w:spacing w:val="9"/>
        </w:rPr>
        <w:t> </w:t>
      </w:r>
      <w:r>
        <w:rPr>
          <w:spacing w:val="-2"/>
        </w:rPr>
        <w:t>ma’rifah</w:t>
      </w:r>
    </w:p>
    <w:p>
      <w:pPr>
        <w:pStyle w:val="BodyText"/>
        <w:spacing w:before="162"/>
        <w:ind w:left="450"/>
        <w:jc w:val="both"/>
      </w:pPr>
      <w:r>
        <w:rPr/>
        <w:t>(</w:t>
      </w:r>
      <w:r>
        <w:rPr>
          <w:rFonts w:ascii="Microsoft Sans Serif" w:cs="Microsoft Sans Serif"/>
          <w:sz w:val="28"/>
          <w:szCs w:val="28"/>
          <w:rtl/>
        </w:rPr>
        <w:t>ال</w:t>
      </w:r>
      <w:r>
        <w:rPr/>
        <w:t>).</w:t>
      </w:r>
      <w:r>
        <w:rPr>
          <w:spacing w:val="31"/>
        </w:rPr>
        <w:t> </w:t>
      </w:r>
      <w:r>
        <w:rPr/>
        <w:t>Kata</w:t>
      </w:r>
      <w:r>
        <w:rPr>
          <w:spacing w:val="31"/>
        </w:rPr>
        <w:t> </w:t>
      </w:r>
      <w:r>
        <w:rPr/>
        <w:t>sandang</w:t>
      </w:r>
      <w:r>
        <w:rPr>
          <w:spacing w:val="33"/>
        </w:rPr>
        <w:t> </w:t>
      </w:r>
      <w:r>
        <w:rPr/>
        <w:t>ditransliterasikan</w:t>
      </w:r>
      <w:r>
        <w:rPr>
          <w:spacing w:val="31"/>
        </w:rPr>
        <w:t> </w:t>
      </w:r>
      <w:r>
        <w:rPr/>
        <w:t>biasanya</w:t>
      </w:r>
      <w:r>
        <w:rPr>
          <w:spacing w:val="32"/>
        </w:rPr>
        <w:t> </w:t>
      </w:r>
      <w:r>
        <w:rPr/>
        <w:t>baik</w:t>
      </w:r>
      <w:r>
        <w:rPr>
          <w:spacing w:val="32"/>
        </w:rPr>
        <w:t> </w:t>
      </w:r>
      <w:r>
        <w:rPr/>
        <w:t>Ketika</w:t>
      </w:r>
      <w:r>
        <w:rPr>
          <w:spacing w:val="31"/>
        </w:rPr>
        <w:t> </w:t>
      </w:r>
      <w:r>
        <w:rPr/>
        <w:t>diikuti</w:t>
      </w:r>
      <w:r>
        <w:rPr>
          <w:spacing w:val="33"/>
        </w:rPr>
        <w:t> </w:t>
      </w:r>
      <w:r>
        <w:rPr/>
        <w:t>oleh</w:t>
      </w:r>
      <w:r>
        <w:rPr>
          <w:spacing w:val="29"/>
        </w:rPr>
        <w:t> </w:t>
      </w:r>
      <w:r>
        <w:rPr/>
        <w:t>huruf</w:t>
      </w:r>
      <w:r>
        <w:rPr>
          <w:spacing w:val="31"/>
        </w:rPr>
        <w:t> </w:t>
      </w:r>
      <w:r>
        <w:rPr>
          <w:spacing w:val="-2"/>
        </w:rPr>
        <w:t>syamsia</w:t>
      </w:r>
      <w:r>
        <w:rPr>
          <w:spacing w:val="-2"/>
        </w:rPr>
        <w:t>h</w:t>
      </w:r>
    </w:p>
    <w:p>
      <w:pPr>
        <w:pStyle w:val="BodyText"/>
        <w:spacing w:before="13"/>
      </w:pPr>
    </w:p>
    <w:p>
      <w:pPr>
        <w:pStyle w:val="BodyText"/>
        <w:spacing w:line="379" w:lineRule="auto"/>
        <w:ind w:left="450" w:right="160"/>
        <w:jc w:val="both"/>
        <w:rPr>
          <w:rFonts w:ascii="Microsoft Sans Serif" w:cs="Microsoft Sans Serif"/>
          <w:sz w:val="28"/>
          <w:szCs w:val="28"/>
        </w:rPr>
      </w:pPr>
      <w:r>
        <w:rPr/>
        <w:t>maupun</w:t>
      </w:r>
      <w:r>
        <w:rPr>
          <w:spacing w:val="-15"/>
        </w:rPr>
        <w:t> </w:t>
      </w:r>
      <w:r>
        <w:rPr/>
        <w:t>huruf</w:t>
      </w:r>
      <w:r>
        <w:rPr>
          <w:spacing w:val="-15"/>
        </w:rPr>
        <w:t> </w:t>
      </w:r>
      <w:r>
        <w:rPr/>
        <w:t>qomariyah.</w:t>
      </w:r>
      <w:r>
        <w:rPr>
          <w:spacing w:val="-15"/>
        </w:rPr>
        <w:t> </w:t>
      </w:r>
      <w:r>
        <w:rPr/>
        <w:t>Kata</w:t>
      </w:r>
      <w:r>
        <w:rPr>
          <w:spacing w:val="-15"/>
        </w:rPr>
        <w:t> </w:t>
      </w:r>
      <w:r>
        <w:rPr/>
        <w:t>sandang</w:t>
      </w:r>
      <w:r>
        <w:rPr>
          <w:spacing w:val="-15"/>
        </w:rPr>
        <w:t> </w:t>
      </w:r>
      <w:r>
        <w:rPr/>
        <w:t>penulisannya</w:t>
      </w:r>
      <w:r>
        <w:rPr>
          <w:spacing w:val="-15"/>
        </w:rPr>
        <w:t> </w:t>
      </w:r>
      <w:r>
        <w:rPr/>
        <w:t>dipisah</w:t>
      </w:r>
      <w:r>
        <w:rPr>
          <w:spacing w:val="-15"/>
        </w:rPr>
        <w:t> </w:t>
      </w:r>
      <w:r>
        <w:rPr/>
        <w:t>dari</w:t>
      </w:r>
      <w:r>
        <w:rPr>
          <w:spacing w:val="-15"/>
        </w:rPr>
        <w:t> </w:t>
      </w:r>
      <w:r>
        <w:rPr/>
        <w:t>kata</w:t>
      </w:r>
      <w:r>
        <w:rPr>
          <w:spacing w:val="-15"/>
        </w:rPr>
        <w:t> </w:t>
      </w:r>
      <w:r>
        <w:rPr/>
        <w:t>yang</w:t>
      </w:r>
      <w:r>
        <w:rPr>
          <w:spacing w:val="-15"/>
        </w:rPr>
        <w:t> </w:t>
      </w:r>
      <w:r>
        <w:rPr/>
        <w:t>mengikutinya </w:t>
      </w:r>
      <w:r>
        <w:rPr>
          <w:spacing w:val="-2"/>
        </w:rPr>
        <w:t>dan</w:t>
      </w:r>
      <w:r>
        <w:rPr>
          <w:spacing w:val="-10"/>
        </w:rPr>
        <w:t> </w:t>
      </w:r>
      <w:r>
        <w:rPr>
          <w:spacing w:val="-2"/>
        </w:rPr>
        <w:t>dihubungkan</w:t>
      </w:r>
      <w:r>
        <w:rPr>
          <w:spacing w:val="-10"/>
        </w:rPr>
        <w:t> </w:t>
      </w:r>
      <w:r>
        <w:rPr>
          <w:spacing w:val="-2"/>
        </w:rPr>
        <w:t>dengan</w:t>
      </w:r>
      <w:r>
        <w:rPr>
          <w:spacing w:val="-9"/>
        </w:rPr>
        <w:t> </w:t>
      </w:r>
      <w:r>
        <w:rPr>
          <w:spacing w:val="-2"/>
        </w:rPr>
        <w:t>garis</w:t>
      </w:r>
      <w:r>
        <w:rPr>
          <w:spacing w:val="-11"/>
        </w:rPr>
        <w:t> </w:t>
      </w:r>
      <w:r>
        <w:rPr>
          <w:spacing w:val="-2"/>
        </w:rPr>
        <w:t>(-).</w:t>
      </w:r>
      <w:r>
        <w:rPr>
          <w:spacing w:val="-10"/>
        </w:rPr>
        <w:t> </w:t>
      </w:r>
      <w:r>
        <w:rPr>
          <w:spacing w:val="-2"/>
        </w:rPr>
        <w:t>Contohnya:</w:t>
      </w:r>
      <w:r>
        <w:rPr>
          <w:spacing w:val="-7"/>
        </w:rPr>
        <w:t> </w:t>
      </w:r>
      <w:r>
        <w:rPr>
          <w:rFonts w:ascii="Microsoft Sans Serif" w:cs="Microsoft Sans Serif"/>
          <w:spacing w:val="-2"/>
          <w:w w:val="95"/>
          <w:sz w:val="28"/>
          <w:szCs w:val="28"/>
          <w:rtl/>
        </w:rPr>
        <w:t>القرع</w:t>
      </w:r>
      <w:r>
        <w:rPr>
          <w:rFonts w:ascii="Microsoft Sans Serif" w:cs="Microsoft Sans Serif"/>
          <w:spacing w:val="-2"/>
          <w:w w:val="95"/>
          <w:sz w:val="28"/>
          <w:szCs w:val="28"/>
          <w:rtl/>
        </w:rPr>
        <w:t>ه</w:t>
      </w:r>
    </w:p>
    <w:p>
      <w:pPr>
        <w:pStyle w:val="ListParagraph"/>
        <w:numPr>
          <w:ilvl w:val="0"/>
          <w:numId w:val="1"/>
        </w:numPr>
        <w:tabs>
          <w:tab w:pos="874" w:val="left" w:leader="none"/>
        </w:tabs>
        <w:spacing w:line="240" w:lineRule="auto" w:before="105" w:after="0"/>
        <w:ind w:left="874" w:right="0" w:hanging="424"/>
        <w:jc w:val="both"/>
        <w:rPr>
          <w:sz w:val="24"/>
        </w:rPr>
      </w:pPr>
      <w:r>
        <w:rPr>
          <w:sz w:val="24"/>
        </w:rPr>
        <w:t>Huruf</w:t>
      </w:r>
      <w:r>
        <w:rPr>
          <w:spacing w:val="-5"/>
          <w:sz w:val="24"/>
        </w:rPr>
        <w:t> </w:t>
      </w:r>
      <w:r>
        <w:rPr>
          <w:spacing w:val="-2"/>
          <w:sz w:val="24"/>
        </w:rPr>
        <w:t>Kapital</w:t>
      </w:r>
    </w:p>
    <w:p>
      <w:pPr>
        <w:pStyle w:val="BodyText"/>
        <w:spacing w:line="362" w:lineRule="auto" w:before="136"/>
        <w:ind w:left="450" w:right="162" w:firstLine="424"/>
        <w:jc w:val="both"/>
        <w:rPr>
          <w:rFonts w:ascii="Microsoft Sans Serif" w:cs="Microsoft Sans Serif"/>
          <w:sz w:val="28"/>
          <w:szCs w:val="28"/>
        </w:rPr>
      </w:pPr>
      <w:r>
        <w:rPr/>
        <w:t>Sistem kepenulisan Bahasa Arab tidak menggunakan huruf kapital. Dalam translasinya,</w:t>
      </w:r>
      <w:r>
        <w:rPr>
          <w:spacing w:val="-15"/>
        </w:rPr>
        <w:t> </w:t>
      </w:r>
      <w:r>
        <w:rPr/>
        <w:t>huruf-huruf</w:t>
      </w:r>
      <w:r>
        <w:rPr>
          <w:spacing w:val="-15"/>
        </w:rPr>
        <w:t> </w:t>
      </w:r>
      <w:r>
        <w:rPr/>
        <w:t>tersebut</w:t>
      </w:r>
      <w:r>
        <w:rPr>
          <w:spacing w:val="-15"/>
        </w:rPr>
        <w:t> </w:t>
      </w:r>
      <w:r>
        <w:rPr/>
        <w:t>dikenai</w:t>
      </w:r>
      <w:r>
        <w:rPr>
          <w:spacing w:val="-15"/>
        </w:rPr>
        <w:t> </w:t>
      </w:r>
      <w:r>
        <w:rPr/>
        <w:t>ketentuan</w:t>
      </w:r>
      <w:r>
        <w:rPr>
          <w:spacing w:val="-15"/>
        </w:rPr>
        <w:t> </w:t>
      </w:r>
      <w:r>
        <w:rPr/>
        <w:t>berdasarkan</w:t>
      </w:r>
      <w:r>
        <w:rPr>
          <w:spacing w:val="-15"/>
        </w:rPr>
        <w:t> </w:t>
      </w:r>
      <w:r>
        <w:rPr/>
        <w:t>penggunaan</w:t>
      </w:r>
      <w:r>
        <w:rPr>
          <w:spacing w:val="-15"/>
        </w:rPr>
        <w:t> </w:t>
      </w:r>
      <w:r>
        <w:rPr/>
        <w:t>huruf</w:t>
      </w:r>
      <w:r>
        <w:rPr>
          <w:spacing w:val="-15"/>
        </w:rPr>
        <w:t> </w:t>
      </w:r>
      <w:r>
        <w:rPr/>
        <w:t>kapital menggunakan pedoman dan ejaan Bahasa Indonesia (EYD). Huruf kapital umumnya digunakan untuk menuliskan nama orang, tempat, bulan ataupun sebagai huruf pertama pada awal kalimat. Apabila terdapat huruf (Al) sebelum awal kalimat, maka harus ditulis menggunakan huruf kapital. Apabila menjadi judul referensi harus juga ditulis </w:t>
      </w:r>
      <w:r>
        <w:rPr>
          <w:spacing w:val="-2"/>
        </w:rPr>
        <w:t>menggunakan</w:t>
      </w:r>
      <w:r>
        <w:rPr>
          <w:spacing w:val="-13"/>
        </w:rPr>
        <w:t> </w:t>
      </w:r>
      <w:r>
        <w:rPr>
          <w:spacing w:val="-2"/>
        </w:rPr>
        <w:t>huruf</w:t>
      </w:r>
      <w:r>
        <w:rPr>
          <w:spacing w:val="-13"/>
        </w:rPr>
        <w:t> </w:t>
      </w:r>
      <w:r>
        <w:rPr>
          <w:spacing w:val="-2"/>
        </w:rPr>
        <w:t>kapital.</w:t>
      </w:r>
      <w:r>
        <w:rPr>
          <w:spacing w:val="-13"/>
        </w:rPr>
        <w:t> </w:t>
      </w:r>
      <w:r>
        <w:rPr>
          <w:spacing w:val="-2"/>
        </w:rPr>
        <w:t>Contoh:</w:t>
      </w:r>
      <w:r>
        <w:rPr>
          <w:spacing w:val="-13"/>
        </w:rPr>
        <w:t> </w:t>
      </w:r>
      <w:r>
        <w:rPr>
          <w:rFonts w:ascii="Microsoft Sans Serif" w:cs="Microsoft Sans Serif"/>
          <w:spacing w:val="-2"/>
          <w:sz w:val="28"/>
          <w:szCs w:val="28"/>
          <w:rtl/>
        </w:rPr>
        <w:t>الغز</w:t>
      </w:r>
      <w:r>
        <w:rPr>
          <w:rFonts w:ascii="Microsoft Sans Serif" w:cs="Microsoft Sans Serif"/>
          <w:spacing w:val="-2"/>
          <w:sz w:val="28"/>
          <w:szCs w:val="28"/>
          <w:rtl/>
        </w:rPr>
        <w:t>ل</w:t>
      </w:r>
    </w:p>
    <w:p>
      <w:pPr>
        <w:pStyle w:val="BodyText"/>
        <w:spacing w:after="0" w:line="362" w:lineRule="auto"/>
        <w:jc w:val="both"/>
        <w:rPr>
          <w:rFonts w:ascii="Microsoft Sans Serif" w:cs="Microsoft Sans Serif"/>
          <w:sz w:val="28"/>
          <w:szCs w:val="28"/>
        </w:rPr>
        <w:sectPr>
          <w:pgSz w:w="11910" w:h="16840"/>
          <w:pgMar w:header="0" w:footer="1000" w:top="1360" w:bottom="1200" w:left="1417" w:right="1275"/>
        </w:sectPr>
      </w:pPr>
    </w:p>
    <w:p>
      <w:pPr>
        <w:spacing w:before="62"/>
        <w:ind w:left="1586" w:right="1721" w:firstLine="0"/>
        <w:jc w:val="center"/>
        <w:rPr>
          <w:b/>
          <w:sz w:val="22"/>
        </w:rPr>
      </w:pPr>
      <w:bookmarkStart w:name="_bookmark6" w:id="7"/>
      <w:bookmarkEnd w:id="7"/>
      <w:r>
        <w:rPr/>
      </w:r>
      <w:r>
        <w:rPr>
          <w:b/>
          <w:spacing w:val="-2"/>
          <w:sz w:val="22"/>
        </w:rPr>
        <w:t>Abstrak</w:t>
      </w:r>
    </w:p>
    <w:p>
      <w:pPr>
        <w:pStyle w:val="BodyText"/>
        <w:spacing w:before="32"/>
        <w:rPr>
          <w:b/>
          <w:sz w:val="22"/>
        </w:rPr>
      </w:pPr>
    </w:p>
    <w:p>
      <w:pPr>
        <w:spacing w:line="240" w:lineRule="auto" w:before="0"/>
        <w:ind w:left="23" w:right="159" w:firstLine="719"/>
        <w:jc w:val="both"/>
        <w:rPr>
          <w:sz w:val="22"/>
        </w:rPr>
      </w:pPr>
      <w:r>
        <w:rPr>
          <w:sz w:val="22"/>
        </w:rPr>
        <w:t>Pasar modal syariah menjadi alternatif untuk menjaga stabilitas ekonomi. Kemajuan pasar modal</w:t>
      </w:r>
      <w:r>
        <w:rPr>
          <w:spacing w:val="-16"/>
          <w:sz w:val="22"/>
        </w:rPr>
        <w:t> </w:t>
      </w:r>
      <w:r>
        <w:rPr>
          <w:sz w:val="22"/>
        </w:rPr>
        <w:t>syariah</w:t>
      </w:r>
      <w:r>
        <w:rPr>
          <w:spacing w:val="-14"/>
          <w:sz w:val="22"/>
        </w:rPr>
        <w:t> </w:t>
      </w:r>
      <w:r>
        <w:rPr>
          <w:sz w:val="22"/>
        </w:rPr>
        <w:t>tercermin</w:t>
      </w:r>
      <w:r>
        <w:rPr>
          <w:spacing w:val="-14"/>
          <w:sz w:val="22"/>
        </w:rPr>
        <w:t> </w:t>
      </w:r>
      <w:r>
        <w:rPr>
          <w:sz w:val="22"/>
        </w:rPr>
        <w:t>dalam</w:t>
      </w:r>
      <w:r>
        <w:rPr>
          <w:spacing w:val="-13"/>
          <w:sz w:val="22"/>
        </w:rPr>
        <w:t> </w:t>
      </w:r>
      <w:r>
        <w:rPr>
          <w:sz w:val="22"/>
        </w:rPr>
        <w:t>fluktuasi</w:t>
      </w:r>
      <w:r>
        <w:rPr>
          <w:spacing w:val="-14"/>
          <w:sz w:val="22"/>
        </w:rPr>
        <w:t> </w:t>
      </w:r>
      <w:r>
        <w:rPr>
          <w:sz w:val="22"/>
        </w:rPr>
        <w:t>nilai</w:t>
      </w:r>
      <w:r>
        <w:rPr>
          <w:spacing w:val="-14"/>
          <w:sz w:val="22"/>
        </w:rPr>
        <w:t> </w:t>
      </w:r>
      <w:r>
        <w:rPr>
          <w:sz w:val="22"/>
        </w:rPr>
        <w:t>Indeks</w:t>
      </w:r>
      <w:r>
        <w:rPr>
          <w:spacing w:val="-14"/>
          <w:sz w:val="22"/>
        </w:rPr>
        <w:t> </w:t>
      </w:r>
      <w:r>
        <w:rPr>
          <w:sz w:val="22"/>
        </w:rPr>
        <w:t>Saham</w:t>
      </w:r>
      <w:r>
        <w:rPr>
          <w:spacing w:val="-13"/>
          <w:sz w:val="22"/>
        </w:rPr>
        <w:t> </w:t>
      </w:r>
      <w:r>
        <w:rPr>
          <w:sz w:val="22"/>
        </w:rPr>
        <w:t>Syariah</w:t>
      </w:r>
      <w:r>
        <w:rPr>
          <w:spacing w:val="-14"/>
          <w:sz w:val="22"/>
        </w:rPr>
        <w:t> </w:t>
      </w:r>
      <w:r>
        <w:rPr>
          <w:sz w:val="22"/>
        </w:rPr>
        <w:t>Indonesia</w:t>
      </w:r>
      <w:r>
        <w:rPr>
          <w:spacing w:val="-14"/>
          <w:sz w:val="22"/>
        </w:rPr>
        <w:t> </w:t>
      </w:r>
      <w:r>
        <w:rPr>
          <w:sz w:val="22"/>
        </w:rPr>
        <w:t>(ISSI).</w:t>
      </w:r>
      <w:r>
        <w:rPr>
          <w:spacing w:val="-14"/>
          <w:sz w:val="22"/>
        </w:rPr>
        <w:t> </w:t>
      </w:r>
      <w:r>
        <w:rPr>
          <w:sz w:val="22"/>
        </w:rPr>
        <w:t>Pergerakan</w:t>
      </w:r>
      <w:r>
        <w:rPr>
          <w:spacing w:val="-13"/>
          <w:sz w:val="22"/>
        </w:rPr>
        <w:t> </w:t>
      </w:r>
      <w:r>
        <w:rPr>
          <w:sz w:val="22"/>
        </w:rPr>
        <w:t>harga saham ISSI dipengaruhi oleh beberapa faktor diantaranya ialah Indeks Keyakinan Konsumen dan variabel makroekonomi yang mana nilai tukar, inflasi, dan Indeks Produksi Industri termasuk didalamnya. Penelitian ini bertujuan untuk mengetahui pengaruh Indeks Keyakinan Konsumen, nilai tukar, inflasi, dan Indeks Produksi Industri terhadap ISSI pada periode 2020-2024.</w:t>
      </w:r>
    </w:p>
    <w:p>
      <w:pPr>
        <w:spacing w:before="160"/>
        <w:ind w:left="23" w:right="160" w:firstLine="719"/>
        <w:jc w:val="both"/>
        <w:rPr>
          <w:sz w:val="22"/>
        </w:rPr>
      </w:pPr>
      <w:r>
        <w:rPr>
          <w:sz w:val="22"/>
        </w:rPr>
        <w:t>Jenis</w:t>
      </w:r>
      <w:r>
        <w:rPr>
          <w:spacing w:val="-11"/>
          <w:sz w:val="22"/>
        </w:rPr>
        <w:t> </w:t>
      </w:r>
      <w:r>
        <w:rPr>
          <w:sz w:val="22"/>
        </w:rPr>
        <w:t>penelitian</w:t>
      </w:r>
      <w:r>
        <w:rPr>
          <w:spacing w:val="-14"/>
          <w:sz w:val="22"/>
        </w:rPr>
        <w:t> </w:t>
      </w:r>
      <w:r>
        <w:rPr>
          <w:sz w:val="22"/>
        </w:rPr>
        <w:t>yang</w:t>
      </w:r>
      <w:r>
        <w:rPr>
          <w:spacing w:val="-12"/>
          <w:sz w:val="22"/>
        </w:rPr>
        <w:t> </w:t>
      </w:r>
      <w:r>
        <w:rPr>
          <w:sz w:val="22"/>
        </w:rPr>
        <w:t>digunakan</w:t>
      </w:r>
      <w:r>
        <w:rPr>
          <w:spacing w:val="-14"/>
          <w:sz w:val="22"/>
        </w:rPr>
        <w:t> </w:t>
      </w:r>
      <w:r>
        <w:rPr>
          <w:sz w:val="22"/>
        </w:rPr>
        <w:t>ialah</w:t>
      </w:r>
      <w:r>
        <w:rPr>
          <w:spacing w:val="-12"/>
          <w:sz w:val="22"/>
        </w:rPr>
        <w:t> </w:t>
      </w:r>
      <w:r>
        <w:rPr>
          <w:sz w:val="22"/>
        </w:rPr>
        <w:t>kuantitatif</w:t>
      </w:r>
      <w:r>
        <w:rPr>
          <w:spacing w:val="-11"/>
          <w:sz w:val="22"/>
        </w:rPr>
        <w:t> </w:t>
      </w:r>
      <w:r>
        <w:rPr>
          <w:sz w:val="22"/>
        </w:rPr>
        <w:t>dan</w:t>
      </w:r>
      <w:r>
        <w:rPr>
          <w:spacing w:val="-14"/>
          <w:sz w:val="22"/>
        </w:rPr>
        <w:t> </w:t>
      </w:r>
      <w:r>
        <w:rPr>
          <w:sz w:val="22"/>
        </w:rPr>
        <w:t>menggunakan</w:t>
      </w:r>
      <w:r>
        <w:rPr>
          <w:spacing w:val="-12"/>
          <w:sz w:val="22"/>
        </w:rPr>
        <w:t> </w:t>
      </w:r>
      <w:r>
        <w:rPr>
          <w:sz w:val="22"/>
        </w:rPr>
        <w:t>data</w:t>
      </w:r>
      <w:r>
        <w:rPr>
          <w:spacing w:val="-14"/>
          <w:sz w:val="22"/>
        </w:rPr>
        <w:t> </w:t>
      </w:r>
      <w:r>
        <w:rPr>
          <w:sz w:val="22"/>
        </w:rPr>
        <w:t>sekunder</w:t>
      </w:r>
      <w:r>
        <w:rPr>
          <w:spacing w:val="-14"/>
          <w:sz w:val="22"/>
        </w:rPr>
        <w:t> </w:t>
      </w:r>
      <w:r>
        <w:rPr>
          <w:sz w:val="22"/>
        </w:rPr>
        <w:t>berupa</w:t>
      </w:r>
      <w:r>
        <w:rPr>
          <w:spacing w:val="-12"/>
          <w:sz w:val="22"/>
        </w:rPr>
        <w:t> </w:t>
      </w:r>
      <w:r>
        <w:rPr>
          <w:sz w:val="22"/>
        </w:rPr>
        <w:t>sajian data</w:t>
      </w:r>
      <w:r>
        <w:rPr>
          <w:spacing w:val="-5"/>
          <w:sz w:val="22"/>
        </w:rPr>
        <w:t> </w:t>
      </w:r>
      <w:r>
        <w:rPr>
          <w:i/>
          <w:sz w:val="22"/>
        </w:rPr>
        <w:t>time</w:t>
      </w:r>
      <w:r>
        <w:rPr>
          <w:i/>
          <w:spacing w:val="-3"/>
          <w:sz w:val="22"/>
        </w:rPr>
        <w:t> </w:t>
      </w:r>
      <w:r>
        <w:rPr>
          <w:i/>
          <w:sz w:val="22"/>
        </w:rPr>
        <w:t>series</w:t>
      </w:r>
      <w:r>
        <w:rPr>
          <w:i/>
          <w:spacing w:val="-4"/>
          <w:sz w:val="22"/>
        </w:rPr>
        <w:t> </w:t>
      </w:r>
      <w:r>
        <w:rPr>
          <w:sz w:val="22"/>
        </w:rPr>
        <w:t>(bulanan)</w:t>
      </w:r>
      <w:r>
        <w:rPr>
          <w:spacing w:val="-3"/>
          <w:sz w:val="22"/>
        </w:rPr>
        <w:t> </w:t>
      </w:r>
      <w:r>
        <w:rPr>
          <w:sz w:val="22"/>
        </w:rPr>
        <w:t>pada</w:t>
      </w:r>
      <w:r>
        <w:rPr>
          <w:spacing w:val="-3"/>
          <w:sz w:val="22"/>
        </w:rPr>
        <w:t> </w:t>
      </w:r>
      <w:r>
        <w:rPr>
          <w:sz w:val="22"/>
        </w:rPr>
        <w:t>periode</w:t>
      </w:r>
      <w:r>
        <w:rPr>
          <w:spacing w:val="-3"/>
          <w:sz w:val="22"/>
        </w:rPr>
        <w:t> </w:t>
      </w:r>
      <w:r>
        <w:rPr>
          <w:sz w:val="22"/>
        </w:rPr>
        <w:t>2020-2024.</w:t>
      </w:r>
      <w:r>
        <w:rPr>
          <w:spacing w:val="-3"/>
          <w:sz w:val="22"/>
        </w:rPr>
        <w:t> </w:t>
      </w:r>
      <w:r>
        <w:rPr>
          <w:sz w:val="22"/>
        </w:rPr>
        <w:t>Teknik</w:t>
      </w:r>
      <w:r>
        <w:rPr>
          <w:spacing w:val="-3"/>
          <w:sz w:val="22"/>
        </w:rPr>
        <w:t> </w:t>
      </w:r>
      <w:r>
        <w:rPr>
          <w:sz w:val="22"/>
        </w:rPr>
        <w:t>pengambilan</w:t>
      </w:r>
      <w:r>
        <w:rPr>
          <w:spacing w:val="-3"/>
          <w:sz w:val="22"/>
        </w:rPr>
        <w:t> </w:t>
      </w:r>
      <w:r>
        <w:rPr>
          <w:sz w:val="22"/>
        </w:rPr>
        <w:t>sampel</w:t>
      </w:r>
      <w:r>
        <w:rPr>
          <w:spacing w:val="-5"/>
          <w:sz w:val="22"/>
        </w:rPr>
        <w:t> </w:t>
      </w:r>
      <w:r>
        <w:rPr>
          <w:sz w:val="22"/>
        </w:rPr>
        <w:t>menggunakan</w:t>
      </w:r>
      <w:r>
        <w:rPr>
          <w:spacing w:val="-3"/>
          <w:sz w:val="22"/>
        </w:rPr>
        <w:t> </w:t>
      </w:r>
      <w:r>
        <w:rPr>
          <w:sz w:val="22"/>
        </w:rPr>
        <w:t>sampel jenuh. Analisis data yang digunakan menggunakan model regresi linear berganda yang diolah dengan bantuan </w:t>
      </w:r>
      <w:r>
        <w:rPr>
          <w:i/>
          <w:sz w:val="22"/>
        </w:rPr>
        <w:t>software eviews </w:t>
      </w:r>
      <w:r>
        <w:rPr>
          <w:sz w:val="22"/>
        </w:rPr>
        <w:t>versi 10</w:t>
      </w:r>
    </w:p>
    <w:p>
      <w:pPr>
        <w:spacing w:before="159"/>
        <w:ind w:left="23" w:right="161" w:firstLine="719"/>
        <w:jc w:val="both"/>
        <w:rPr>
          <w:sz w:val="22"/>
        </w:rPr>
      </w:pPr>
      <w:r>
        <w:rPr>
          <w:sz w:val="22"/>
        </w:rPr>
        <w:t>Hasil</w:t>
      </w:r>
      <w:r>
        <w:rPr>
          <w:spacing w:val="-4"/>
          <w:sz w:val="22"/>
        </w:rPr>
        <w:t> </w:t>
      </w:r>
      <w:r>
        <w:rPr>
          <w:sz w:val="22"/>
        </w:rPr>
        <w:t>penelitian</w:t>
      </w:r>
      <w:r>
        <w:rPr>
          <w:spacing w:val="-4"/>
          <w:sz w:val="22"/>
        </w:rPr>
        <w:t> </w:t>
      </w:r>
      <w:r>
        <w:rPr>
          <w:sz w:val="22"/>
        </w:rPr>
        <w:t>menunjukkan</w:t>
      </w:r>
      <w:r>
        <w:rPr>
          <w:spacing w:val="-2"/>
          <w:sz w:val="22"/>
        </w:rPr>
        <w:t> </w:t>
      </w:r>
      <w:r>
        <w:rPr>
          <w:sz w:val="22"/>
        </w:rPr>
        <w:t>bahwa</w:t>
      </w:r>
      <w:r>
        <w:rPr>
          <w:spacing w:val="-2"/>
          <w:sz w:val="22"/>
        </w:rPr>
        <w:t> </w:t>
      </w:r>
      <w:r>
        <w:rPr>
          <w:sz w:val="22"/>
        </w:rPr>
        <w:t>IKK</w:t>
      </w:r>
      <w:r>
        <w:rPr>
          <w:spacing w:val="-3"/>
          <w:sz w:val="22"/>
        </w:rPr>
        <w:t> </w:t>
      </w:r>
      <w:r>
        <w:rPr>
          <w:sz w:val="22"/>
        </w:rPr>
        <w:t>dan</w:t>
      </w:r>
      <w:r>
        <w:rPr>
          <w:spacing w:val="-2"/>
          <w:sz w:val="22"/>
        </w:rPr>
        <w:t> </w:t>
      </w:r>
      <w:r>
        <w:rPr>
          <w:sz w:val="22"/>
        </w:rPr>
        <w:t>IPI</w:t>
      </w:r>
      <w:r>
        <w:rPr>
          <w:spacing w:val="-4"/>
          <w:sz w:val="22"/>
        </w:rPr>
        <w:t> </w:t>
      </w:r>
      <w:r>
        <w:rPr>
          <w:sz w:val="22"/>
        </w:rPr>
        <w:t>berpengaruh</w:t>
      </w:r>
      <w:r>
        <w:rPr>
          <w:spacing w:val="-2"/>
          <w:sz w:val="22"/>
        </w:rPr>
        <w:t> </w:t>
      </w:r>
      <w:r>
        <w:rPr>
          <w:sz w:val="22"/>
        </w:rPr>
        <w:t>positif</w:t>
      </w:r>
      <w:r>
        <w:rPr>
          <w:spacing w:val="-4"/>
          <w:sz w:val="22"/>
        </w:rPr>
        <w:t> </w:t>
      </w:r>
      <w:r>
        <w:rPr>
          <w:sz w:val="22"/>
        </w:rPr>
        <w:t>dan</w:t>
      </w:r>
      <w:r>
        <w:rPr>
          <w:spacing w:val="-2"/>
          <w:sz w:val="22"/>
        </w:rPr>
        <w:t> </w:t>
      </w:r>
      <w:r>
        <w:rPr>
          <w:sz w:val="22"/>
        </w:rPr>
        <w:t>signifikan</w:t>
      </w:r>
      <w:r>
        <w:rPr>
          <w:spacing w:val="-2"/>
          <w:sz w:val="22"/>
        </w:rPr>
        <w:t> </w:t>
      </w:r>
      <w:r>
        <w:rPr>
          <w:sz w:val="22"/>
        </w:rPr>
        <w:t>terhadap ISSI. Sementara itu, nilai tukar dan inflasi berpengaruh positif dan tidak signifikan terhadap ISSI. Variabel Indeks Keyakinan Konsumen, nilai tukar, inflasi, dan Indeks Produksi Industri dapat menjelaskan ISSI sebesar 66,84%, sisanya dijelaskan diluar model penelitian.</w:t>
      </w:r>
    </w:p>
    <w:p>
      <w:pPr>
        <w:spacing w:before="163"/>
        <w:ind w:left="743" w:right="0" w:firstLine="0"/>
        <w:jc w:val="left"/>
        <w:rPr>
          <w:b/>
          <w:sz w:val="22"/>
        </w:rPr>
      </w:pPr>
      <w:r>
        <w:rPr>
          <w:b/>
          <w:sz w:val="22"/>
        </w:rPr>
        <w:t>Kata</w:t>
      </w:r>
      <w:r>
        <w:rPr>
          <w:b/>
          <w:spacing w:val="-7"/>
          <w:sz w:val="22"/>
        </w:rPr>
        <w:t> </w:t>
      </w:r>
      <w:r>
        <w:rPr>
          <w:b/>
          <w:sz w:val="22"/>
        </w:rPr>
        <w:t>kunci:</w:t>
      </w:r>
      <w:r>
        <w:rPr>
          <w:b/>
          <w:spacing w:val="-4"/>
          <w:sz w:val="22"/>
        </w:rPr>
        <w:t> </w:t>
      </w:r>
      <w:r>
        <w:rPr>
          <w:b/>
          <w:sz w:val="22"/>
        </w:rPr>
        <w:t>IKK,</w:t>
      </w:r>
      <w:r>
        <w:rPr>
          <w:b/>
          <w:spacing w:val="-6"/>
          <w:sz w:val="22"/>
        </w:rPr>
        <w:t> </w:t>
      </w:r>
      <w:r>
        <w:rPr>
          <w:b/>
          <w:sz w:val="22"/>
        </w:rPr>
        <w:t>makroekonomi,</w:t>
      </w:r>
      <w:r>
        <w:rPr>
          <w:b/>
          <w:spacing w:val="-4"/>
          <w:sz w:val="22"/>
        </w:rPr>
        <w:t> </w:t>
      </w:r>
      <w:r>
        <w:rPr>
          <w:b/>
          <w:sz w:val="22"/>
        </w:rPr>
        <w:t>nilai</w:t>
      </w:r>
      <w:r>
        <w:rPr>
          <w:b/>
          <w:spacing w:val="-6"/>
          <w:sz w:val="22"/>
        </w:rPr>
        <w:t> </w:t>
      </w:r>
      <w:r>
        <w:rPr>
          <w:b/>
          <w:sz w:val="22"/>
        </w:rPr>
        <w:t>tukar,</w:t>
      </w:r>
      <w:r>
        <w:rPr>
          <w:b/>
          <w:spacing w:val="-4"/>
          <w:sz w:val="22"/>
        </w:rPr>
        <w:t> </w:t>
      </w:r>
      <w:r>
        <w:rPr>
          <w:b/>
          <w:sz w:val="22"/>
        </w:rPr>
        <w:t>inflasi,</w:t>
      </w:r>
      <w:r>
        <w:rPr>
          <w:b/>
          <w:spacing w:val="-4"/>
          <w:sz w:val="22"/>
        </w:rPr>
        <w:t> </w:t>
      </w:r>
      <w:r>
        <w:rPr>
          <w:b/>
          <w:sz w:val="22"/>
        </w:rPr>
        <w:t>IPI,</w:t>
      </w:r>
      <w:r>
        <w:rPr>
          <w:b/>
          <w:spacing w:val="-5"/>
          <w:sz w:val="22"/>
        </w:rPr>
        <w:t> </w:t>
      </w:r>
      <w:r>
        <w:rPr>
          <w:b/>
          <w:spacing w:val="-4"/>
          <w:sz w:val="22"/>
        </w:rPr>
        <w:t>ISSI</w:t>
      </w:r>
    </w:p>
    <w:p>
      <w:pPr>
        <w:spacing w:after="0"/>
        <w:jc w:val="left"/>
        <w:rPr>
          <w:b/>
          <w:sz w:val="22"/>
        </w:rPr>
        <w:sectPr>
          <w:pgSz w:w="11910" w:h="16840"/>
          <w:pgMar w:header="0" w:footer="1000" w:top="1360" w:bottom="1200" w:left="1417" w:right="1275"/>
        </w:sectPr>
      </w:pPr>
    </w:p>
    <w:p>
      <w:pPr>
        <w:spacing w:before="62"/>
        <w:ind w:left="0" w:right="139" w:firstLine="0"/>
        <w:jc w:val="center"/>
        <w:rPr>
          <w:b/>
          <w:i/>
          <w:sz w:val="22"/>
        </w:rPr>
      </w:pPr>
      <w:bookmarkStart w:name="_bookmark7" w:id="8"/>
      <w:bookmarkEnd w:id="8"/>
      <w:r>
        <w:rPr/>
      </w:r>
      <w:r>
        <w:rPr>
          <w:b/>
          <w:i/>
          <w:spacing w:val="-2"/>
          <w:sz w:val="22"/>
        </w:rPr>
        <w:t>Abstract</w:t>
      </w:r>
    </w:p>
    <w:p>
      <w:pPr>
        <w:pStyle w:val="BodyText"/>
        <w:spacing w:before="35"/>
        <w:rPr>
          <w:b/>
          <w:i/>
          <w:sz w:val="22"/>
        </w:rPr>
      </w:pPr>
    </w:p>
    <w:p>
      <w:pPr>
        <w:spacing w:line="259" w:lineRule="auto" w:before="0"/>
        <w:ind w:left="23" w:right="160" w:firstLine="719"/>
        <w:jc w:val="both"/>
        <w:rPr>
          <w:i/>
          <w:sz w:val="22"/>
        </w:rPr>
      </w:pPr>
      <w:r>
        <w:rPr>
          <w:i/>
          <w:sz w:val="22"/>
        </w:rPr>
        <w:t>The</w:t>
      </w:r>
      <w:r>
        <w:rPr>
          <w:i/>
          <w:spacing w:val="-10"/>
          <w:sz w:val="22"/>
        </w:rPr>
        <w:t> </w:t>
      </w:r>
      <w:r>
        <w:rPr>
          <w:i/>
          <w:sz w:val="22"/>
        </w:rPr>
        <w:t>Islamic</w:t>
      </w:r>
      <w:r>
        <w:rPr>
          <w:i/>
          <w:spacing w:val="-9"/>
          <w:sz w:val="22"/>
        </w:rPr>
        <w:t> </w:t>
      </w:r>
      <w:r>
        <w:rPr>
          <w:i/>
          <w:sz w:val="22"/>
        </w:rPr>
        <w:t>capital</w:t>
      </w:r>
      <w:r>
        <w:rPr>
          <w:i/>
          <w:spacing w:val="-8"/>
          <w:sz w:val="22"/>
        </w:rPr>
        <w:t> </w:t>
      </w:r>
      <w:r>
        <w:rPr>
          <w:i/>
          <w:sz w:val="22"/>
        </w:rPr>
        <w:t>market</w:t>
      </w:r>
      <w:r>
        <w:rPr>
          <w:i/>
          <w:spacing w:val="-11"/>
          <w:sz w:val="22"/>
        </w:rPr>
        <w:t> </w:t>
      </w:r>
      <w:r>
        <w:rPr>
          <w:i/>
          <w:sz w:val="22"/>
        </w:rPr>
        <w:t>is</w:t>
      </w:r>
      <w:r>
        <w:rPr>
          <w:i/>
          <w:spacing w:val="-9"/>
          <w:sz w:val="22"/>
        </w:rPr>
        <w:t> </w:t>
      </w:r>
      <w:r>
        <w:rPr>
          <w:i/>
          <w:sz w:val="22"/>
        </w:rPr>
        <w:t>an</w:t>
      </w:r>
      <w:r>
        <w:rPr>
          <w:i/>
          <w:spacing w:val="-7"/>
          <w:sz w:val="22"/>
        </w:rPr>
        <w:t> </w:t>
      </w:r>
      <w:r>
        <w:rPr>
          <w:i/>
          <w:sz w:val="22"/>
        </w:rPr>
        <w:t>alternative</w:t>
      </w:r>
      <w:r>
        <w:rPr>
          <w:i/>
          <w:spacing w:val="-9"/>
          <w:sz w:val="22"/>
        </w:rPr>
        <w:t> </w:t>
      </w:r>
      <w:r>
        <w:rPr>
          <w:i/>
          <w:sz w:val="22"/>
        </w:rPr>
        <w:t>to</w:t>
      </w:r>
      <w:r>
        <w:rPr>
          <w:i/>
          <w:spacing w:val="-10"/>
          <w:sz w:val="22"/>
        </w:rPr>
        <w:t> </w:t>
      </w:r>
      <w:r>
        <w:rPr>
          <w:i/>
          <w:sz w:val="22"/>
        </w:rPr>
        <w:t>maintain</w:t>
      </w:r>
      <w:r>
        <w:rPr>
          <w:i/>
          <w:spacing w:val="-7"/>
          <w:sz w:val="22"/>
        </w:rPr>
        <w:t> </w:t>
      </w:r>
      <w:r>
        <w:rPr>
          <w:i/>
          <w:sz w:val="22"/>
        </w:rPr>
        <w:t>economic</w:t>
      </w:r>
      <w:r>
        <w:rPr>
          <w:i/>
          <w:spacing w:val="-6"/>
          <w:sz w:val="22"/>
        </w:rPr>
        <w:t> </w:t>
      </w:r>
      <w:r>
        <w:rPr>
          <w:i/>
          <w:sz w:val="22"/>
        </w:rPr>
        <w:t>stability.</w:t>
      </w:r>
      <w:r>
        <w:rPr>
          <w:i/>
          <w:spacing w:val="-7"/>
          <w:sz w:val="22"/>
        </w:rPr>
        <w:t> </w:t>
      </w:r>
      <w:r>
        <w:rPr>
          <w:i/>
          <w:sz w:val="22"/>
        </w:rPr>
        <w:t>The</w:t>
      </w:r>
      <w:r>
        <w:rPr>
          <w:i/>
          <w:spacing w:val="-9"/>
          <w:sz w:val="22"/>
        </w:rPr>
        <w:t> </w:t>
      </w:r>
      <w:r>
        <w:rPr>
          <w:i/>
          <w:sz w:val="22"/>
        </w:rPr>
        <w:t>progress</w:t>
      </w:r>
      <w:r>
        <w:rPr>
          <w:i/>
          <w:spacing w:val="-7"/>
          <w:sz w:val="22"/>
        </w:rPr>
        <w:t> </w:t>
      </w:r>
      <w:r>
        <w:rPr>
          <w:i/>
          <w:sz w:val="22"/>
        </w:rPr>
        <w:t>of</w:t>
      </w:r>
      <w:r>
        <w:rPr>
          <w:i/>
          <w:spacing w:val="-9"/>
          <w:sz w:val="22"/>
        </w:rPr>
        <w:t> </w:t>
      </w:r>
      <w:r>
        <w:rPr>
          <w:i/>
          <w:sz w:val="22"/>
        </w:rPr>
        <w:t>the Islamic capital market is reflected in fluctuations in the value of the Islamic Stock Index (ISSI). The movement of the ISSI stock price is influenced by several factors including the Consumer Confidence Index and macroeconomic variables which include exchange rates, inflation, and the Industrial Production Index. This study aims to determine the effect of Consumer Confidence Index, exchange rate, inflation, and Industrial Production Index on ISSI in the period 2020-2024.</w:t>
      </w:r>
    </w:p>
    <w:p>
      <w:pPr>
        <w:spacing w:line="259" w:lineRule="auto" w:before="158"/>
        <w:ind w:left="23" w:right="161" w:firstLine="719"/>
        <w:jc w:val="both"/>
        <w:rPr>
          <w:i/>
          <w:sz w:val="22"/>
        </w:rPr>
      </w:pPr>
      <w:r>
        <w:rPr>
          <w:i/>
          <w:sz w:val="22"/>
        </w:rPr>
        <w:t>The type of research used is quantitative and uses secondary data in the form of time series (monthly) data presentation in the period</w:t>
      </w:r>
      <w:r>
        <w:rPr>
          <w:i/>
          <w:spacing w:val="-2"/>
          <w:sz w:val="22"/>
        </w:rPr>
        <w:t> </w:t>
      </w:r>
      <w:r>
        <w:rPr>
          <w:i/>
          <w:sz w:val="22"/>
        </w:rPr>
        <w:t>2020-2024.</w:t>
      </w:r>
      <w:r>
        <w:rPr>
          <w:i/>
          <w:spacing w:val="-2"/>
          <w:sz w:val="22"/>
        </w:rPr>
        <w:t> </w:t>
      </w:r>
      <w:r>
        <w:rPr>
          <w:i/>
          <w:sz w:val="22"/>
        </w:rPr>
        <w:t>The sampling</w:t>
      </w:r>
      <w:r>
        <w:rPr>
          <w:i/>
          <w:spacing w:val="-2"/>
          <w:sz w:val="22"/>
        </w:rPr>
        <w:t> </w:t>
      </w:r>
      <w:r>
        <w:rPr>
          <w:i/>
          <w:sz w:val="22"/>
        </w:rPr>
        <w:t>technique uses saturated</w:t>
      </w:r>
      <w:r>
        <w:rPr>
          <w:i/>
          <w:spacing w:val="-2"/>
          <w:sz w:val="22"/>
        </w:rPr>
        <w:t> </w:t>
      </w:r>
      <w:r>
        <w:rPr>
          <w:i/>
          <w:sz w:val="22"/>
        </w:rPr>
        <w:t>samples. The data analysis used uses multiple linear regression models which are processed with the help of eviews software version 10.</w:t>
      </w:r>
    </w:p>
    <w:p>
      <w:pPr>
        <w:spacing w:line="259" w:lineRule="auto" w:before="160"/>
        <w:ind w:left="23" w:right="161" w:firstLine="719"/>
        <w:jc w:val="both"/>
        <w:rPr>
          <w:i/>
          <w:sz w:val="22"/>
        </w:rPr>
      </w:pPr>
      <w:r>
        <w:rPr>
          <w:i/>
          <w:sz w:val="22"/>
        </w:rPr>
        <w:t>The results showed that IKK and IPI had a positive and significant effect on the ISSI. Meanwhile, exchange rates and inflation have a positive and insignificant effect on the ISSI. The Consumer Confidence Index, exchange rate, inflation, and Industrial Production Index variables can explain the ISSI by 66.84%, the rest is explained outside the research model.</w:t>
      </w:r>
    </w:p>
    <w:p>
      <w:pPr>
        <w:spacing w:before="158"/>
        <w:ind w:left="23" w:right="0" w:firstLine="0"/>
        <w:jc w:val="left"/>
        <w:rPr>
          <w:b/>
          <w:i/>
          <w:sz w:val="22"/>
        </w:rPr>
      </w:pPr>
      <w:r>
        <w:rPr>
          <w:b/>
          <w:i/>
          <w:sz w:val="22"/>
        </w:rPr>
        <w:t>Keywords:</w:t>
      </w:r>
      <w:r>
        <w:rPr>
          <w:b/>
          <w:i/>
          <w:spacing w:val="-5"/>
          <w:sz w:val="22"/>
        </w:rPr>
        <w:t> </w:t>
      </w:r>
      <w:r>
        <w:rPr>
          <w:b/>
          <w:i/>
          <w:sz w:val="22"/>
        </w:rPr>
        <w:t>CCI,</w:t>
      </w:r>
      <w:r>
        <w:rPr>
          <w:b/>
          <w:i/>
          <w:spacing w:val="-5"/>
          <w:sz w:val="22"/>
        </w:rPr>
        <w:t> </w:t>
      </w:r>
      <w:r>
        <w:rPr>
          <w:b/>
          <w:i/>
          <w:sz w:val="22"/>
        </w:rPr>
        <w:t>macroeconomics,</w:t>
      </w:r>
      <w:r>
        <w:rPr>
          <w:b/>
          <w:i/>
          <w:spacing w:val="-7"/>
          <w:sz w:val="22"/>
        </w:rPr>
        <w:t> </w:t>
      </w:r>
      <w:r>
        <w:rPr>
          <w:b/>
          <w:i/>
          <w:sz w:val="22"/>
        </w:rPr>
        <w:t>exchange</w:t>
      </w:r>
      <w:r>
        <w:rPr>
          <w:b/>
          <w:i/>
          <w:spacing w:val="-4"/>
          <w:sz w:val="22"/>
        </w:rPr>
        <w:t> </w:t>
      </w:r>
      <w:r>
        <w:rPr>
          <w:b/>
          <w:i/>
          <w:sz w:val="22"/>
        </w:rPr>
        <w:t>rate,</w:t>
      </w:r>
      <w:r>
        <w:rPr>
          <w:b/>
          <w:i/>
          <w:spacing w:val="-6"/>
          <w:sz w:val="22"/>
        </w:rPr>
        <w:t> </w:t>
      </w:r>
      <w:r>
        <w:rPr>
          <w:b/>
          <w:i/>
          <w:sz w:val="22"/>
        </w:rPr>
        <w:t>inflation,</w:t>
      </w:r>
      <w:r>
        <w:rPr>
          <w:b/>
          <w:i/>
          <w:spacing w:val="-4"/>
          <w:sz w:val="22"/>
        </w:rPr>
        <w:t> </w:t>
      </w:r>
      <w:r>
        <w:rPr>
          <w:b/>
          <w:i/>
          <w:sz w:val="22"/>
        </w:rPr>
        <w:t>IPI,</w:t>
      </w:r>
      <w:r>
        <w:rPr>
          <w:b/>
          <w:i/>
          <w:spacing w:val="-4"/>
          <w:sz w:val="22"/>
        </w:rPr>
        <w:t> ISSI</w:t>
      </w:r>
    </w:p>
    <w:p>
      <w:pPr>
        <w:spacing w:after="0"/>
        <w:jc w:val="left"/>
        <w:rPr>
          <w:b/>
          <w:i/>
          <w:sz w:val="22"/>
        </w:rPr>
        <w:sectPr>
          <w:pgSz w:w="11910" w:h="16840"/>
          <w:pgMar w:header="0" w:footer="1000" w:top="1360" w:bottom="1200" w:left="1417" w:right="1275"/>
        </w:sectPr>
      </w:pPr>
    </w:p>
    <w:p>
      <w:pPr>
        <w:pStyle w:val="Heading1"/>
        <w:ind w:left="1584"/>
      </w:pPr>
      <w:bookmarkStart w:name="_bookmark8" w:id="9"/>
      <w:bookmarkEnd w:id="9"/>
      <w:r>
        <w:rPr>
          <w:b w:val="0"/>
        </w:rPr>
      </w:r>
      <w:r>
        <w:rPr/>
        <w:t>KATA</w:t>
      </w:r>
      <w:r>
        <w:rPr>
          <w:spacing w:val="-1"/>
        </w:rPr>
        <w:t> </w:t>
      </w:r>
      <w:r>
        <w:rPr>
          <w:spacing w:val="-2"/>
        </w:rPr>
        <w:t>PENGANTAR</w:t>
      </w:r>
    </w:p>
    <w:p>
      <w:pPr>
        <w:pStyle w:val="BodyText"/>
        <w:spacing w:before="22"/>
        <w:rPr>
          <w:b/>
        </w:rPr>
      </w:pPr>
    </w:p>
    <w:p>
      <w:pPr>
        <w:pStyle w:val="BodyText"/>
        <w:spacing w:line="360" w:lineRule="auto"/>
        <w:ind w:left="23" w:right="160" w:firstLine="719"/>
        <w:jc w:val="both"/>
      </w:pPr>
      <w:r>
        <w:rPr/>
        <w:t>Puji</w:t>
      </w:r>
      <w:r>
        <w:rPr>
          <w:spacing w:val="-3"/>
        </w:rPr>
        <w:t> </w:t>
      </w:r>
      <w:r>
        <w:rPr/>
        <w:t>Syukur</w:t>
      </w:r>
      <w:r>
        <w:rPr>
          <w:spacing w:val="-4"/>
        </w:rPr>
        <w:t> </w:t>
      </w:r>
      <w:r>
        <w:rPr/>
        <w:t>kehadirat</w:t>
      </w:r>
      <w:r>
        <w:rPr>
          <w:spacing w:val="-3"/>
        </w:rPr>
        <w:t> </w:t>
      </w:r>
      <w:r>
        <w:rPr/>
        <w:t>Allah</w:t>
      </w:r>
      <w:r>
        <w:rPr>
          <w:spacing w:val="-3"/>
        </w:rPr>
        <w:t> </w:t>
      </w:r>
      <w:r>
        <w:rPr/>
        <w:t>SWT,</w:t>
      </w:r>
      <w:r>
        <w:rPr>
          <w:spacing w:val="-3"/>
        </w:rPr>
        <w:t> </w:t>
      </w:r>
      <w:r>
        <w:rPr/>
        <w:t>Tuhan</w:t>
      </w:r>
      <w:r>
        <w:rPr>
          <w:spacing w:val="-1"/>
        </w:rPr>
        <w:t> </w:t>
      </w:r>
      <w:r>
        <w:rPr/>
        <w:t>Yang</w:t>
      </w:r>
      <w:r>
        <w:rPr>
          <w:spacing w:val="-1"/>
        </w:rPr>
        <w:t> </w:t>
      </w:r>
      <w:r>
        <w:rPr/>
        <w:t>Maha</w:t>
      </w:r>
      <w:r>
        <w:rPr>
          <w:spacing w:val="-4"/>
        </w:rPr>
        <w:t> </w:t>
      </w:r>
      <w:r>
        <w:rPr/>
        <w:t>Pengasih</w:t>
      </w:r>
      <w:r>
        <w:rPr>
          <w:spacing w:val="-3"/>
        </w:rPr>
        <w:t> </w:t>
      </w:r>
      <w:r>
        <w:rPr/>
        <w:t>lagi</w:t>
      </w:r>
      <w:r>
        <w:rPr>
          <w:spacing w:val="-3"/>
        </w:rPr>
        <w:t> </w:t>
      </w:r>
      <w:r>
        <w:rPr/>
        <w:t>Maha Penyayang. Berkat rahmat dan karunia-Nya penulis dapat menyelesaikan skripsi yang ditujukan guna memenuhi tugas dan syarat memperoleh gelar Sarjana Strata (S.1) jurusan Ekonomi Islam Fakultas</w:t>
      </w:r>
      <w:r>
        <w:rPr>
          <w:spacing w:val="-10"/>
        </w:rPr>
        <w:t> </w:t>
      </w:r>
      <w:r>
        <w:rPr/>
        <w:t>Ekonomi</w:t>
      </w:r>
      <w:r>
        <w:rPr>
          <w:spacing w:val="-9"/>
        </w:rPr>
        <w:t> </w:t>
      </w:r>
      <w:r>
        <w:rPr/>
        <w:t>dan</w:t>
      </w:r>
      <w:r>
        <w:rPr>
          <w:spacing w:val="-9"/>
        </w:rPr>
        <w:t> </w:t>
      </w:r>
      <w:r>
        <w:rPr/>
        <w:t>Bisnis</w:t>
      </w:r>
      <w:r>
        <w:rPr>
          <w:spacing w:val="-9"/>
        </w:rPr>
        <w:t> </w:t>
      </w:r>
      <w:r>
        <w:rPr/>
        <w:t>Islam</w:t>
      </w:r>
      <w:r>
        <w:rPr>
          <w:spacing w:val="-9"/>
        </w:rPr>
        <w:t> </w:t>
      </w:r>
      <w:r>
        <w:rPr/>
        <w:t>UIN</w:t>
      </w:r>
      <w:r>
        <w:rPr>
          <w:spacing w:val="-10"/>
        </w:rPr>
        <w:t> </w:t>
      </w:r>
      <w:r>
        <w:rPr/>
        <w:t>Walisongo</w:t>
      </w:r>
      <w:r>
        <w:rPr>
          <w:spacing w:val="-9"/>
        </w:rPr>
        <w:t> </w:t>
      </w:r>
      <w:r>
        <w:rPr/>
        <w:t>Semarang.</w:t>
      </w:r>
      <w:r>
        <w:rPr>
          <w:spacing w:val="-9"/>
        </w:rPr>
        <w:t> </w:t>
      </w:r>
      <w:r>
        <w:rPr/>
        <w:t>Shalawat</w:t>
      </w:r>
      <w:r>
        <w:rPr>
          <w:spacing w:val="-9"/>
        </w:rPr>
        <w:t> </w:t>
      </w:r>
      <w:r>
        <w:rPr/>
        <w:t>dan</w:t>
      </w:r>
      <w:r>
        <w:rPr>
          <w:spacing w:val="-9"/>
        </w:rPr>
        <w:t> </w:t>
      </w:r>
      <w:r>
        <w:rPr/>
        <w:t>salam</w:t>
      </w:r>
      <w:r>
        <w:rPr>
          <w:spacing w:val="-9"/>
        </w:rPr>
        <w:t> </w:t>
      </w:r>
      <w:r>
        <w:rPr/>
        <w:t>senantiasa tercurah kepada junjungan Nabi Agung Muhammad SAW, yang senantiasa kita nantikan syafaatnya</w:t>
      </w:r>
      <w:r>
        <w:rPr>
          <w:spacing w:val="-15"/>
        </w:rPr>
        <w:t> </w:t>
      </w:r>
      <w:r>
        <w:rPr/>
        <w:t>kelak</w:t>
      </w:r>
      <w:r>
        <w:rPr>
          <w:spacing w:val="-15"/>
        </w:rPr>
        <w:t> </w:t>
      </w:r>
      <w:r>
        <w:rPr/>
        <w:t>di</w:t>
      </w:r>
      <w:r>
        <w:rPr>
          <w:spacing w:val="-15"/>
        </w:rPr>
        <w:t> </w:t>
      </w:r>
      <w:r>
        <w:rPr/>
        <w:t>hari</w:t>
      </w:r>
      <w:r>
        <w:rPr>
          <w:spacing w:val="-15"/>
        </w:rPr>
        <w:t> </w:t>
      </w:r>
      <w:r>
        <w:rPr/>
        <w:t>akhir</w:t>
      </w:r>
      <w:r>
        <w:rPr>
          <w:spacing w:val="-15"/>
        </w:rPr>
        <w:t> </w:t>
      </w:r>
      <w:r>
        <w:rPr/>
        <w:t>nanti.</w:t>
      </w:r>
      <w:r>
        <w:rPr>
          <w:spacing w:val="-15"/>
        </w:rPr>
        <w:t> </w:t>
      </w:r>
      <w:r>
        <w:rPr/>
        <w:t>Dalam</w:t>
      </w:r>
      <w:r>
        <w:rPr>
          <w:spacing w:val="-15"/>
        </w:rPr>
        <w:t> </w:t>
      </w:r>
      <w:r>
        <w:rPr/>
        <w:t>proses</w:t>
      </w:r>
      <w:r>
        <w:rPr>
          <w:spacing w:val="-15"/>
        </w:rPr>
        <w:t> </w:t>
      </w:r>
      <w:r>
        <w:rPr/>
        <w:t>penyusunan</w:t>
      </w:r>
      <w:r>
        <w:rPr>
          <w:spacing w:val="-15"/>
        </w:rPr>
        <w:t> </w:t>
      </w:r>
      <w:r>
        <w:rPr/>
        <w:t>skripsi</w:t>
      </w:r>
      <w:r>
        <w:rPr>
          <w:spacing w:val="-15"/>
        </w:rPr>
        <w:t> </w:t>
      </w:r>
      <w:r>
        <w:rPr/>
        <w:t>ini,</w:t>
      </w:r>
      <w:r>
        <w:rPr>
          <w:spacing w:val="-15"/>
        </w:rPr>
        <w:t> </w:t>
      </w:r>
      <w:r>
        <w:rPr/>
        <w:t>penulis</w:t>
      </w:r>
      <w:r>
        <w:rPr>
          <w:spacing w:val="-15"/>
        </w:rPr>
        <w:t> </w:t>
      </w:r>
      <w:r>
        <w:rPr/>
        <w:t>mendapatkan bantuan</w:t>
      </w:r>
      <w:r>
        <w:rPr>
          <w:spacing w:val="-6"/>
        </w:rPr>
        <w:t> </w:t>
      </w:r>
      <w:r>
        <w:rPr/>
        <w:t>dan</w:t>
      </w:r>
      <w:r>
        <w:rPr>
          <w:spacing w:val="-6"/>
        </w:rPr>
        <w:t> </w:t>
      </w:r>
      <w:r>
        <w:rPr/>
        <w:t>dukungan</w:t>
      </w:r>
      <w:r>
        <w:rPr>
          <w:spacing w:val="-6"/>
        </w:rPr>
        <w:t> </w:t>
      </w:r>
      <w:r>
        <w:rPr/>
        <w:t>dari</w:t>
      </w:r>
      <w:r>
        <w:rPr>
          <w:spacing w:val="-6"/>
        </w:rPr>
        <w:t> </w:t>
      </w:r>
      <w:r>
        <w:rPr/>
        <w:t>berbagai</w:t>
      </w:r>
      <w:r>
        <w:rPr>
          <w:spacing w:val="-5"/>
        </w:rPr>
        <w:t> </w:t>
      </w:r>
      <w:r>
        <w:rPr/>
        <w:t>pihak.</w:t>
      </w:r>
      <w:r>
        <w:rPr>
          <w:spacing w:val="-6"/>
        </w:rPr>
        <w:t> </w:t>
      </w:r>
      <w:r>
        <w:rPr/>
        <w:t>Oleh</w:t>
      </w:r>
      <w:r>
        <w:rPr>
          <w:spacing w:val="-6"/>
        </w:rPr>
        <w:t> </w:t>
      </w:r>
      <w:r>
        <w:rPr/>
        <w:t>karena</w:t>
      </w:r>
      <w:r>
        <w:rPr>
          <w:spacing w:val="-7"/>
        </w:rPr>
        <w:t> </w:t>
      </w:r>
      <w:r>
        <w:rPr/>
        <w:t>itu,</w:t>
      </w:r>
      <w:r>
        <w:rPr>
          <w:spacing w:val="-6"/>
        </w:rPr>
        <w:t> </w:t>
      </w:r>
      <w:r>
        <w:rPr/>
        <w:t>pada</w:t>
      </w:r>
      <w:r>
        <w:rPr>
          <w:spacing w:val="-7"/>
        </w:rPr>
        <w:t> </w:t>
      </w:r>
      <w:r>
        <w:rPr/>
        <w:t>kesempatan</w:t>
      </w:r>
      <w:r>
        <w:rPr>
          <w:spacing w:val="-6"/>
        </w:rPr>
        <w:t> </w:t>
      </w:r>
      <w:r>
        <w:rPr/>
        <w:t>ini</w:t>
      </w:r>
      <w:r>
        <w:rPr>
          <w:spacing w:val="-5"/>
        </w:rPr>
        <w:t> </w:t>
      </w:r>
      <w:r>
        <w:rPr/>
        <w:t>penulis</w:t>
      </w:r>
      <w:r>
        <w:rPr>
          <w:spacing w:val="-8"/>
        </w:rPr>
        <w:t> </w:t>
      </w:r>
      <w:r>
        <w:rPr/>
        <w:t>ingin mengucapkan terima kasih kepada:</w:t>
      </w:r>
    </w:p>
    <w:p>
      <w:pPr>
        <w:pStyle w:val="ListParagraph"/>
        <w:numPr>
          <w:ilvl w:val="0"/>
          <w:numId w:val="2"/>
        </w:numPr>
        <w:tabs>
          <w:tab w:pos="742" w:val="left" w:leader="none"/>
        </w:tabs>
        <w:spacing w:line="240" w:lineRule="auto" w:before="162" w:after="0"/>
        <w:ind w:left="742" w:right="0" w:hanging="359"/>
        <w:jc w:val="both"/>
        <w:rPr>
          <w:sz w:val="24"/>
        </w:rPr>
      </w:pPr>
      <w:r>
        <w:rPr>
          <w:sz w:val="24"/>
        </w:rPr>
        <w:t>Bapak</w:t>
      </w:r>
      <w:r>
        <w:rPr>
          <w:spacing w:val="-3"/>
          <w:sz w:val="24"/>
        </w:rPr>
        <w:t> </w:t>
      </w:r>
      <w:r>
        <w:rPr>
          <w:sz w:val="24"/>
        </w:rPr>
        <w:t>Prof.</w:t>
      </w:r>
      <w:r>
        <w:rPr>
          <w:spacing w:val="-1"/>
          <w:sz w:val="24"/>
        </w:rPr>
        <w:t> </w:t>
      </w:r>
      <w:r>
        <w:rPr>
          <w:sz w:val="24"/>
        </w:rPr>
        <w:t>Dr.</w:t>
      </w:r>
      <w:r>
        <w:rPr>
          <w:spacing w:val="-1"/>
          <w:sz w:val="24"/>
        </w:rPr>
        <w:t> </w:t>
      </w:r>
      <w:r>
        <w:rPr>
          <w:sz w:val="24"/>
        </w:rPr>
        <w:t>H. Nizar,</w:t>
      </w:r>
      <w:r>
        <w:rPr>
          <w:spacing w:val="-1"/>
          <w:sz w:val="24"/>
        </w:rPr>
        <w:t> </w:t>
      </w:r>
      <w:r>
        <w:rPr>
          <w:sz w:val="24"/>
        </w:rPr>
        <w:t>M.Ag selaku</w:t>
      </w:r>
      <w:r>
        <w:rPr>
          <w:spacing w:val="-1"/>
          <w:sz w:val="24"/>
        </w:rPr>
        <w:t> </w:t>
      </w:r>
      <w:r>
        <w:rPr>
          <w:sz w:val="24"/>
        </w:rPr>
        <w:t>Rektor</w:t>
      </w:r>
      <w:r>
        <w:rPr>
          <w:spacing w:val="-2"/>
          <w:sz w:val="24"/>
        </w:rPr>
        <w:t> </w:t>
      </w:r>
      <w:r>
        <w:rPr>
          <w:sz w:val="24"/>
        </w:rPr>
        <w:t>UIN</w:t>
      </w:r>
      <w:r>
        <w:rPr>
          <w:spacing w:val="-3"/>
          <w:sz w:val="24"/>
        </w:rPr>
        <w:t> </w:t>
      </w:r>
      <w:r>
        <w:rPr>
          <w:sz w:val="24"/>
        </w:rPr>
        <w:t>Walisongo </w:t>
      </w:r>
      <w:r>
        <w:rPr>
          <w:spacing w:val="-2"/>
          <w:sz w:val="24"/>
        </w:rPr>
        <w:t>Semarang.</w:t>
      </w:r>
    </w:p>
    <w:p>
      <w:pPr>
        <w:pStyle w:val="ListParagraph"/>
        <w:numPr>
          <w:ilvl w:val="0"/>
          <w:numId w:val="2"/>
        </w:numPr>
        <w:tabs>
          <w:tab w:pos="743" w:val="left" w:leader="none"/>
        </w:tabs>
        <w:spacing w:line="360" w:lineRule="auto" w:before="137" w:after="0"/>
        <w:ind w:left="743" w:right="166" w:hanging="360"/>
        <w:jc w:val="both"/>
        <w:rPr>
          <w:sz w:val="24"/>
        </w:rPr>
      </w:pPr>
      <w:r>
        <w:rPr>
          <w:sz w:val="24"/>
        </w:rPr>
        <w:t>Bapak</w:t>
      </w:r>
      <w:r>
        <w:rPr>
          <w:spacing w:val="-11"/>
          <w:sz w:val="24"/>
        </w:rPr>
        <w:t> </w:t>
      </w:r>
      <w:r>
        <w:rPr>
          <w:sz w:val="24"/>
        </w:rPr>
        <w:t>Dr.</w:t>
      </w:r>
      <w:r>
        <w:rPr>
          <w:spacing w:val="-8"/>
          <w:sz w:val="24"/>
        </w:rPr>
        <w:t> </w:t>
      </w:r>
      <w:r>
        <w:rPr>
          <w:sz w:val="24"/>
        </w:rPr>
        <w:t>H.</w:t>
      </w:r>
      <w:r>
        <w:rPr>
          <w:spacing w:val="-11"/>
          <w:sz w:val="24"/>
        </w:rPr>
        <w:t> </w:t>
      </w:r>
      <w:r>
        <w:rPr>
          <w:sz w:val="24"/>
        </w:rPr>
        <w:t>Nur</w:t>
      </w:r>
      <w:r>
        <w:rPr>
          <w:spacing w:val="-10"/>
          <w:sz w:val="24"/>
        </w:rPr>
        <w:t> </w:t>
      </w:r>
      <w:r>
        <w:rPr>
          <w:sz w:val="24"/>
        </w:rPr>
        <w:t>Fatoni,</w:t>
      </w:r>
      <w:r>
        <w:rPr>
          <w:spacing w:val="-11"/>
          <w:sz w:val="24"/>
        </w:rPr>
        <w:t> </w:t>
      </w:r>
      <w:r>
        <w:rPr>
          <w:sz w:val="24"/>
        </w:rPr>
        <w:t>M.Ag</w:t>
      </w:r>
      <w:r>
        <w:rPr>
          <w:spacing w:val="-11"/>
          <w:sz w:val="24"/>
        </w:rPr>
        <w:t> </w:t>
      </w:r>
      <w:r>
        <w:rPr>
          <w:sz w:val="24"/>
        </w:rPr>
        <w:t>selaku</w:t>
      </w:r>
      <w:r>
        <w:rPr>
          <w:spacing w:val="-9"/>
          <w:sz w:val="24"/>
        </w:rPr>
        <w:t> </w:t>
      </w:r>
      <w:r>
        <w:rPr>
          <w:sz w:val="24"/>
        </w:rPr>
        <w:t>Dekan</w:t>
      </w:r>
      <w:r>
        <w:rPr>
          <w:spacing w:val="-9"/>
          <w:sz w:val="24"/>
        </w:rPr>
        <w:t> </w:t>
      </w:r>
      <w:r>
        <w:rPr>
          <w:sz w:val="24"/>
        </w:rPr>
        <w:t>Fakultas</w:t>
      </w:r>
      <w:r>
        <w:rPr>
          <w:spacing w:val="-10"/>
          <w:sz w:val="24"/>
        </w:rPr>
        <w:t> </w:t>
      </w:r>
      <w:r>
        <w:rPr>
          <w:sz w:val="24"/>
        </w:rPr>
        <w:t>Ekonomi</w:t>
      </w:r>
      <w:r>
        <w:rPr>
          <w:spacing w:val="-10"/>
          <w:sz w:val="24"/>
        </w:rPr>
        <w:t> </w:t>
      </w:r>
      <w:r>
        <w:rPr>
          <w:sz w:val="24"/>
        </w:rPr>
        <w:t>dan</w:t>
      </w:r>
      <w:r>
        <w:rPr>
          <w:spacing w:val="-11"/>
          <w:sz w:val="24"/>
        </w:rPr>
        <w:t> </w:t>
      </w:r>
      <w:r>
        <w:rPr>
          <w:sz w:val="24"/>
        </w:rPr>
        <w:t>Bisnis</w:t>
      </w:r>
      <w:r>
        <w:rPr>
          <w:spacing w:val="-8"/>
          <w:sz w:val="24"/>
        </w:rPr>
        <w:t> </w:t>
      </w:r>
      <w:r>
        <w:rPr>
          <w:sz w:val="24"/>
        </w:rPr>
        <w:t>Islam</w:t>
      </w:r>
      <w:r>
        <w:rPr>
          <w:spacing w:val="-10"/>
          <w:sz w:val="24"/>
        </w:rPr>
        <w:t> </w:t>
      </w:r>
      <w:r>
        <w:rPr>
          <w:sz w:val="24"/>
        </w:rPr>
        <w:t>UIN Walisongo Semarang.</w:t>
      </w:r>
    </w:p>
    <w:p>
      <w:pPr>
        <w:pStyle w:val="ListParagraph"/>
        <w:numPr>
          <w:ilvl w:val="0"/>
          <w:numId w:val="2"/>
        </w:numPr>
        <w:tabs>
          <w:tab w:pos="743" w:val="left" w:leader="none"/>
        </w:tabs>
        <w:spacing w:line="360" w:lineRule="auto" w:before="0" w:after="0"/>
        <w:ind w:left="743" w:right="159" w:hanging="360"/>
        <w:jc w:val="both"/>
        <w:rPr>
          <w:sz w:val="24"/>
        </w:rPr>
      </w:pPr>
      <w:r>
        <w:rPr>
          <w:sz w:val="24"/>
        </w:rPr>
        <w:t>Bapak Ferry Khusnul Mubarok, M.A selaku Kepala Jurusan Ekonomi Islam, Fakultas Ekonomi dan Bisnis Islam, UIN Walisongo Semarang.</w:t>
      </w:r>
    </w:p>
    <w:p>
      <w:pPr>
        <w:pStyle w:val="ListParagraph"/>
        <w:numPr>
          <w:ilvl w:val="0"/>
          <w:numId w:val="2"/>
        </w:numPr>
        <w:tabs>
          <w:tab w:pos="743" w:val="left" w:leader="none"/>
        </w:tabs>
        <w:spacing w:line="360" w:lineRule="auto" w:before="0" w:after="0"/>
        <w:ind w:left="743" w:right="161" w:hanging="360"/>
        <w:jc w:val="both"/>
        <w:rPr>
          <w:sz w:val="24"/>
        </w:rPr>
      </w:pPr>
      <w:r>
        <w:rPr>
          <w:sz w:val="24"/>
        </w:rPr>
        <w:t>Ibu</w:t>
      </w:r>
      <w:r>
        <w:rPr>
          <w:spacing w:val="-12"/>
          <w:sz w:val="24"/>
        </w:rPr>
        <w:t> </w:t>
      </w:r>
      <w:r>
        <w:rPr>
          <w:sz w:val="24"/>
        </w:rPr>
        <w:t>Fita</w:t>
      </w:r>
      <w:r>
        <w:rPr>
          <w:spacing w:val="-13"/>
          <w:sz w:val="24"/>
        </w:rPr>
        <w:t> </w:t>
      </w:r>
      <w:r>
        <w:rPr>
          <w:sz w:val="24"/>
        </w:rPr>
        <w:t>Nurotul</w:t>
      </w:r>
      <w:r>
        <w:rPr>
          <w:spacing w:val="-13"/>
          <w:sz w:val="24"/>
        </w:rPr>
        <w:t> </w:t>
      </w:r>
      <w:r>
        <w:rPr>
          <w:sz w:val="24"/>
        </w:rPr>
        <w:t>Faizah,</w:t>
      </w:r>
      <w:r>
        <w:rPr>
          <w:spacing w:val="-8"/>
          <w:sz w:val="24"/>
        </w:rPr>
        <w:t> </w:t>
      </w:r>
      <w:r>
        <w:rPr>
          <w:sz w:val="24"/>
        </w:rPr>
        <w:t>M.E</w:t>
      </w:r>
      <w:r>
        <w:rPr>
          <w:spacing w:val="-14"/>
          <w:sz w:val="24"/>
        </w:rPr>
        <w:t> </w:t>
      </w:r>
      <w:r>
        <w:rPr>
          <w:sz w:val="24"/>
        </w:rPr>
        <w:t>selaku</w:t>
      </w:r>
      <w:r>
        <w:rPr>
          <w:spacing w:val="-15"/>
          <w:sz w:val="24"/>
        </w:rPr>
        <w:t> </w:t>
      </w:r>
      <w:r>
        <w:rPr>
          <w:sz w:val="24"/>
        </w:rPr>
        <w:t>Sekertaris</w:t>
      </w:r>
      <w:r>
        <w:rPr>
          <w:spacing w:val="-14"/>
          <w:sz w:val="24"/>
        </w:rPr>
        <w:t> </w:t>
      </w:r>
      <w:r>
        <w:rPr>
          <w:sz w:val="24"/>
        </w:rPr>
        <w:t>Jurusan</w:t>
      </w:r>
      <w:r>
        <w:rPr>
          <w:spacing w:val="-13"/>
          <w:sz w:val="24"/>
        </w:rPr>
        <w:t> </w:t>
      </w:r>
      <w:r>
        <w:rPr>
          <w:sz w:val="24"/>
        </w:rPr>
        <w:t>Ekonomi</w:t>
      </w:r>
      <w:r>
        <w:rPr>
          <w:spacing w:val="-11"/>
          <w:sz w:val="24"/>
        </w:rPr>
        <w:t> </w:t>
      </w:r>
      <w:r>
        <w:rPr>
          <w:sz w:val="24"/>
        </w:rPr>
        <w:t>Islam</w:t>
      </w:r>
      <w:r>
        <w:rPr>
          <w:spacing w:val="-13"/>
          <w:sz w:val="24"/>
        </w:rPr>
        <w:t> </w:t>
      </w:r>
      <w:r>
        <w:rPr>
          <w:sz w:val="24"/>
        </w:rPr>
        <w:t>UIN</w:t>
      </w:r>
      <w:r>
        <w:rPr>
          <w:spacing w:val="-13"/>
          <w:sz w:val="24"/>
        </w:rPr>
        <w:t> </w:t>
      </w:r>
      <w:r>
        <w:rPr>
          <w:sz w:val="24"/>
        </w:rPr>
        <w:t>Walisongo </w:t>
      </w:r>
      <w:r>
        <w:rPr>
          <w:spacing w:val="-2"/>
          <w:sz w:val="24"/>
        </w:rPr>
        <w:t>Semarang.</w:t>
      </w:r>
    </w:p>
    <w:p>
      <w:pPr>
        <w:pStyle w:val="ListParagraph"/>
        <w:numPr>
          <w:ilvl w:val="0"/>
          <w:numId w:val="2"/>
        </w:numPr>
        <w:tabs>
          <w:tab w:pos="743" w:val="left" w:leader="none"/>
        </w:tabs>
        <w:spacing w:line="360" w:lineRule="auto" w:before="0" w:after="0"/>
        <w:ind w:left="743" w:right="164" w:hanging="360"/>
        <w:jc w:val="both"/>
        <w:rPr>
          <w:sz w:val="24"/>
        </w:rPr>
      </w:pPr>
      <w:r>
        <w:rPr>
          <w:sz w:val="24"/>
        </w:rPr>
        <w:t>Ibu</w:t>
      </w:r>
      <w:r>
        <w:rPr>
          <w:spacing w:val="-15"/>
          <w:sz w:val="24"/>
        </w:rPr>
        <w:t> </w:t>
      </w:r>
      <w:r>
        <w:rPr>
          <w:sz w:val="24"/>
        </w:rPr>
        <w:t>Septiana</w:t>
      </w:r>
      <w:r>
        <w:rPr>
          <w:spacing w:val="-15"/>
          <w:sz w:val="24"/>
        </w:rPr>
        <w:t> </w:t>
      </w:r>
      <w:r>
        <w:rPr>
          <w:sz w:val="24"/>
        </w:rPr>
        <w:t>Na’afi,</w:t>
      </w:r>
      <w:r>
        <w:rPr>
          <w:spacing w:val="-15"/>
          <w:sz w:val="24"/>
        </w:rPr>
        <w:t> </w:t>
      </w:r>
      <w:r>
        <w:rPr>
          <w:sz w:val="24"/>
        </w:rPr>
        <w:t>M.S.I</w:t>
      </w:r>
      <w:r>
        <w:rPr>
          <w:spacing w:val="-15"/>
          <w:sz w:val="24"/>
        </w:rPr>
        <w:t> </w:t>
      </w:r>
      <w:r>
        <w:rPr>
          <w:sz w:val="24"/>
        </w:rPr>
        <w:t>selaku</w:t>
      </w:r>
      <w:r>
        <w:rPr>
          <w:spacing w:val="-15"/>
          <w:sz w:val="24"/>
        </w:rPr>
        <w:t> </w:t>
      </w:r>
      <w:r>
        <w:rPr>
          <w:sz w:val="24"/>
        </w:rPr>
        <w:t>Dosen</w:t>
      </w:r>
      <w:r>
        <w:rPr>
          <w:spacing w:val="-15"/>
          <w:sz w:val="24"/>
        </w:rPr>
        <w:t> </w:t>
      </w:r>
      <w:r>
        <w:rPr>
          <w:sz w:val="24"/>
        </w:rPr>
        <w:t>Pembimbing</w:t>
      </w:r>
      <w:r>
        <w:rPr>
          <w:spacing w:val="-15"/>
          <w:sz w:val="24"/>
        </w:rPr>
        <w:t> </w:t>
      </w:r>
      <w:r>
        <w:rPr>
          <w:sz w:val="24"/>
        </w:rPr>
        <w:t>I</w:t>
      </w:r>
      <w:r>
        <w:rPr>
          <w:spacing w:val="-15"/>
          <w:sz w:val="24"/>
        </w:rPr>
        <w:t> </w:t>
      </w:r>
      <w:r>
        <w:rPr>
          <w:sz w:val="24"/>
        </w:rPr>
        <w:t>yang</w:t>
      </w:r>
      <w:r>
        <w:rPr>
          <w:spacing w:val="-15"/>
          <w:sz w:val="24"/>
        </w:rPr>
        <w:t> </w:t>
      </w:r>
      <w:r>
        <w:rPr>
          <w:sz w:val="24"/>
        </w:rPr>
        <w:t>telah</w:t>
      </w:r>
      <w:r>
        <w:rPr>
          <w:spacing w:val="-15"/>
          <w:sz w:val="24"/>
        </w:rPr>
        <w:t> </w:t>
      </w:r>
      <w:r>
        <w:rPr>
          <w:sz w:val="24"/>
        </w:rPr>
        <w:t>bersedia</w:t>
      </w:r>
      <w:r>
        <w:rPr>
          <w:spacing w:val="-15"/>
          <w:sz w:val="24"/>
        </w:rPr>
        <w:t> </w:t>
      </w:r>
      <w:r>
        <w:rPr>
          <w:sz w:val="24"/>
        </w:rPr>
        <w:t>meluangkan waktunya untuk membimbing, mengarahkan, dan memberikan petunjuk dan saran dalam penyusunan skripsi ini.</w:t>
      </w:r>
    </w:p>
    <w:p>
      <w:pPr>
        <w:pStyle w:val="ListParagraph"/>
        <w:numPr>
          <w:ilvl w:val="0"/>
          <w:numId w:val="2"/>
        </w:numPr>
        <w:tabs>
          <w:tab w:pos="743" w:val="left" w:leader="none"/>
        </w:tabs>
        <w:spacing w:line="360" w:lineRule="auto" w:before="2" w:after="0"/>
        <w:ind w:left="743" w:right="165" w:hanging="360"/>
        <w:jc w:val="both"/>
        <w:rPr>
          <w:sz w:val="24"/>
        </w:rPr>
      </w:pPr>
      <w:r>
        <w:rPr>
          <w:sz w:val="24"/>
        </w:rPr>
        <w:t>Bapak Mashilal, M.Si selaku Dosen Pembimbing II yang telah sabar dan meluangkan waktunya membimbing serta mengarahkan penulis dalam penyusunan skripsi.</w:t>
      </w:r>
    </w:p>
    <w:p>
      <w:pPr>
        <w:pStyle w:val="ListParagraph"/>
        <w:numPr>
          <w:ilvl w:val="0"/>
          <w:numId w:val="2"/>
        </w:numPr>
        <w:tabs>
          <w:tab w:pos="743" w:val="left" w:leader="none"/>
        </w:tabs>
        <w:spacing w:line="360" w:lineRule="auto" w:before="0" w:after="0"/>
        <w:ind w:left="743" w:right="163" w:hanging="360"/>
        <w:jc w:val="both"/>
        <w:rPr>
          <w:sz w:val="24"/>
        </w:rPr>
      </w:pPr>
      <w:r>
        <w:rPr>
          <w:sz w:val="24"/>
        </w:rPr>
        <w:t>Bapak Rakhmat Dwi Pambudi, M.Si selaku Wali Dosen yang mendampingi dan membimbing penulis selama kuliah di UIN Walisongo Semarang.</w:t>
      </w:r>
    </w:p>
    <w:p>
      <w:pPr>
        <w:pStyle w:val="ListParagraph"/>
        <w:numPr>
          <w:ilvl w:val="0"/>
          <w:numId w:val="2"/>
        </w:numPr>
        <w:tabs>
          <w:tab w:pos="743" w:val="left" w:leader="none"/>
        </w:tabs>
        <w:spacing w:line="360" w:lineRule="auto" w:before="0" w:after="0"/>
        <w:ind w:left="743" w:right="160" w:hanging="360"/>
        <w:jc w:val="both"/>
        <w:rPr>
          <w:sz w:val="24"/>
        </w:rPr>
      </w:pPr>
      <w:r>
        <w:rPr>
          <w:sz w:val="24"/>
        </w:rPr>
        <w:t>Seluruh Dosen Fakultas Ekonomi dan Bisnis Islam UIN Walisongo Semarang yang telah mendidik dan mengajarkan penulis tentang berbagai ilmu dan pengetahuan baru yang membuat penulis dapat menyelesaikan studi ini.</w:t>
      </w:r>
    </w:p>
    <w:p>
      <w:pPr>
        <w:pStyle w:val="ListParagraph"/>
        <w:numPr>
          <w:ilvl w:val="0"/>
          <w:numId w:val="2"/>
        </w:numPr>
        <w:tabs>
          <w:tab w:pos="743" w:val="left" w:leader="none"/>
        </w:tabs>
        <w:spacing w:line="360" w:lineRule="auto" w:before="0" w:after="0"/>
        <w:ind w:left="743" w:right="169" w:hanging="360"/>
        <w:jc w:val="both"/>
        <w:rPr>
          <w:sz w:val="24"/>
        </w:rPr>
      </w:pPr>
      <w:r>
        <w:rPr>
          <w:sz w:val="24"/>
        </w:rPr>
        <w:t>Seluruh staf tenaga pendidik Fakultas Ekonomi dan Bisnis Islam UIN Walisongo Semarang, yang banyak membantu dalam proses administrasi penulisan skripsi.</w:t>
      </w:r>
    </w:p>
    <w:p>
      <w:pPr>
        <w:pStyle w:val="ListParagraph"/>
        <w:numPr>
          <w:ilvl w:val="0"/>
          <w:numId w:val="2"/>
        </w:numPr>
        <w:tabs>
          <w:tab w:pos="743" w:val="left" w:leader="none"/>
        </w:tabs>
        <w:spacing w:line="360" w:lineRule="auto" w:before="0" w:after="0"/>
        <w:ind w:left="743" w:right="165" w:hanging="360"/>
        <w:jc w:val="both"/>
        <w:rPr>
          <w:sz w:val="24"/>
        </w:rPr>
      </w:pPr>
      <w:r>
        <w:rPr>
          <w:sz w:val="24"/>
        </w:rPr>
        <w:t>Seluruh</w:t>
      </w:r>
      <w:r>
        <w:rPr>
          <w:spacing w:val="-13"/>
          <w:sz w:val="24"/>
        </w:rPr>
        <w:t> </w:t>
      </w:r>
      <w:r>
        <w:rPr>
          <w:sz w:val="24"/>
        </w:rPr>
        <w:t>pihak</w:t>
      </w:r>
      <w:r>
        <w:rPr>
          <w:spacing w:val="-14"/>
          <w:sz w:val="24"/>
        </w:rPr>
        <w:t> </w:t>
      </w:r>
      <w:r>
        <w:rPr>
          <w:sz w:val="24"/>
        </w:rPr>
        <w:t>yang</w:t>
      </w:r>
      <w:r>
        <w:rPr>
          <w:spacing w:val="-13"/>
          <w:sz w:val="24"/>
        </w:rPr>
        <w:t> </w:t>
      </w:r>
      <w:r>
        <w:rPr>
          <w:sz w:val="24"/>
        </w:rPr>
        <w:t>membantu</w:t>
      </w:r>
      <w:r>
        <w:rPr>
          <w:spacing w:val="-11"/>
          <w:sz w:val="24"/>
        </w:rPr>
        <w:t> </w:t>
      </w:r>
      <w:r>
        <w:rPr>
          <w:sz w:val="24"/>
        </w:rPr>
        <w:t>menyelesaikan</w:t>
      </w:r>
      <w:r>
        <w:rPr>
          <w:spacing w:val="-14"/>
          <w:sz w:val="24"/>
        </w:rPr>
        <w:t> </w:t>
      </w:r>
      <w:r>
        <w:rPr>
          <w:sz w:val="24"/>
        </w:rPr>
        <w:t>skripsi</w:t>
      </w:r>
      <w:r>
        <w:rPr>
          <w:spacing w:val="-13"/>
          <w:sz w:val="24"/>
        </w:rPr>
        <w:t> </w:t>
      </w:r>
      <w:r>
        <w:rPr>
          <w:sz w:val="24"/>
        </w:rPr>
        <w:t>ini,</w:t>
      </w:r>
      <w:r>
        <w:rPr>
          <w:spacing w:val="-13"/>
          <w:sz w:val="24"/>
        </w:rPr>
        <w:t> </w:t>
      </w:r>
      <w:r>
        <w:rPr>
          <w:sz w:val="24"/>
        </w:rPr>
        <w:t>baik</w:t>
      </w:r>
      <w:r>
        <w:rPr>
          <w:spacing w:val="-13"/>
          <w:sz w:val="24"/>
        </w:rPr>
        <w:t> </w:t>
      </w:r>
      <w:r>
        <w:rPr>
          <w:sz w:val="24"/>
        </w:rPr>
        <w:t>secara</w:t>
      </w:r>
      <w:r>
        <w:rPr>
          <w:spacing w:val="-14"/>
          <w:sz w:val="24"/>
        </w:rPr>
        <w:t> </w:t>
      </w:r>
      <w:r>
        <w:rPr>
          <w:sz w:val="24"/>
        </w:rPr>
        <w:t>langsung</w:t>
      </w:r>
      <w:r>
        <w:rPr>
          <w:spacing w:val="-13"/>
          <w:sz w:val="24"/>
        </w:rPr>
        <w:t> </w:t>
      </w:r>
      <w:r>
        <w:rPr>
          <w:sz w:val="24"/>
        </w:rPr>
        <w:t>maupun tidak langsung yang tidak dapat ditulis satu persatu.</w:t>
      </w:r>
    </w:p>
    <w:p>
      <w:pPr>
        <w:pStyle w:val="BodyText"/>
        <w:spacing w:line="360" w:lineRule="auto"/>
        <w:ind w:left="743" w:right="160" w:firstLine="720"/>
        <w:jc w:val="both"/>
      </w:pPr>
      <w:r>
        <w:rPr/>
        <w:t>Semoga</w:t>
      </w:r>
      <w:r>
        <w:rPr>
          <w:spacing w:val="-11"/>
        </w:rPr>
        <w:t> </w:t>
      </w:r>
      <w:r>
        <w:rPr/>
        <w:t>segala</w:t>
      </w:r>
      <w:r>
        <w:rPr>
          <w:spacing w:val="-9"/>
        </w:rPr>
        <w:t> </w:t>
      </w:r>
      <w:r>
        <w:rPr/>
        <w:t>kebaikan</w:t>
      </w:r>
      <w:r>
        <w:rPr>
          <w:spacing w:val="-9"/>
        </w:rPr>
        <w:t> </w:t>
      </w:r>
      <w:r>
        <w:rPr/>
        <w:t>dan</w:t>
      </w:r>
      <w:r>
        <w:rPr>
          <w:spacing w:val="-11"/>
        </w:rPr>
        <w:t> </w:t>
      </w:r>
      <w:r>
        <w:rPr/>
        <w:t>keikhlasan</w:t>
      </w:r>
      <w:r>
        <w:rPr>
          <w:spacing w:val="-9"/>
        </w:rPr>
        <w:t> </w:t>
      </w:r>
      <w:r>
        <w:rPr/>
        <w:t>yang</w:t>
      </w:r>
      <w:r>
        <w:rPr>
          <w:spacing w:val="-11"/>
        </w:rPr>
        <w:t> </w:t>
      </w:r>
      <w:r>
        <w:rPr/>
        <w:t>telah</w:t>
      </w:r>
      <w:r>
        <w:rPr>
          <w:spacing w:val="-11"/>
        </w:rPr>
        <w:t> </w:t>
      </w:r>
      <w:r>
        <w:rPr/>
        <w:t>diberikan</w:t>
      </w:r>
      <w:r>
        <w:rPr>
          <w:spacing w:val="-11"/>
        </w:rPr>
        <w:t> </w:t>
      </w:r>
      <w:r>
        <w:rPr/>
        <w:t>mendapat</w:t>
      </w:r>
      <w:r>
        <w:rPr>
          <w:spacing w:val="-10"/>
        </w:rPr>
        <w:t> </w:t>
      </w:r>
      <w:r>
        <w:rPr/>
        <w:t>balasan dan keberkahan dari Allah SWT. Penyusunan skripsi ini disusun dengan sebaik- </w:t>
      </w:r>
      <w:r>
        <w:rPr>
          <w:spacing w:val="-2"/>
        </w:rPr>
        <w:t>baiknya,</w:t>
      </w:r>
      <w:r>
        <w:rPr>
          <w:spacing w:val="-4"/>
        </w:rPr>
        <w:t> </w:t>
      </w:r>
      <w:r>
        <w:rPr>
          <w:spacing w:val="-2"/>
        </w:rPr>
        <w:t>namunpenulis</w:t>
      </w:r>
      <w:r>
        <w:rPr>
          <w:spacing w:val="1"/>
        </w:rPr>
        <w:t> </w:t>
      </w:r>
      <w:r>
        <w:rPr>
          <w:spacing w:val="-2"/>
        </w:rPr>
        <w:t>menyadari</w:t>
      </w:r>
      <w:r>
        <w:rPr>
          <w:spacing w:val="-1"/>
        </w:rPr>
        <w:t> </w:t>
      </w:r>
      <w:r>
        <w:rPr>
          <w:spacing w:val="-2"/>
        </w:rPr>
        <w:t>masih</w:t>
      </w:r>
      <w:r>
        <w:rPr/>
        <w:t> </w:t>
      </w:r>
      <w:r>
        <w:rPr>
          <w:spacing w:val="-2"/>
        </w:rPr>
        <w:t>banyak</w:t>
      </w:r>
      <w:r>
        <w:rPr>
          <w:spacing w:val="-1"/>
        </w:rPr>
        <w:t> </w:t>
      </w:r>
      <w:r>
        <w:rPr>
          <w:spacing w:val="-2"/>
        </w:rPr>
        <w:t>kekurangan</w:t>
      </w:r>
      <w:r>
        <w:rPr>
          <w:spacing w:val="2"/>
        </w:rPr>
        <w:t> </w:t>
      </w:r>
      <w:r>
        <w:rPr>
          <w:spacing w:val="-2"/>
        </w:rPr>
        <w:t>dalam</w:t>
      </w:r>
      <w:r>
        <w:rPr>
          <w:spacing w:val="-1"/>
        </w:rPr>
        <w:t> </w:t>
      </w:r>
      <w:r>
        <w:rPr>
          <w:spacing w:val="-2"/>
        </w:rPr>
        <w:t>penyusunan</w:t>
      </w:r>
      <w:r>
        <w:rPr>
          <w:spacing w:val="-1"/>
        </w:rPr>
        <w:t> </w:t>
      </w:r>
      <w:r>
        <w:rPr>
          <w:spacing w:val="-2"/>
        </w:rPr>
        <w:t>skripsi</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743" w:right="162"/>
        <w:jc w:val="both"/>
      </w:pPr>
      <w:r>
        <w:rPr/>
        <w:t>ini.</w:t>
      </w:r>
      <w:r>
        <w:rPr>
          <w:spacing w:val="-6"/>
        </w:rPr>
        <w:t> </w:t>
      </w:r>
      <w:r>
        <w:rPr/>
        <w:t>Oleh</w:t>
      </w:r>
      <w:r>
        <w:rPr>
          <w:spacing w:val="-6"/>
        </w:rPr>
        <w:t> </w:t>
      </w:r>
      <w:r>
        <w:rPr/>
        <w:t>karena</w:t>
      </w:r>
      <w:r>
        <w:rPr>
          <w:spacing w:val="-7"/>
        </w:rPr>
        <w:t> </w:t>
      </w:r>
      <w:r>
        <w:rPr/>
        <w:t>itu,</w:t>
      </w:r>
      <w:r>
        <w:rPr>
          <w:spacing w:val="-6"/>
        </w:rPr>
        <w:t> </w:t>
      </w:r>
      <w:r>
        <w:rPr/>
        <w:t>penulis</w:t>
      </w:r>
      <w:r>
        <w:rPr>
          <w:spacing w:val="-6"/>
        </w:rPr>
        <w:t> </w:t>
      </w:r>
      <w:r>
        <w:rPr/>
        <w:t>sangat</w:t>
      </w:r>
      <w:r>
        <w:rPr>
          <w:spacing w:val="-5"/>
        </w:rPr>
        <w:t> </w:t>
      </w:r>
      <w:r>
        <w:rPr/>
        <w:t>bersyukur</w:t>
      </w:r>
      <w:r>
        <w:rPr>
          <w:spacing w:val="-7"/>
        </w:rPr>
        <w:t> </w:t>
      </w:r>
      <w:r>
        <w:rPr/>
        <w:t>dan</w:t>
      </w:r>
      <w:r>
        <w:rPr>
          <w:spacing w:val="-3"/>
        </w:rPr>
        <w:t> </w:t>
      </w:r>
      <w:r>
        <w:rPr/>
        <w:t>berterimakasih</w:t>
      </w:r>
      <w:r>
        <w:rPr>
          <w:spacing w:val="-5"/>
        </w:rPr>
        <w:t> </w:t>
      </w:r>
      <w:r>
        <w:rPr/>
        <w:t>atas</w:t>
      </w:r>
      <w:r>
        <w:rPr>
          <w:spacing w:val="-6"/>
        </w:rPr>
        <w:t> </w:t>
      </w:r>
      <w:r>
        <w:rPr/>
        <w:t>segala</w:t>
      </w:r>
      <w:r>
        <w:rPr>
          <w:spacing w:val="-6"/>
        </w:rPr>
        <w:t> </w:t>
      </w:r>
      <w:r>
        <w:rPr/>
        <w:t>kritik</w:t>
      </w:r>
      <w:r>
        <w:rPr>
          <w:spacing w:val="-5"/>
        </w:rPr>
        <w:t> </w:t>
      </w:r>
      <w:r>
        <w:rPr/>
        <w:t>dan saran yang membangkitkan karena</w:t>
      </w:r>
      <w:r>
        <w:rPr>
          <w:spacing w:val="-1"/>
        </w:rPr>
        <w:t> </w:t>
      </w:r>
      <w:r>
        <w:rPr/>
        <w:t>hal itu menjadi penyempurna</w:t>
      </w:r>
      <w:r>
        <w:rPr>
          <w:spacing w:val="-1"/>
        </w:rPr>
        <w:t> </w:t>
      </w:r>
      <w:r>
        <w:rPr/>
        <w:t>dari skripsi ini, akhir kata, penulis berharap semoga skripsi ini dapat bermanfaat dalam dunia akademik maupun non akademik.</w:t>
      </w:r>
    </w:p>
    <w:p>
      <w:pPr>
        <w:pStyle w:val="BodyText"/>
        <w:spacing w:before="138"/>
      </w:pPr>
    </w:p>
    <w:p>
      <w:pPr>
        <w:pStyle w:val="BodyText"/>
        <w:spacing w:line="360" w:lineRule="auto"/>
        <w:ind w:left="7032" w:right="159" w:hanging="303"/>
      </w:pPr>
      <w:r>
        <w:rPr/>
        <w:t>Semarang,</w:t>
      </w:r>
      <w:r>
        <w:rPr>
          <w:spacing w:val="-12"/>
        </w:rPr>
        <w:t> </w:t>
      </w:r>
      <w:r>
        <w:rPr/>
        <w:t>16</w:t>
      </w:r>
      <w:r>
        <w:rPr>
          <w:spacing w:val="-12"/>
        </w:rPr>
        <w:t> </w:t>
      </w:r>
      <w:r>
        <w:rPr/>
        <w:t>Juni</w:t>
      </w:r>
      <w:r>
        <w:rPr>
          <w:spacing w:val="-12"/>
        </w:rPr>
        <w:t> </w:t>
      </w:r>
      <w:r>
        <w:rPr/>
        <w:t>2025 </w:t>
      </w:r>
      <w:r>
        <w:rPr>
          <w:spacing w:val="-2"/>
        </w:rPr>
        <w:t>Penulis,</w:t>
      </w:r>
    </w:p>
    <w:p>
      <w:pPr>
        <w:pStyle w:val="BodyText"/>
      </w:pPr>
    </w:p>
    <w:p>
      <w:pPr>
        <w:pStyle w:val="BodyText"/>
      </w:pPr>
    </w:p>
    <w:p>
      <w:pPr>
        <w:pStyle w:val="BodyText"/>
      </w:pPr>
    </w:p>
    <w:p>
      <w:pPr>
        <w:pStyle w:val="BodyText"/>
        <w:spacing w:before="140"/>
      </w:pPr>
    </w:p>
    <w:p>
      <w:pPr>
        <w:pStyle w:val="BodyText"/>
        <w:spacing w:line="360" w:lineRule="auto"/>
        <w:ind w:left="7325" w:right="162" w:hanging="87"/>
        <w:jc w:val="right"/>
      </w:pPr>
      <w:r>
        <w:rPr/>
        <w:t>Nur</w:t>
      </w:r>
      <w:r>
        <w:rPr>
          <w:spacing w:val="-15"/>
        </w:rPr>
        <w:t> </w:t>
      </w:r>
      <w:r>
        <w:rPr/>
        <w:t>Laily</w:t>
      </w:r>
      <w:r>
        <w:rPr>
          <w:spacing w:val="-15"/>
        </w:rPr>
        <w:t> </w:t>
      </w:r>
      <w:r>
        <w:rPr/>
        <w:t>Hidayah </w:t>
      </w:r>
      <w:r>
        <w:rPr>
          <w:spacing w:val="-2"/>
        </w:rPr>
        <w:t>NIM.2105026120</w:t>
      </w:r>
    </w:p>
    <w:p>
      <w:pPr>
        <w:pStyle w:val="BodyText"/>
        <w:spacing w:after="0" w:line="360" w:lineRule="auto"/>
        <w:jc w:val="right"/>
        <w:sectPr>
          <w:pgSz w:w="11910" w:h="16840"/>
          <w:pgMar w:header="0" w:footer="1000" w:top="1360" w:bottom="1200" w:left="1417" w:right="1275"/>
        </w:sectPr>
      </w:pPr>
    </w:p>
    <w:p>
      <w:pPr>
        <w:pStyle w:val="Heading1"/>
        <w:ind w:left="1583"/>
      </w:pPr>
      <w:bookmarkStart w:name="_bookmark9" w:id="10"/>
      <w:bookmarkEnd w:id="10"/>
      <w:r>
        <w:rPr>
          <w:b w:val="0"/>
        </w:rPr>
      </w:r>
      <w:r>
        <w:rPr/>
        <w:t>DAFTAR</w:t>
      </w:r>
      <w:r>
        <w:rPr>
          <w:spacing w:val="-6"/>
        </w:rPr>
        <w:t> </w:t>
      </w:r>
      <w:r>
        <w:rPr>
          <w:spacing w:val="-5"/>
        </w:rPr>
        <w:t>ISI</w:t>
      </w:r>
    </w:p>
    <w:p>
      <w:pPr>
        <w:pStyle w:val="Heading1"/>
        <w:spacing w:after="0"/>
        <w:sectPr>
          <w:pgSz w:w="11910" w:h="16840"/>
          <w:pgMar w:header="0" w:footer="1000" w:top="1360" w:bottom="1440" w:left="1417" w:right="1275"/>
        </w:sectPr>
      </w:pPr>
    </w:p>
    <w:sdt>
      <w:sdtPr>
        <w:docPartObj>
          <w:docPartGallery w:val="Table of Contents"/>
          <w:docPartUnique/>
        </w:docPartObj>
      </w:sdtPr>
      <w:sdtEndPr/>
      <w:sdtContent>
        <w:p>
          <w:pPr>
            <w:pStyle w:val="TOC2"/>
            <w:tabs>
              <w:tab w:pos="9041" w:val="right" w:leader="dot"/>
            </w:tabs>
            <w:spacing w:before="654"/>
          </w:pPr>
          <w:hyperlink w:history="true" w:anchor="_bookmark0">
            <w:r>
              <w:rPr/>
              <w:t>LEMBAR</w:t>
            </w:r>
            <w:r>
              <w:rPr>
                <w:spacing w:val="-5"/>
              </w:rPr>
              <w:t> </w:t>
            </w:r>
            <w:r>
              <w:rPr/>
              <w:t>PERSETUJUAN</w:t>
            </w:r>
            <w:r>
              <w:rPr>
                <w:spacing w:val="-5"/>
              </w:rPr>
              <w:t> </w:t>
            </w:r>
            <w:r>
              <w:rPr>
                <w:spacing w:val="-2"/>
              </w:rPr>
              <w:t>PEMBIMBING</w:t>
            </w:r>
            <w:r>
              <w:rPr/>
              <w:tab/>
            </w:r>
            <w:r>
              <w:rPr>
                <w:spacing w:val="-10"/>
              </w:rPr>
              <w:t>i</w:t>
            </w:r>
          </w:hyperlink>
        </w:p>
        <w:p>
          <w:pPr>
            <w:pStyle w:val="TOC2"/>
            <w:tabs>
              <w:tab w:pos="9041" w:val="right" w:leader="dot"/>
            </w:tabs>
          </w:pPr>
          <w:hyperlink w:history="true" w:anchor="_bookmark1">
            <w:r>
              <w:rPr/>
              <w:t>LEMBAR </w:t>
            </w:r>
            <w:r>
              <w:rPr>
                <w:spacing w:val="-2"/>
              </w:rPr>
              <w:t>PENGESAHAN</w:t>
            </w:r>
            <w:r>
              <w:rPr/>
              <w:tab/>
            </w:r>
            <w:r>
              <w:rPr>
                <w:spacing w:val="-5"/>
              </w:rPr>
              <w:t>ii</w:t>
            </w:r>
          </w:hyperlink>
        </w:p>
        <w:p>
          <w:pPr>
            <w:pStyle w:val="TOC2"/>
            <w:tabs>
              <w:tab w:pos="9044" w:val="right" w:leader="dot"/>
            </w:tabs>
            <w:spacing w:before="123"/>
          </w:pPr>
          <w:hyperlink w:history="true" w:anchor="_bookmark2">
            <w:r>
              <w:rPr>
                <w:spacing w:val="-2"/>
              </w:rPr>
              <w:t>MOTTO</w:t>
            </w:r>
            <w:r>
              <w:rPr/>
              <w:tab/>
            </w:r>
            <w:r>
              <w:rPr>
                <w:spacing w:val="-5"/>
              </w:rPr>
              <w:t>iii</w:t>
            </w:r>
          </w:hyperlink>
        </w:p>
        <w:p>
          <w:pPr>
            <w:pStyle w:val="TOC2"/>
            <w:tabs>
              <w:tab w:pos="9042" w:val="right" w:leader="dot"/>
            </w:tabs>
          </w:pPr>
          <w:hyperlink w:history="true" w:anchor="_bookmark3">
            <w:r>
              <w:rPr>
                <w:spacing w:val="-2"/>
              </w:rPr>
              <w:t>PERSEMBAHAN</w:t>
            </w:r>
            <w:r>
              <w:rPr/>
              <w:tab/>
            </w:r>
            <w:r>
              <w:rPr>
                <w:spacing w:val="-5"/>
              </w:rPr>
              <w:t>iv</w:t>
            </w:r>
          </w:hyperlink>
        </w:p>
        <w:p>
          <w:pPr>
            <w:pStyle w:val="TOC2"/>
            <w:tabs>
              <w:tab w:pos="9041" w:val="right" w:leader="dot"/>
            </w:tabs>
          </w:pPr>
          <w:hyperlink w:history="true" w:anchor="_bookmark4">
            <w:r>
              <w:rPr>
                <w:spacing w:val="-2"/>
              </w:rPr>
              <w:t>DEKLARASI</w:t>
            </w:r>
            <w:r>
              <w:rPr/>
              <w:tab/>
            </w:r>
            <w:r>
              <w:rPr>
                <w:spacing w:val="-10"/>
              </w:rPr>
              <w:t>v</w:t>
            </w:r>
          </w:hyperlink>
        </w:p>
        <w:p>
          <w:pPr>
            <w:pStyle w:val="TOC2"/>
            <w:tabs>
              <w:tab w:pos="9041" w:val="right" w:leader="dot"/>
            </w:tabs>
            <w:spacing w:before="120"/>
          </w:pPr>
          <w:hyperlink w:history="true" w:anchor="_bookmark5">
            <w:r>
              <w:rPr/>
              <w:t>PEDOMAN</w:t>
            </w:r>
            <w:r>
              <w:rPr>
                <w:spacing w:val="-8"/>
              </w:rPr>
              <w:t> </w:t>
            </w:r>
            <w:r>
              <w:rPr/>
              <w:t>TRANSLITERASI</w:t>
            </w:r>
            <w:r>
              <w:rPr>
                <w:spacing w:val="-8"/>
              </w:rPr>
              <w:t> </w:t>
            </w:r>
            <w:r>
              <w:rPr/>
              <w:t>ARAB-</w:t>
            </w:r>
            <w:r>
              <w:rPr>
                <w:spacing w:val="-4"/>
              </w:rPr>
              <w:t>LATIN</w:t>
            </w:r>
            <w:r>
              <w:rPr/>
              <w:tab/>
            </w:r>
            <w:r>
              <w:rPr>
                <w:spacing w:val="-5"/>
              </w:rPr>
              <w:t>vi</w:t>
            </w:r>
          </w:hyperlink>
        </w:p>
        <w:p>
          <w:pPr>
            <w:pStyle w:val="TOC2"/>
            <w:tabs>
              <w:tab w:pos="9042" w:val="right" w:leader="dot"/>
            </w:tabs>
            <w:spacing w:before="123"/>
          </w:pPr>
          <w:hyperlink w:history="true" w:anchor="_bookmark6">
            <w:r>
              <w:rPr>
                <w:spacing w:val="-2"/>
              </w:rPr>
              <w:t>Abstrak</w:t>
            </w:r>
            <w:r>
              <w:rPr/>
              <w:tab/>
            </w:r>
            <w:r>
              <w:rPr>
                <w:spacing w:val="-5"/>
              </w:rPr>
              <w:t>ix</w:t>
            </w:r>
          </w:hyperlink>
        </w:p>
        <w:p>
          <w:pPr>
            <w:pStyle w:val="TOC3"/>
            <w:tabs>
              <w:tab w:pos="9042" w:val="right" w:leader="dot"/>
            </w:tabs>
          </w:pPr>
          <w:hyperlink w:history="true" w:anchor="_bookmark7">
            <w:r>
              <w:rPr>
                <w:spacing w:val="-2"/>
              </w:rPr>
              <w:t>Abstract</w:t>
            </w:r>
            <w:r>
              <w:rPr/>
              <w:tab/>
            </w:r>
            <w:r>
              <w:rPr>
                <w:spacing w:val="-10"/>
              </w:rPr>
              <w:t>x</w:t>
            </w:r>
          </w:hyperlink>
        </w:p>
        <w:p>
          <w:pPr>
            <w:pStyle w:val="TOC2"/>
            <w:tabs>
              <w:tab w:pos="9041" w:val="right" w:leader="dot"/>
            </w:tabs>
          </w:pPr>
          <w:hyperlink w:history="true" w:anchor="_bookmark8">
            <w:r>
              <w:rPr/>
              <w:t>KATA</w:t>
            </w:r>
            <w:r>
              <w:rPr>
                <w:spacing w:val="-4"/>
              </w:rPr>
              <w:t> </w:t>
            </w:r>
            <w:r>
              <w:rPr>
                <w:spacing w:val="-2"/>
              </w:rPr>
              <w:t>PENGANTAR</w:t>
            </w:r>
            <w:r>
              <w:rPr/>
              <w:tab/>
            </w:r>
            <w:r>
              <w:rPr>
                <w:spacing w:val="-5"/>
              </w:rPr>
              <w:t>xi</w:t>
            </w:r>
          </w:hyperlink>
        </w:p>
        <w:p>
          <w:pPr>
            <w:pStyle w:val="TOC2"/>
            <w:tabs>
              <w:tab w:pos="9043" w:val="right" w:leader="dot"/>
            </w:tabs>
            <w:spacing w:before="120"/>
          </w:pPr>
          <w:hyperlink w:history="true" w:anchor="_bookmark9">
            <w:r>
              <w:rPr/>
              <w:t>DAFTAR</w:t>
            </w:r>
            <w:r>
              <w:rPr>
                <w:spacing w:val="-4"/>
              </w:rPr>
              <w:t> </w:t>
            </w:r>
            <w:r>
              <w:rPr>
                <w:spacing w:val="-5"/>
              </w:rPr>
              <w:t>ISI</w:t>
            </w:r>
            <w:r>
              <w:rPr/>
              <w:tab/>
            </w:r>
            <w:r>
              <w:rPr>
                <w:spacing w:val="-4"/>
              </w:rPr>
              <w:t>xiii</w:t>
            </w:r>
          </w:hyperlink>
        </w:p>
        <w:p>
          <w:pPr>
            <w:pStyle w:val="TOC1"/>
            <w:tabs>
              <w:tab w:pos="9041" w:val="right" w:leader="dot"/>
            </w:tabs>
            <w:spacing w:before="123"/>
          </w:pPr>
          <w:hyperlink w:history="true" w:anchor="_bookmark10">
            <w:r>
              <w:rPr/>
              <w:t>BAB </w:t>
            </w:r>
            <w:r>
              <w:rPr>
                <w:spacing w:val="-10"/>
              </w:rPr>
              <w:t>I</w:t>
            </w:r>
            <w:r>
              <w:rPr/>
              <w:tab/>
            </w:r>
            <w:r>
              <w:rPr>
                <w:spacing w:val="-10"/>
              </w:rPr>
              <w:t>1</w:t>
            </w:r>
          </w:hyperlink>
        </w:p>
        <w:p>
          <w:pPr>
            <w:pStyle w:val="TOC1"/>
            <w:tabs>
              <w:tab w:pos="9041" w:val="right" w:leader="dot"/>
            </w:tabs>
          </w:pPr>
          <w:hyperlink w:history="true" w:anchor="_bookmark11">
            <w:r>
              <w:rPr>
                <w:spacing w:val="-2"/>
              </w:rPr>
              <w:t>PENDAHULUAN</w:t>
            </w:r>
            <w:r>
              <w:rPr/>
              <w:tab/>
            </w:r>
            <w:r>
              <w:rPr>
                <w:spacing w:val="-10"/>
              </w:rPr>
              <w:t>1</w:t>
            </w:r>
          </w:hyperlink>
        </w:p>
        <w:p>
          <w:pPr>
            <w:pStyle w:val="TOC4"/>
            <w:numPr>
              <w:ilvl w:val="1"/>
              <w:numId w:val="3"/>
            </w:numPr>
            <w:tabs>
              <w:tab w:pos="983" w:val="left" w:leader="none"/>
              <w:tab w:pos="9041" w:val="right" w:leader="dot"/>
            </w:tabs>
            <w:spacing w:line="240" w:lineRule="auto" w:before="123" w:after="0"/>
            <w:ind w:left="983" w:right="0" w:hanging="739"/>
            <w:jc w:val="left"/>
          </w:pPr>
          <w:hyperlink w:history="true" w:anchor="_bookmark12">
            <w:r>
              <w:rPr/>
              <w:t>Latar</w:t>
            </w:r>
            <w:r>
              <w:rPr>
                <w:spacing w:val="-4"/>
              </w:rPr>
              <w:t> </w:t>
            </w:r>
            <w:r>
              <w:rPr/>
              <w:t>Belakang</w:t>
            </w:r>
            <w:r>
              <w:rPr>
                <w:spacing w:val="-1"/>
              </w:rPr>
              <w:t> </w:t>
            </w:r>
            <w:r>
              <w:rPr>
                <w:spacing w:val="-2"/>
              </w:rPr>
              <w:t>Masalah</w:t>
            </w:r>
            <w:r>
              <w:rPr/>
              <w:tab/>
            </w:r>
            <w:r>
              <w:rPr>
                <w:spacing w:val="-10"/>
              </w:rPr>
              <w:t>1</w:t>
            </w:r>
          </w:hyperlink>
        </w:p>
        <w:p>
          <w:pPr>
            <w:pStyle w:val="TOC4"/>
            <w:numPr>
              <w:ilvl w:val="1"/>
              <w:numId w:val="3"/>
            </w:numPr>
            <w:tabs>
              <w:tab w:pos="983" w:val="left" w:leader="none"/>
              <w:tab w:pos="9041" w:val="right" w:leader="dot"/>
            </w:tabs>
            <w:spacing w:line="240" w:lineRule="auto" w:before="120" w:after="0"/>
            <w:ind w:left="983" w:right="0" w:hanging="739"/>
            <w:jc w:val="left"/>
          </w:pPr>
          <w:hyperlink w:history="true" w:anchor="_bookmark38">
            <w:r>
              <w:rPr/>
              <w:t>Rumusan</w:t>
            </w:r>
            <w:r>
              <w:rPr>
                <w:spacing w:val="-4"/>
              </w:rPr>
              <w:t> </w:t>
            </w:r>
            <w:r>
              <w:rPr>
                <w:spacing w:val="-2"/>
              </w:rPr>
              <w:t>Masalah</w:t>
            </w:r>
            <w:r>
              <w:rPr/>
              <w:tab/>
            </w:r>
            <w:r>
              <w:rPr>
                <w:spacing w:val="-10"/>
              </w:rPr>
              <w:t>9</w:t>
            </w:r>
          </w:hyperlink>
        </w:p>
        <w:p>
          <w:pPr>
            <w:pStyle w:val="TOC4"/>
            <w:numPr>
              <w:ilvl w:val="1"/>
              <w:numId w:val="3"/>
            </w:numPr>
            <w:tabs>
              <w:tab w:pos="983" w:val="left" w:leader="none"/>
              <w:tab w:pos="9041" w:val="right" w:leader="dot"/>
            </w:tabs>
            <w:spacing w:line="240" w:lineRule="auto" w:before="122" w:after="0"/>
            <w:ind w:left="983" w:right="0" w:hanging="739"/>
            <w:jc w:val="left"/>
          </w:pPr>
          <w:hyperlink w:history="true" w:anchor="_bookmark41">
            <w:r>
              <w:rPr/>
              <w:t>Tujuan</w:t>
            </w:r>
            <w:r>
              <w:rPr>
                <w:spacing w:val="-2"/>
              </w:rPr>
              <w:t> </w:t>
            </w:r>
            <w:r>
              <w:rPr/>
              <w:t>Penelitian</w:t>
            </w:r>
            <w:r>
              <w:rPr>
                <w:spacing w:val="-2"/>
              </w:rPr>
              <w:t> </w:t>
            </w:r>
            <w:r>
              <w:rPr/>
              <w:t>dan</w:t>
            </w:r>
            <w:r>
              <w:rPr>
                <w:spacing w:val="-2"/>
              </w:rPr>
              <w:t> </w:t>
            </w:r>
            <w:r>
              <w:rPr/>
              <w:t>Manfaat</w:t>
            </w:r>
            <w:r>
              <w:rPr>
                <w:spacing w:val="-1"/>
              </w:rPr>
              <w:t> </w:t>
            </w:r>
            <w:r>
              <w:rPr>
                <w:spacing w:val="-2"/>
              </w:rPr>
              <w:t>Penelitian</w:t>
            </w:r>
            <w:r>
              <w:rPr/>
              <w:tab/>
            </w:r>
            <w:r>
              <w:rPr>
                <w:spacing w:val="-5"/>
              </w:rPr>
              <w:t>10</w:t>
            </w:r>
          </w:hyperlink>
        </w:p>
        <w:p>
          <w:pPr>
            <w:pStyle w:val="TOC5"/>
            <w:numPr>
              <w:ilvl w:val="2"/>
              <w:numId w:val="3"/>
            </w:numPr>
            <w:tabs>
              <w:tab w:pos="1463" w:val="left" w:leader="none"/>
              <w:tab w:pos="9041" w:val="right" w:leader="dot"/>
            </w:tabs>
            <w:spacing w:line="240" w:lineRule="auto" w:before="122" w:after="0"/>
            <w:ind w:left="1463" w:right="0" w:hanging="1001"/>
            <w:jc w:val="left"/>
          </w:pPr>
          <w:hyperlink w:history="true" w:anchor="_bookmark42">
            <w:r>
              <w:rPr/>
              <w:t>Tujuan</w:t>
            </w:r>
            <w:r>
              <w:rPr>
                <w:spacing w:val="-1"/>
              </w:rPr>
              <w:t> </w:t>
            </w:r>
            <w:r>
              <w:rPr>
                <w:spacing w:val="-2"/>
              </w:rPr>
              <w:t>Penelitian</w:t>
            </w:r>
            <w:r>
              <w:rPr/>
              <w:tab/>
            </w:r>
            <w:r>
              <w:rPr>
                <w:spacing w:val="-5"/>
              </w:rPr>
              <w:t>10</w:t>
            </w:r>
          </w:hyperlink>
        </w:p>
        <w:p>
          <w:pPr>
            <w:pStyle w:val="TOC5"/>
            <w:numPr>
              <w:ilvl w:val="2"/>
              <w:numId w:val="3"/>
            </w:numPr>
            <w:tabs>
              <w:tab w:pos="1463" w:val="left" w:leader="none"/>
              <w:tab w:pos="9041" w:val="right" w:leader="dot"/>
            </w:tabs>
            <w:spacing w:line="240" w:lineRule="auto" w:before="123" w:after="0"/>
            <w:ind w:left="1463" w:right="0" w:hanging="1001"/>
            <w:jc w:val="left"/>
          </w:pPr>
          <w:hyperlink w:history="true" w:anchor="_bookmark43">
            <w:r>
              <w:rPr/>
              <w:t>Manfaat</w:t>
            </w:r>
            <w:r>
              <w:rPr>
                <w:spacing w:val="-4"/>
              </w:rPr>
              <w:t> </w:t>
            </w:r>
            <w:r>
              <w:rPr>
                <w:spacing w:val="-2"/>
              </w:rPr>
              <w:t>Penelitian</w:t>
            </w:r>
            <w:r>
              <w:rPr/>
              <w:tab/>
            </w:r>
            <w:r>
              <w:rPr>
                <w:spacing w:val="-5"/>
              </w:rPr>
              <w:t>10</w:t>
            </w:r>
          </w:hyperlink>
        </w:p>
        <w:p>
          <w:pPr>
            <w:pStyle w:val="TOC4"/>
            <w:numPr>
              <w:ilvl w:val="1"/>
              <w:numId w:val="3"/>
            </w:numPr>
            <w:tabs>
              <w:tab w:pos="983" w:val="left" w:leader="none"/>
              <w:tab w:pos="9041" w:val="right" w:leader="dot"/>
            </w:tabs>
            <w:spacing w:line="240" w:lineRule="auto" w:before="120" w:after="0"/>
            <w:ind w:left="983" w:right="0" w:hanging="739"/>
            <w:jc w:val="left"/>
          </w:pPr>
          <w:hyperlink w:history="true" w:anchor="_bookmark44">
            <w:r>
              <w:rPr/>
              <w:t>Sistematika </w:t>
            </w:r>
            <w:r>
              <w:rPr>
                <w:spacing w:val="-2"/>
              </w:rPr>
              <w:t>Penulisan</w:t>
            </w:r>
            <w:r>
              <w:rPr/>
              <w:tab/>
            </w:r>
            <w:r>
              <w:rPr>
                <w:spacing w:val="-5"/>
              </w:rPr>
              <w:t>11</w:t>
            </w:r>
          </w:hyperlink>
        </w:p>
        <w:p>
          <w:pPr>
            <w:pStyle w:val="TOC1"/>
            <w:tabs>
              <w:tab w:pos="9041" w:val="right" w:leader="dot"/>
            </w:tabs>
            <w:spacing w:before="123"/>
          </w:pPr>
          <w:hyperlink w:history="true" w:anchor="_bookmark45">
            <w:r>
              <w:rPr/>
              <w:t>BAB </w:t>
            </w:r>
            <w:r>
              <w:rPr>
                <w:spacing w:val="-5"/>
              </w:rPr>
              <w:t>II</w:t>
            </w:r>
            <w:r>
              <w:rPr/>
              <w:tab/>
            </w:r>
            <w:r>
              <w:rPr>
                <w:spacing w:val="-5"/>
              </w:rPr>
              <w:t>13</w:t>
            </w:r>
          </w:hyperlink>
        </w:p>
        <w:p>
          <w:pPr>
            <w:pStyle w:val="TOC1"/>
            <w:tabs>
              <w:tab w:pos="9041" w:val="right" w:leader="dot"/>
            </w:tabs>
          </w:pPr>
          <w:hyperlink w:history="true" w:anchor="_bookmark46">
            <w:r>
              <w:rPr/>
              <w:t>TINJAUAN</w:t>
            </w:r>
            <w:r>
              <w:rPr>
                <w:spacing w:val="-7"/>
              </w:rPr>
              <w:t> </w:t>
            </w:r>
            <w:r>
              <w:rPr>
                <w:spacing w:val="-2"/>
              </w:rPr>
              <w:t>PUSTAKA</w:t>
            </w:r>
            <w:r>
              <w:rPr/>
              <w:tab/>
            </w:r>
            <w:r>
              <w:rPr>
                <w:spacing w:val="-5"/>
              </w:rPr>
              <w:t>13</w:t>
            </w:r>
          </w:hyperlink>
        </w:p>
        <w:p>
          <w:pPr>
            <w:pStyle w:val="TOC4"/>
            <w:numPr>
              <w:ilvl w:val="1"/>
              <w:numId w:val="4"/>
            </w:numPr>
            <w:tabs>
              <w:tab w:pos="983" w:val="left" w:leader="none"/>
              <w:tab w:pos="9041" w:val="right" w:leader="dot"/>
            </w:tabs>
            <w:spacing w:line="240" w:lineRule="auto" w:before="123" w:after="0"/>
            <w:ind w:left="983" w:right="0" w:hanging="739"/>
            <w:jc w:val="left"/>
          </w:pPr>
          <w:hyperlink w:history="true" w:anchor="_bookmark47">
            <w:r>
              <w:rPr/>
              <w:t>Landasan</w:t>
            </w:r>
            <w:r>
              <w:rPr>
                <w:spacing w:val="-4"/>
              </w:rPr>
              <w:t> </w:t>
            </w:r>
            <w:r>
              <w:rPr>
                <w:spacing w:val="-2"/>
              </w:rPr>
              <w:t>Teori</w:t>
            </w:r>
            <w:r>
              <w:rPr/>
              <w:tab/>
            </w:r>
            <w:r>
              <w:rPr>
                <w:spacing w:val="-5"/>
              </w:rPr>
              <w:t>13</w:t>
            </w:r>
          </w:hyperlink>
        </w:p>
        <w:p>
          <w:pPr>
            <w:pStyle w:val="TOC6"/>
            <w:numPr>
              <w:ilvl w:val="2"/>
              <w:numId w:val="4"/>
            </w:numPr>
            <w:tabs>
              <w:tab w:pos="1463" w:val="left" w:leader="none"/>
              <w:tab w:pos="9041" w:val="right" w:leader="dot"/>
            </w:tabs>
            <w:spacing w:line="240" w:lineRule="auto" w:before="120" w:after="0"/>
            <w:ind w:left="1463" w:right="0" w:hanging="1001"/>
            <w:jc w:val="left"/>
            <w:rPr>
              <w:b w:val="0"/>
              <w:i w:val="0"/>
              <w:sz w:val="24"/>
            </w:rPr>
          </w:pPr>
          <w:hyperlink w:history="true" w:anchor="_bookmark48">
            <w:r>
              <w:rPr>
                <w:b w:val="0"/>
                <w:sz w:val="24"/>
              </w:rPr>
              <w:t>Signaling</w:t>
            </w:r>
            <w:r>
              <w:rPr>
                <w:b w:val="0"/>
                <w:spacing w:val="-1"/>
                <w:sz w:val="24"/>
              </w:rPr>
              <w:t> </w:t>
            </w:r>
            <w:r>
              <w:rPr>
                <w:b w:val="0"/>
                <w:sz w:val="24"/>
              </w:rPr>
              <w:t>Theory</w:t>
            </w:r>
            <w:r>
              <w:rPr>
                <w:b w:val="0"/>
                <w:spacing w:val="-1"/>
                <w:sz w:val="24"/>
              </w:rPr>
              <w:t> </w:t>
            </w:r>
            <w:r>
              <w:rPr>
                <w:b w:val="0"/>
                <w:i w:val="0"/>
                <w:sz w:val="24"/>
              </w:rPr>
              <w:t>(Teori</w:t>
            </w:r>
            <w:r>
              <w:rPr>
                <w:b w:val="0"/>
                <w:i w:val="0"/>
                <w:spacing w:val="1"/>
                <w:sz w:val="24"/>
              </w:rPr>
              <w:t> </w:t>
            </w:r>
            <w:r>
              <w:rPr>
                <w:b w:val="0"/>
                <w:i w:val="0"/>
                <w:spacing w:val="-2"/>
                <w:sz w:val="24"/>
              </w:rPr>
              <w:t>Sinyal)</w:t>
            </w:r>
            <w:r>
              <w:rPr>
                <w:b w:val="0"/>
                <w:i w:val="0"/>
                <w:sz w:val="24"/>
              </w:rPr>
              <w:tab/>
            </w:r>
            <w:r>
              <w:rPr>
                <w:b w:val="0"/>
                <w:i w:val="0"/>
                <w:spacing w:val="-5"/>
                <w:sz w:val="24"/>
              </w:rPr>
              <w:t>13</w:t>
            </w:r>
          </w:hyperlink>
        </w:p>
        <w:p>
          <w:pPr>
            <w:pStyle w:val="TOC5"/>
            <w:numPr>
              <w:ilvl w:val="2"/>
              <w:numId w:val="4"/>
            </w:numPr>
            <w:tabs>
              <w:tab w:pos="1463" w:val="left" w:leader="none"/>
              <w:tab w:pos="9041" w:val="right" w:leader="dot"/>
            </w:tabs>
            <w:spacing w:line="240" w:lineRule="auto" w:before="122" w:after="0"/>
            <w:ind w:left="1463" w:right="0" w:hanging="1001"/>
            <w:jc w:val="left"/>
          </w:pPr>
          <w:hyperlink w:history="true" w:anchor="_bookmark53">
            <w:r>
              <w:rPr/>
              <w:t>Pasar</w:t>
            </w:r>
            <w:r>
              <w:rPr>
                <w:spacing w:val="-2"/>
              </w:rPr>
              <w:t> Modal</w:t>
            </w:r>
            <w:r>
              <w:rPr/>
              <w:tab/>
            </w:r>
            <w:r>
              <w:rPr>
                <w:spacing w:val="-5"/>
              </w:rPr>
              <w:t>14</w:t>
            </w:r>
          </w:hyperlink>
        </w:p>
        <w:p>
          <w:pPr>
            <w:pStyle w:val="TOC5"/>
            <w:numPr>
              <w:ilvl w:val="2"/>
              <w:numId w:val="4"/>
            </w:numPr>
            <w:tabs>
              <w:tab w:pos="1463" w:val="left" w:leader="none"/>
              <w:tab w:pos="9041" w:val="right" w:leader="dot"/>
            </w:tabs>
            <w:spacing w:line="240" w:lineRule="auto" w:before="122" w:after="0"/>
            <w:ind w:left="1463" w:right="0" w:hanging="1001"/>
            <w:jc w:val="left"/>
          </w:pPr>
          <w:hyperlink w:history="true" w:anchor="_bookmark60">
            <w:r>
              <w:rPr/>
              <w:t>Pasar</w:t>
            </w:r>
            <w:r>
              <w:rPr>
                <w:spacing w:val="-2"/>
              </w:rPr>
              <w:t> </w:t>
            </w:r>
            <w:r>
              <w:rPr/>
              <w:t>Modal</w:t>
            </w:r>
            <w:r>
              <w:rPr>
                <w:spacing w:val="-2"/>
              </w:rPr>
              <w:t> Syariah</w:t>
            </w:r>
            <w:r>
              <w:rPr/>
              <w:tab/>
            </w:r>
            <w:r>
              <w:rPr>
                <w:spacing w:val="-5"/>
              </w:rPr>
              <w:t>17</w:t>
            </w:r>
          </w:hyperlink>
        </w:p>
        <w:p>
          <w:pPr>
            <w:pStyle w:val="TOC5"/>
            <w:numPr>
              <w:ilvl w:val="2"/>
              <w:numId w:val="4"/>
            </w:numPr>
            <w:tabs>
              <w:tab w:pos="1463" w:val="left" w:leader="none"/>
              <w:tab w:pos="9041" w:val="right" w:leader="dot"/>
            </w:tabs>
            <w:spacing w:line="240" w:lineRule="auto" w:before="123" w:after="0"/>
            <w:ind w:left="1463" w:right="0" w:hanging="1001"/>
            <w:jc w:val="left"/>
          </w:pPr>
          <w:hyperlink w:history="true" w:anchor="_bookmark67">
            <w:r>
              <w:rPr>
                <w:spacing w:val="-2"/>
              </w:rPr>
              <w:t>Saham</w:t>
            </w:r>
            <w:r>
              <w:rPr/>
              <w:tab/>
            </w:r>
            <w:r>
              <w:rPr>
                <w:spacing w:val="-5"/>
              </w:rPr>
              <w:t>21</w:t>
            </w:r>
          </w:hyperlink>
        </w:p>
        <w:p>
          <w:pPr>
            <w:pStyle w:val="TOC5"/>
            <w:numPr>
              <w:ilvl w:val="2"/>
              <w:numId w:val="4"/>
            </w:numPr>
            <w:tabs>
              <w:tab w:pos="1463" w:val="left" w:leader="none"/>
              <w:tab w:pos="9041" w:val="right" w:leader="dot"/>
            </w:tabs>
            <w:spacing w:line="240" w:lineRule="auto" w:before="123" w:after="0"/>
            <w:ind w:left="1463" w:right="0" w:hanging="1001"/>
            <w:jc w:val="left"/>
          </w:pPr>
          <w:hyperlink w:history="true" w:anchor="_bookmark70">
            <w:r>
              <w:rPr/>
              <w:t>Saham</w:t>
            </w:r>
            <w:r>
              <w:rPr>
                <w:spacing w:val="-4"/>
              </w:rPr>
              <w:t> </w:t>
            </w:r>
            <w:r>
              <w:rPr>
                <w:spacing w:val="-2"/>
              </w:rPr>
              <w:t>Syariah</w:t>
            </w:r>
            <w:r>
              <w:rPr/>
              <w:tab/>
            </w:r>
            <w:r>
              <w:rPr>
                <w:spacing w:val="-5"/>
              </w:rPr>
              <w:t>24</w:t>
            </w:r>
          </w:hyperlink>
        </w:p>
        <w:p>
          <w:pPr>
            <w:pStyle w:val="TOC5"/>
            <w:numPr>
              <w:ilvl w:val="2"/>
              <w:numId w:val="4"/>
            </w:numPr>
            <w:tabs>
              <w:tab w:pos="1463" w:val="left" w:leader="none"/>
              <w:tab w:pos="9041" w:val="right" w:leader="dot"/>
            </w:tabs>
            <w:spacing w:line="240" w:lineRule="auto" w:before="120" w:after="0"/>
            <w:ind w:left="1463" w:right="0" w:hanging="1001"/>
            <w:jc w:val="left"/>
          </w:pPr>
          <w:hyperlink w:history="true" w:anchor="_bookmark75">
            <w:r>
              <w:rPr/>
              <w:t>Indeks</w:t>
            </w:r>
            <w:r>
              <w:rPr>
                <w:spacing w:val="-4"/>
              </w:rPr>
              <w:t> </w:t>
            </w:r>
            <w:r>
              <w:rPr/>
              <w:t>Saham</w:t>
            </w:r>
            <w:r>
              <w:rPr>
                <w:spacing w:val="-3"/>
              </w:rPr>
              <w:t> </w:t>
            </w:r>
            <w:r>
              <w:rPr/>
              <w:t>Syariah </w:t>
            </w:r>
            <w:r>
              <w:rPr>
                <w:spacing w:val="-2"/>
              </w:rPr>
              <w:t>Indonesia</w:t>
            </w:r>
            <w:r>
              <w:rPr/>
              <w:tab/>
            </w:r>
            <w:r>
              <w:rPr>
                <w:spacing w:val="-5"/>
              </w:rPr>
              <w:t>27</w:t>
            </w:r>
          </w:hyperlink>
        </w:p>
        <w:p>
          <w:pPr>
            <w:pStyle w:val="TOC5"/>
            <w:numPr>
              <w:ilvl w:val="2"/>
              <w:numId w:val="4"/>
            </w:numPr>
            <w:tabs>
              <w:tab w:pos="1463" w:val="left" w:leader="none"/>
              <w:tab w:pos="9041" w:val="right" w:leader="dot"/>
            </w:tabs>
            <w:spacing w:line="240" w:lineRule="auto" w:before="122" w:after="0"/>
            <w:ind w:left="1463" w:right="0" w:hanging="1001"/>
            <w:jc w:val="left"/>
          </w:pPr>
          <w:hyperlink w:history="true" w:anchor="_bookmark80">
            <w:r>
              <w:rPr/>
              <w:t>Indeks</w:t>
            </w:r>
            <w:r>
              <w:rPr>
                <w:spacing w:val="-4"/>
              </w:rPr>
              <w:t> </w:t>
            </w:r>
            <w:r>
              <w:rPr/>
              <w:t>Keyakinan</w:t>
            </w:r>
            <w:r>
              <w:rPr>
                <w:spacing w:val="-2"/>
              </w:rPr>
              <w:t> Konsumen</w:t>
            </w:r>
            <w:r>
              <w:rPr/>
              <w:tab/>
            </w:r>
            <w:r>
              <w:rPr>
                <w:spacing w:val="-5"/>
              </w:rPr>
              <w:t>30</w:t>
            </w:r>
          </w:hyperlink>
        </w:p>
        <w:p>
          <w:pPr>
            <w:pStyle w:val="TOC5"/>
            <w:numPr>
              <w:ilvl w:val="2"/>
              <w:numId w:val="4"/>
            </w:numPr>
            <w:tabs>
              <w:tab w:pos="1463" w:val="left" w:leader="none"/>
              <w:tab w:pos="9041" w:val="right" w:leader="dot"/>
            </w:tabs>
            <w:spacing w:line="240" w:lineRule="auto" w:before="123" w:after="0"/>
            <w:ind w:left="1463" w:right="0" w:hanging="1001"/>
            <w:jc w:val="left"/>
          </w:pPr>
          <w:hyperlink w:history="true" w:anchor="_bookmark83">
            <w:r>
              <w:rPr/>
              <w:t>Nilai </w:t>
            </w:r>
            <w:r>
              <w:rPr>
                <w:spacing w:val="-2"/>
              </w:rPr>
              <w:t>Tukar</w:t>
            </w:r>
            <w:r>
              <w:rPr/>
              <w:tab/>
            </w:r>
            <w:r>
              <w:rPr>
                <w:spacing w:val="-5"/>
              </w:rPr>
              <w:t>33</w:t>
            </w:r>
          </w:hyperlink>
        </w:p>
        <w:p>
          <w:pPr>
            <w:pStyle w:val="TOC5"/>
            <w:numPr>
              <w:ilvl w:val="2"/>
              <w:numId w:val="4"/>
            </w:numPr>
            <w:tabs>
              <w:tab w:pos="1463" w:val="left" w:leader="none"/>
              <w:tab w:pos="9041" w:val="right" w:leader="dot"/>
            </w:tabs>
            <w:spacing w:line="240" w:lineRule="auto" w:before="122" w:after="0"/>
            <w:ind w:left="1463" w:right="0" w:hanging="1001"/>
            <w:jc w:val="left"/>
          </w:pPr>
          <w:hyperlink w:history="true" w:anchor="_bookmark87">
            <w:r>
              <w:rPr>
                <w:spacing w:val="-2"/>
              </w:rPr>
              <w:t>Inflasi</w:t>
            </w:r>
            <w:r>
              <w:rPr/>
              <w:tab/>
            </w:r>
            <w:r>
              <w:rPr>
                <w:spacing w:val="-5"/>
              </w:rPr>
              <w:t>36</w:t>
            </w:r>
          </w:hyperlink>
        </w:p>
        <w:p>
          <w:pPr>
            <w:pStyle w:val="TOC5"/>
            <w:numPr>
              <w:ilvl w:val="2"/>
              <w:numId w:val="4"/>
            </w:numPr>
            <w:tabs>
              <w:tab w:pos="1463" w:val="left" w:leader="none"/>
              <w:tab w:pos="9041" w:val="right" w:leader="dot"/>
            </w:tabs>
            <w:spacing w:line="240" w:lineRule="auto" w:before="120" w:after="0"/>
            <w:ind w:left="1463" w:right="0" w:hanging="1001"/>
            <w:jc w:val="left"/>
          </w:pPr>
          <w:hyperlink w:history="true" w:anchor="_bookmark92">
            <w:r>
              <w:rPr/>
              <w:t>Indeks</w:t>
            </w:r>
            <w:r>
              <w:rPr>
                <w:spacing w:val="-4"/>
              </w:rPr>
              <w:t> </w:t>
            </w:r>
            <w:r>
              <w:rPr/>
              <w:t>Produksi</w:t>
            </w:r>
            <w:r>
              <w:rPr>
                <w:spacing w:val="-2"/>
              </w:rPr>
              <w:t> </w:t>
            </w:r>
            <w:r>
              <w:rPr/>
              <w:t>Industri</w:t>
            </w:r>
            <w:r>
              <w:rPr>
                <w:spacing w:val="-2"/>
              </w:rPr>
              <w:t> </w:t>
            </w:r>
            <w:r>
              <w:rPr>
                <w:spacing w:val="-4"/>
              </w:rPr>
              <w:t>(IPI)</w:t>
            </w:r>
            <w:r>
              <w:rPr/>
              <w:tab/>
            </w:r>
            <w:r>
              <w:rPr>
                <w:spacing w:val="-5"/>
              </w:rPr>
              <w:t>39</w:t>
            </w:r>
          </w:hyperlink>
        </w:p>
        <w:p>
          <w:pPr>
            <w:pStyle w:val="TOC4"/>
            <w:numPr>
              <w:ilvl w:val="1"/>
              <w:numId w:val="4"/>
            </w:numPr>
            <w:tabs>
              <w:tab w:pos="983" w:val="left" w:leader="none"/>
              <w:tab w:pos="9041" w:val="right" w:leader="dot"/>
            </w:tabs>
            <w:spacing w:line="240" w:lineRule="auto" w:before="123" w:after="0"/>
            <w:ind w:left="983" w:right="0" w:hanging="739"/>
            <w:jc w:val="left"/>
          </w:pPr>
          <w:hyperlink w:history="true" w:anchor="_bookmark96">
            <w:r>
              <w:rPr/>
              <w:t>Penelitian</w:t>
            </w:r>
            <w:r>
              <w:rPr>
                <w:spacing w:val="-5"/>
              </w:rPr>
              <w:t> </w:t>
            </w:r>
            <w:r>
              <w:rPr>
                <w:spacing w:val="-2"/>
              </w:rPr>
              <w:t>Terdahulu</w:t>
            </w:r>
            <w:r>
              <w:rPr/>
              <w:tab/>
            </w:r>
            <w:r>
              <w:rPr>
                <w:spacing w:val="-7"/>
              </w:rPr>
              <w:t>42</w:t>
            </w:r>
          </w:hyperlink>
        </w:p>
        <w:p>
          <w:pPr>
            <w:pStyle w:val="TOC4"/>
            <w:numPr>
              <w:ilvl w:val="1"/>
              <w:numId w:val="4"/>
            </w:numPr>
            <w:tabs>
              <w:tab w:pos="983" w:val="left" w:leader="none"/>
              <w:tab w:pos="9041" w:val="right" w:leader="dot"/>
            </w:tabs>
            <w:spacing w:line="240" w:lineRule="auto" w:before="122" w:after="20"/>
            <w:ind w:left="983" w:right="0" w:hanging="739"/>
            <w:jc w:val="left"/>
          </w:pPr>
          <w:hyperlink w:history="true" w:anchor="_bookmark97">
            <w:r>
              <w:rPr/>
              <w:t>Kerangka</w:t>
            </w:r>
            <w:r>
              <w:rPr>
                <w:spacing w:val="-3"/>
              </w:rPr>
              <w:t> </w:t>
            </w:r>
            <w:r>
              <w:rPr>
                <w:spacing w:val="-2"/>
              </w:rPr>
              <w:t>Teori</w:t>
            </w:r>
            <w:r>
              <w:rPr/>
              <w:tab/>
            </w:r>
            <w:r>
              <w:rPr>
                <w:spacing w:val="-5"/>
              </w:rPr>
              <w:t>47</w:t>
            </w:r>
          </w:hyperlink>
        </w:p>
        <w:p>
          <w:pPr>
            <w:pStyle w:val="TOC4"/>
            <w:numPr>
              <w:ilvl w:val="1"/>
              <w:numId w:val="4"/>
            </w:numPr>
            <w:tabs>
              <w:tab w:pos="983" w:val="left" w:leader="none"/>
              <w:tab w:pos="8801" w:val="left" w:leader="dot"/>
            </w:tabs>
            <w:spacing w:line="240" w:lineRule="auto" w:before="61" w:after="0"/>
            <w:ind w:left="983" w:right="0" w:hanging="739"/>
            <w:jc w:val="left"/>
          </w:pPr>
          <w:hyperlink w:history="true" w:anchor="_bookmark98">
            <w:r>
              <w:rPr>
                <w:spacing w:val="-2"/>
              </w:rPr>
              <w:t>Hipotesis</w:t>
            </w:r>
            <w:r>
              <w:rPr/>
              <w:tab/>
            </w:r>
            <w:r>
              <w:rPr>
                <w:spacing w:val="-5"/>
              </w:rPr>
              <w:t>48</w:t>
            </w:r>
          </w:hyperlink>
        </w:p>
        <w:p>
          <w:pPr>
            <w:pStyle w:val="TOC5"/>
            <w:numPr>
              <w:ilvl w:val="2"/>
              <w:numId w:val="4"/>
            </w:numPr>
            <w:tabs>
              <w:tab w:pos="1463" w:val="left" w:leader="none"/>
              <w:tab w:pos="8801" w:val="left" w:leader="dot"/>
            </w:tabs>
            <w:spacing w:line="259" w:lineRule="auto" w:before="123" w:after="0"/>
            <w:ind w:left="462" w:right="170" w:firstLine="0"/>
            <w:jc w:val="left"/>
          </w:pPr>
          <w:hyperlink w:history="true" w:anchor="_bookmark99">
            <w:r>
              <w:rPr/>
              <w:t>Pengaruh Indeks Keyakinan Konsumen terhadap Indeks Saham Syariah</w:t>
            </w:r>
          </w:hyperlink>
          <w:r>
            <w:rPr/>
            <w:t> </w:t>
          </w:r>
          <w:hyperlink w:history="true" w:anchor="_bookmark99">
            <w:r>
              <w:rPr/>
              <w:t>Indonesia (ISSI)</w:t>
              <w:tab/>
            </w:r>
            <w:r>
              <w:rPr>
                <w:spacing w:val="-6"/>
              </w:rPr>
              <w:t>48</w:t>
            </w:r>
          </w:hyperlink>
        </w:p>
        <w:p>
          <w:pPr>
            <w:pStyle w:val="TOC5"/>
            <w:numPr>
              <w:ilvl w:val="2"/>
              <w:numId w:val="4"/>
            </w:numPr>
            <w:tabs>
              <w:tab w:pos="1463" w:val="left" w:leader="none"/>
              <w:tab w:pos="8801" w:val="left" w:leader="dot"/>
            </w:tabs>
            <w:spacing w:line="240" w:lineRule="auto" w:before="100" w:after="0"/>
            <w:ind w:left="1463" w:right="0" w:hanging="1001"/>
            <w:jc w:val="left"/>
          </w:pPr>
          <w:hyperlink w:history="true" w:anchor="_bookmark100">
            <w:r>
              <w:rPr/>
              <w:t>Pengaruh</w:t>
            </w:r>
            <w:r>
              <w:rPr>
                <w:spacing w:val="-3"/>
              </w:rPr>
              <w:t> </w:t>
            </w:r>
            <w:r>
              <w:rPr/>
              <w:t>Nilai</w:t>
            </w:r>
            <w:r>
              <w:rPr>
                <w:spacing w:val="-2"/>
              </w:rPr>
              <w:t> </w:t>
            </w:r>
            <w:r>
              <w:rPr/>
              <w:t>Tukar</w:t>
            </w:r>
            <w:r>
              <w:rPr>
                <w:spacing w:val="-2"/>
              </w:rPr>
              <w:t> </w:t>
            </w:r>
            <w:r>
              <w:rPr/>
              <w:t>terhadap Indeks</w:t>
            </w:r>
            <w:r>
              <w:rPr>
                <w:spacing w:val="-4"/>
              </w:rPr>
              <w:t> </w:t>
            </w:r>
            <w:r>
              <w:rPr/>
              <w:t>Saham</w:t>
            </w:r>
            <w:r>
              <w:rPr>
                <w:spacing w:val="-2"/>
              </w:rPr>
              <w:t> </w:t>
            </w:r>
            <w:r>
              <w:rPr/>
              <w:t>Syariah Indonesia</w:t>
            </w:r>
            <w:r>
              <w:rPr>
                <w:spacing w:val="-1"/>
              </w:rPr>
              <w:t> </w:t>
            </w:r>
            <w:r>
              <w:rPr>
                <w:spacing w:val="-2"/>
              </w:rPr>
              <w:t>(ISSI)</w:t>
            </w:r>
            <w:r>
              <w:rPr/>
              <w:tab/>
            </w:r>
            <w:r>
              <w:rPr>
                <w:spacing w:val="-5"/>
              </w:rPr>
              <w:t>49</w:t>
            </w:r>
          </w:hyperlink>
        </w:p>
        <w:p>
          <w:pPr>
            <w:pStyle w:val="TOC5"/>
            <w:numPr>
              <w:ilvl w:val="2"/>
              <w:numId w:val="4"/>
            </w:numPr>
            <w:tabs>
              <w:tab w:pos="1463" w:val="left" w:leader="none"/>
              <w:tab w:pos="8801" w:val="left" w:leader="dot"/>
            </w:tabs>
            <w:spacing w:line="240" w:lineRule="auto" w:before="120" w:after="0"/>
            <w:ind w:left="1463" w:right="0" w:hanging="1001"/>
            <w:jc w:val="left"/>
          </w:pPr>
          <w:hyperlink w:history="true" w:anchor="_bookmark105">
            <w:r>
              <w:rPr/>
              <w:t>Pengaruh</w:t>
            </w:r>
            <w:r>
              <w:rPr>
                <w:spacing w:val="-4"/>
              </w:rPr>
              <w:t> </w:t>
            </w:r>
            <w:r>
              <w:rPr/>
              <w:t>Inflasi</w:t>
            </w:r>
            <w:r>
              <w:rPr>
                <w:spacing w:val="-3"/>
              </w:rPr>
              <w:t> </w:t>
            </w:r>
            <w:r>
              <w:rPr/>
              <w:t>terhadap</w:t>
            </w:r>
            <w:r>
              <w:rPr>
                <w:spacing w:val="-2"/>
              </w:rPr>
              <w:t> </w:t>
            </w:r>
            <w:r>
              <w:rPr/>
              <w:t>Indeks</w:t>
            </w:r>
            <w:r>
              <w:rPr>
                <w:spacing w:val="-4"/>
              </w:rPr>
              <w:t> </w:t>
            </w:r>
            <w:r>
              <w:rPr/>
              <w:t>Saham</w:t>
            </w:r>
            <w:r>
              <w:rPr>
                <w:spacing w:val="-2"/>
              </w:rPr>
              <w:t> </w:t>
            </w:r>
            <w:r>
              <w:rPr/>
              <w:t>Syariah</w:t>
            </w:r>
            <w:r>
              <w:rPr>
                <w:spacing w:val="-1"/>
              </w:rPr>
              <w:t> </w:t>
            </w:r>
            <w:r>
              <w:rPr/>
              <w:t>Indonesia</w:t>
            </w:r>
            <w:r>
              <w:rPr>
                <w:spacing w:val="-2"/>
              </w:rPr>
              <w:t> (ISSI)</w:t>
            </w:r>
            <w:r>
              <w:rPr/>
              <w:tab/>
            </w:r>
            <w:r>
              <w:rPr>
                <w:spacing w:val="-5"/>
              </w:rPr>
              <w:t>50</w:t>
            </w:r>
          </w:hyperlink>
        </w:p>
        <w:p>
          <w:pPr>
            <w:pStyle w:val="TOC5"/>
            <w:numPr>
              <w:ilvl w:val="2"/>
              <w:numId w:val="4"/>
            </w:numPr>
            <w:tabs>
              <w:tab w:pos="1463" w:val="left" w:leader="none"/>
            </w:tabs>
            <w:spacing w:line="259" w:lineRule="auto" w:before="123" w:after="0"/>
            <w:ind w:left="462" w:right="339" w:firstLine="0"/>
            <w:jc w:val="left"/>
          </w:pPr>
          <w:hyperlink w:history="true" w:anchor="_bookmark108">
            <w:r>
              <w:rPr/>
              <w:t>Pengaruh</w:t>
            </w:r>
            <w:r>
              <w:rPr>
                <w:spacing w:val="-4"/>
              </w:rPr>
              <w:t> </w:t>
            </w:r>
            <w:r>
              <w:rPr/>
              <w:t>Indeks</w:t>
            </w:r>
            <w:r>
              <w:rPr>
                <w:spacing w:val="-6"/>
              </w:rPr>
              <w:t> </w:t>
            </w:r>
            <w:r>
              <w:rPr/>
              <w:t>Produksi</w:t>
            </w:r>
            <w:r>
              <w:rPr>
                <w:spacing w:val="-5"/>
              </w:rPr>
              <w:t> </w:t>
            </w:r>
            <w:r>
              <w:rPr/>
              <w:t>Industri</w:t>
            </w:r>
            <w:r>
              <w:rPr>
                <w:spacing w:val="-5"/>
              </w:rPr>
              <w:t> </w:t>
            </w:r>
            <w:r>
              <w:rPr/>
              <w:t>terhadap</w:t>
            </w:r>
            <w:r>
              <w:rPr>
                <w:spacing w:val="-3"/>
              </w:rPr>
              <w:t> </w:t>
            </w:r>
            <w:r>
              <w:rPr/>
              <w:t>Indeks</w:t>
            </w:r>
            <w:r>
              <w:rPr>
                <w:spacing w:val="-6"/>
              </w:rPr>
              <w:t> </w:t>
            </w:r>
            <w:r>
              <w:rPr/>
              <w:t>Saham</w:t>
            </w:r>
            <w:r>
              <w:rPr>
                <w:spacing w:val="-5"/>
              </w:rPr>
              <w:t> </w:t>
            </w:r>
            <w:r>
              <w:rPr/>
              <w:t>Syariah</w:t>
            </w:r>
            <w:r>
              <w:rPr>
                <w:spacing w:val="-3"/>
              </w:rPr>
              <w:t> </w:t>
            </w:r>
            <w:r>
              <w:rPr/>
              <w:t>Indonesia</w:t>
            </w:r>
          </w:hyperlink>
          <w:r>
            <w:rPr/>
            <w:t> </w:t>
          </w:r>
          <w:hyperlink w:history="true" w:anchor="_bookmark108">
            <w:r>
              <w:rPr>
                <w:spacing w:val="-2"/>
              </w:rPr>
              <w:t>(ISSI)</w:t>
            </w:r>
            <w:r>
              <w:rPr/>
              <w:tab/>
            </w:r>
            <w:r>
              <w:rPr>
                <w:spacing w:val="-6"/>
              </w:rPr>
              <w:t>51</w:t>
            </w:r>
          </w:hyperlink>
        </w:p>
        <w:p>
          <w:pPr>
            <w:pStyle w:val="TOC1"/>
            <w:tabs>
              <w:tab w:pos="8801" w:val="left" w:leader="dot"/>
            </w:tabs>
            <w:spacing w:before="99"/>
          </w:pPr>
          <w:hyperlink w:history="true" w:anchor="_bookmark113">
            <w:r>
              <w:rPr/>
              <w:t>BAB </w:t>
            </w:r>
            <w:r>
              <w:rPr>
                <w:spacing w:val="-5"/>
              </w:rPr>
              <w:t>III</w:t>
            </w:r>
            <w:r>
              <w:rPr/>
              <w:tab/>
            </w:r>
            <w:r>
              <w:rPr>
                <w:spacing w:val="-5"/>
              </w:rPr>
              <w:t>53</w:t>
            </w:r>
          </w:hyperlink>
        </w:p>
        <w:p>
          <w:pPr>
            <w:pStyle w:val="TOC1"/>
            <w:tabs>
              <w:tab w:pos="8801" w:val="left" w:leader="dot"/>
            </w:tabs>
            <w:spacing w:before="123"/>
          </w:pPr>
          <w:hyperlink w:history="true" w:anchor="_bookmark114">
            <w:r>
              <w:rPr/>
              <w:t>METODE</w:t>
            </w:r>
            <w:r>
              <w:rPr>
                <w:spacing w:val="-5"/>
              </w:rPr>
              <w:t> </w:t>
            </w:r>
            <w:r>
              <w:rPr>
                <w:spacing w:val="-2"/>
              </w:rPr>
              <w:t>PENELITIAN</w:t>
            </w:r>
            <w:r>
              <w:rPr/>
              <w:tab/>
            </w:r>
            <w:r>
              <w:rPr>
                <w:spacing w:val="-5"/>
              </w:rPr>
              <w:t>53</w:t>
            </w:r>
          </w:hyperlink>
        </w:p>
        <w:p>
          <w:pPr>
            <w:pStyle w:val="TOC4"/>
            <w:numPr>
              <w:ilvl w:val="1"/>
              <w:numId w:val="5"/>
            </w:numPr>
            <w:tabs>
              <w:tab w:pos="983" w:val="left" w:leader="none"/>
              <w:tab w:pos="8801" w:val="left" w:leader="dot"/>
            </w:tabs>
            <w:spacing w:line="240" w:lineRule="auto" w:before="122" w:after="0"/>
            <w:ind w:left="983" w:right="0" w:hanging="739"/>
            <w:jc w:val="left"/>
          </w:pPr>
          <w:hyperlink w:history="true" w:anchor="_bookmark115">
            <w:r>
              <w:rPr/>
              <w:t>Jenis</w:t>
            </w:r>
            <w:r>
              <w:rPr>
                <w:spacing w:val="-4"/>
              </w:rPr>
              <w:t> </w:t>
            </w:r>
            <w:r>
              <w:rPr/>
              <w:t>dan</w:t>
            </w:r>
            <w:r>
              <w:rPr>
                <w:spacing w:val="-2"/>
              </w:rPr>
              <w:t> </w:t>
            </w:r>
            <w:r>
              <w:rPr/>
              <w:t>Sumber</w:t>
            </w:r>
            <w:r>
              <w:rPr>
                <w:spacing w:val="-2"/>
              </w:rPr>
              <w:t> </w:t>
            </w:r>
            <w:r>
              <w:rPr>
                <w:spacing w:val="-4"/>
              </w:rPr>
              <w:t>Data</w:t>
            </w:r>
            <w:r>
              <w:rPr/>
              <w:tab/>
            </w:r>
            <w:r>
              <w:rPr>
                <w:spacing w:val="-5"/>
              </w:rPr>
              <w:t>53</w:t>
            </w:r>
          </w:hyperlink>
        </w:p>
        <w:p>
          <w:pPr>
            <w:pStyle w:val="TOC5"/>
            <w:numPr>
              <w:ilvl w:val="2"/>
              <w:numId w:val="5"/>
            </w:numPr>
            <w:tabs>
              <w:tab w:pos="1463" w:val="left" w:leader="none"/>
              <w:tab w:pos="8801" w:val="left" w:leader="dot"/>
            </w:tabs>
            <w:spacing w:line="240" w:lineRule="auto" w:before="121" w:after="0"/>
            <w:ind w:left="1463" w:right="0" w:hanging="1001"/>
            <w:jc w:val="left"/>
          </w:pPr>
          <w:hyperlink w:history="true" w:anchor="_bookmark116">
            <w:r>
              <w:rPr/>
              <w:t>Jenis</w:t>
            </w:r>
            <w:r>
              <w:rPr>
                <w:spacing w:val="-4"/>
              </w:rPr>
              <w:t> Data</w:t>
            </w:r>
            <w:r>
              <w:rPr/>
              <w:tab/>
            </w:r>
            <w:r>
              <w:rPr>
                <w:spacing w:val="-5"/>
              </w:rPr>
              <w:t>53</w:t>
            </w:r>
          </w:hyperlink>
        </w:p>
        <w:p>
          <w:pPr>
            <w:pStyle w:val="TOC5"/>
            <w:numPr>
              <w:ilvl w:val="2"/>
              <w:numId w:val="5"/>
            </w:numPr>
            <w:tabs>
              <w:tab w:pos="1463" w:val="left" w:leader="none"/>
              <w:tab w:pos="8801" w:val="left" w:leader="dot"/>
            </w:tabs>
            <w:spacing w:line="240" w:lineRule="auto" w:before="122" w:after="0"/>
            <w:ind w:left="1463" w:right="0" w:hanging="1001"/>
            <w:jc w:val="left"/>
          </w:pPr>
          <w:hyperlink w:history="true" w:anchor="_bookmark117">
            <w:r>
              <w:rPr/>
              <w:t>Sumber</w:t>
            </w:r>
            <w:r>
              <w:rPr>
                <w:spacing w:val="-4"/>
              </w:rPr>
              <w:t> Data</w:t>
            </w:r>
            <w:r>
              <w:rPr/>
              <w:tab/>
            </w:r>
            <w:r>
              <w:rPr>
                <w:spacing w:val="-5"/>
              </w:rPr>
              <w:t>53</w:t>
            </w:r>
          </w:hyperlink>
        </w:p>
        <w:p>
          <w:pPr>
            <w:pStyle w:val="TOC4"/>
            <w:numPr>
              <w:ilvl w:val="1"/>
              <w:numId w:val="5"/>
            </w:numPr>
            <w:tabs>
              <w:tab w:pos="983" w:val="left" w:leader="none"/>
              <w:tab w:pos="8801" w:val="left" w:leader="dot"/>
            </w:tabs>
            <w:spacing w:line="240" w:lineRule="auto" w:before="123" w:after="0"/>
            <w:ind w:left="983" w:right="0" w:hanging="739"/>
            <w:jc w:val="left"/>
          </w:pPr>
          <w:hyperlink w:history="true" w:anchor="_bookmark120">
            <w:r>
              <w:rPr/>
              <w:t>Populasi</w:t>
            </w:r>
            <w:r>
              <w:rPr>
                <w:spacing w:val="-1"/>
              </w:rPr>
              <w:t> </w:t>
            </w:r>
            <w:r>
              <w:rPr/>
              <w:t>dan </w:t>
            </w:r>
            <w:r>
              <w:rPr>
                <w:spacing w:val="-2"/>
              </w:rPr>
              <w:t>Sampel</w:t>
            </w:r>
            <w:r>
              <w:rPr/>
              <w:tab/>
            </w:r>
            <w:r>
              <w:rPr>
                <w:spacing w:val="-5"/>
              </w:rPr>
              <w:t>54</w:t>
            </w:r>
          </w:hyperlink>
        </w:p>
        <w:p>
          <w:pPr>
            <w:pStyle w:val="TOC5"/>
            <w:numPr>
              <w:ilvl w:val="2"/>
              <w:numId w:val="5"/>
            </w:numPr>
            <w:tabs>
              <w:tab w:pos="1463" w:val="left" w:leader="none"/>
              <w:tab w:pos="8801" w:val="left" w:leader="dot"/>
            </w:tabs>
            <w:spacing w:line="240" w:lineRule="auto" w:before="122" w:after="0"/>
            <w:ind w:left="1463" w:right="0" w:hanging="1001"/>
            <w:jc w:val="left"/>
          </w:pPr>
          <w:hyperlink w:history="true" w:anchor="_bookmark121">
            <w:r>
              <w:rPr>
                <w:spacing w:val="-2"/>
              </w:rPr>
              <w:t>Populasi</w:t>
            </w:r>
            <w:r>
              <w:rPr/>
              <w:tab/>
            </w:r>
            <w:r>
              <w:rPr>
                <w:spacing w:val="-5"/>
              </w:rPr>
              <w:t>54</w:t>
            </w:r>
          </w:hyperlink>
        </w:p>
        <w:p>
          <w:pPr>
            <w:pStyle w:val="TOC5"/>
            <w:numPr>
              <w:ilvl w:val="2"/>
              <w:numId w:val="5"/>
            </w:numPr>
            <w:tabs>
              <w:tab w:pos="1463" w:val="left" w:leader="none"/>
              <w:tab w:pos="8801" w:val="left" w:leader="dot"/>
            </w:tabs>
            <w:spacing w:line="240" w:lineRule="auto" w:before="120" w:after="0"/>
            <w:ind w:left="1463" w:right="0" w:hanging="1001"/>
            <w:jc w:val="left"/>
          </w:pPr>
          <w:hyperlink w:history="true" w:anchor="_bookmark122">
            <w:r>
              <w:rPr>
                <w:spacing w:val="-2"/>
              </w:rPr>
              <w:t>Sampel</w:t>
            </w:r>
            <w:r>
              <w:rPr/>
              <w:tab/>
            </w:r>
            <w:r>
              <w:rPr>
                <w:spacing w:val="-5"/>
              </w:rPr>
              <w:t>54</w:t>
            </w:r>
          </w:hyperlink>
        </w:p>
        <w:p>
          <w:pPr>
            <w:pStyle w:val="TOC4"/>
            <w:numPr>
              <w:ilvl w:val="1"/>
              <w:numId w:val="5"/>
            </w:numPr>
            <w:tabs>
              <w:tab w:pos="983" w:val="left" w:leader="none"/>
              <w:tab w:pos="8801" w:val="left" w:leader="dot"/>
            </w:tabs>
            <w:spacing w:line="240" w:lineRule="auto" w:before="123" w:after="0"/>
            <w:ind w:left="983" w:right="0" w:hanging="739"/>
            <w:jc w:val="left"/>
          </w:pPr>
          <w:hyperlink w:history="true" w:anchor="_bookmark123">
            <w:r>
              <w:rPr/>
              <w:t>Teknik</w:t>
            </w:r>
            <w:r>
              <w:rPr>
                <w:spacing w:val="-2"/>
              </w:rPr>
              <w:t> </w:t>
            </w:r>
            <w:r>
              <w:rPr/>
              <w:t>Pengumpulan</w:t>
            </w:r>
            <w:r>
              <w:rPr>
                <w:spacing w:val="-1"/>
              </w:rPr>
              <w:t> </w:t>
            </w:r>
            <w:r>
              <w:rPr>
                <w:spacing w:val="-4"/>
              </w:rPr>
              <w:t>Data</w:t>
            </w:r>
            <w:r>
              <w:rPr/>
              <w:tab/>
            </w:r>
            <w:r>
              <w:rPr>
                <w:spacing w:val="-5"/>
              </w:rPr>
              <w:t>54</w:t>
            </w:r>
          </w:hyperlink>
        </w:p>
        <w:p>
          <w:pPr>
            <w:pStyle w:val="TOC4"/>
            <w:numPr>
              <w:ilvl w:val="1"/>
              <w:numId w:val="5"/>
            </w:numPr>
            <w:tabs>
              <w:tab w:pos="983" w:val="left" w:leader="none"/>
              <w:tab w:pos="8801" w:val="left" w:leader="dot"/>
            </w:tabs>
            <w:spacing w:line="240" w:lineRule="auto" w:before="122" w:after="0"/>
            <w:ind w:left="983" w:right="0" w:hanging="739"/>
            <w:jc w:val="left"/>
          </w:pPr>
          <w:hyperlink w:history="true" w:anchor="_bookmark125">
            <w:r>
              <w:rPr/>
              <w:t>Definisi</w:t>
            </w:r>
            <w:r>
              <w:rPr>
                <w:spacing w:val="-2"/>
              </w:rPr>
              <w:t> Konseptual</w:t>
            </w:r>
            <w:r>
              <w:rPr/>
              <w:tab/>
            </w:r>
            <w:r>
              <w:rPr>
                <w:spacing w:val="-7"/>
              </w:rPr>
              <w:t>55</w:t>
            </w:r>
          </w:hyperlink>
        </w:p>
        <w:p>
          <w:pPr>
            <w:pStyle w:val="TOC5"/>
            <w:numPr>
              <w:ilvl w:val="2"/>
              <w:numId w:val="5"/>
            </w:numPr>
            <w:tabs>
              <w:tab w:pos="1463" w:val="left" w:leader="none"/>
              <w:tab w:pos="8801" w:val="left" w:leader="dot"/>
            </w:tabs>
            <w:spacing w:line="240" w:lineRule="auto" w:before="123" w:after="0"/>
            <w:ind w:left="1463" w:right="0" w:hanging="1001"/>
            <w:jc w:val="left"/>
          </w:pPr>
          <w:hyperlink w:history="true" w:anchor="_bookmark126">
            <w:r>
              <w:rPr/>
              <w:t>Indeks</w:t>
            </w:r>
            <w:r>
              <w:rPr>
                <w:spacing w:val="-4"/>
              </w:rPr>
              <w:t> </w:t>
            </w:r>
            <w:r>
              <w:rPr/>
              <w:t>Saham</w:t>
            </w:r>
            <w:r>
              <w:rPr>
                <w:spacing w:val="-3"/>
              </w:rPr>
              <w:t> </w:t>
            </w:r>
            <w:r>
              <w:rPr/>
              <w:t>Syariah </w:t>
            </w:r>
            <w:r>
              <w:rPr>
                <w:spacing w:val="-2"/>
              </w:rPr>
              <w:t>Indonesia</w:t>
            </w:r>
            <w:r>
              <w:rPr/>
              <w:tab/>
            </w:r>
            <w:r>
              <w:rPr>
                <w:spacing w:val="-5"/>
              </w:rPr>
              <w:t>55</w:t>
            </w:r>
          </w:hyperlink>
        </w:p>
        <w:p>
          <w:pPr>
            <w:pStyle w:val="TOC5"/>
            <w:numPr>
              <w:ilvl w:val="2"/>
              <w:numId w:val="5"/>
            </w:numPr>
            <w:tabs>
              <w:tab w:pos="1463" w:val="left" w:leader="none"/>
              <w:tab w:pos="8801" w:val="left" w:leader="dot"/>
            </w:tabs>
            <w:spacing w:line="240" w:lineRule="auto" w:before="120" w:after="0"/>
            <w:ind w:left="1463" w:right="0" w:hanging="1001"/>
            <w:jc w:val="left"/>
          </w:pPr>
          <w:hyperlink w:history="true" w:anchor="_bookmark128">
            <w:r>
              <w:rPr/>
              <w:t>Indeks</w:t>
            </w:r>
            <w:r>
              <w:rPr>
                <w:spacing w:val="-4"/>
              </w:rPr>
              <w:t> </w:t>
            </w:r>
            <w:r>
              <w:rPr/>
              <w:t>Keyakinan</w:t>
            </w:r>
            <w:r>
              <w:rPr>
                <w:spacing w:val="-2"/>
              </w:rPr>
              <w:t> Konsumen</w:t>
            </w:r>
            <w:r>
              <w:rPr/>
              <w:tab/>
            </w:r>
            <w:r>
              <w:rPr>
                <w:spacing w:val="-5"/>
              </w:rPr>
              <w:t>56</w:t>
            </w:r>
          </w:hyperlink>
        </w:p>
        <w:p>
          <w:pPr>
            <w:pStyle w:val="TOC5"/>
            <w:numPr>
              <w:ilvl w:val="2"/>
              <w:numId w:val="5"/>
            </w:numPr>
            <w:tabs>
              <w:tab w:pos="1463" w:val="left" w:leader="none"/>
              <w:tab w:pos="8801" w:val="left" w:leader="dot"/>
            </w:tabs>
            <w:spacing w:line="240" w:lineRule="auto" w:before="122" w:after="0"/>
            <w:ind w:left="1463" w:right="0" w:hanging="1001"/>
            <w:jc w:val="left"/>
          </w:pPr>
          <w:hyperlink w:history="true" w:anchor="_bookmark131">
            <w:r>
              <w:rPr/>
              <w:t>Nilai </w:t>
            </w:r>
            <w:r>
              <w:rPr>
                <w:spacing w:val="-2"/>
              </w:rPr>
              <w:t>Tukar</w:t>
            </w:r>
            <w:r>
              <w:rPr/>
              <w:tab/>
            </w:r>
            <w:r>
              <w:rPr>
                <w:spacing w:val="-5"/>
              </w:rPr>
              <w:t>57</w:t>
            </w:r>
          </w:hyperlink>
        </w:p>
        <w:p>
          <w:pPr>
            <w:pStyle w:val="TOC5"/>
            <w:numPr>
              <w:ilvl w:val="2"/>
              <w:numId w:val="5"/>
            </w:numPr>
            <w:tabs>
              <w:tab w:pos="1463" w:val="left" w:leader="none"/>
              <w:tab w:pos="8801" w:val="left" w:leader="dot"/>
            </w:tabs>
            <w:spacing w:line="240" w:lineRule="auto" w:before="123" w:after="0"/>
            <w:ind w:left="1463" w:right="0" w:hanging="1001"/>
            <w:jc w:val="left"/>
          </w:pPr>
          <w:hyperlink w:history="true" w:anchor="_bookmark132">
            <w:r>
              <w:rPr>
                <w:spacing w:val="-2"/>
              </w:rPr>
              <w:t>Inflasi</w:t>
            </w:r>
            <w:r>
              <w:rPr/>
              <w:tab/>
            </w:r>
            <w:r>
              <w:rPr>
                <w:spacing w:val="-5"/>
              </w:rPr>
              <w:t>57</w:t>
            </w:r>
          </w:hyperlink>
        </w:p>
        <w:p>
          <w:pPr>
            <w:pStyle w:val="TOC5"/>
            <w:numPr>
              <w:ilvl w:val="2"/>
              <w:numId w:val="5"/>
            </w:numPr>
            <w:tabs>
              <w:tab w:pos="1463" w:val="left" w:leader="none"/>
              <w:tab w:pos="8801" w:val="left" w:leader="dot"/>
            </w:tabs>
            <w:spacing w:line="240" w:lineRule="auto" w:before="122" w:after="0"/>
            <w:ind w:left="1463" w:right="0" w:hanging="1001"/>
            <w:jc w:val="left"/>
          </w:pPr>
          <w:hyperlink w:history="true" w:anchor="_bookmark136">
            <w:r>
              <w:rPr/>
              <w:t>Indeks</w:t>
            </w:r>
            <w:r>
              <w:rPr>
                <w:spacing w:val="-4"/>
              </w:rPr>
              <w:t> </w:t>
            </w:r>
            <w:r>
              <w:rPr/>
              <w:t>Produksi </w:t>
            </w:r>
            <w:r>
              <w:rPr>
                <w:spacing w:val="-2"/>
              </w:rPr>
              <w:t>Industri</w:t>
            </w:r>
            <w:r>
              <w:rPr/>
              <w:tab/>
            </w:r>
            <w:r>
              <w:rPr>
                <w:spacing w:val="-5"/>
              </w:rPr>
              <w:t>58</w:t>
            </w:r>
          </w:hyperlink>
        </w:p>
        <w:p>
          <w:pPr>
            <w:pStyle w:val="TOC4"/>
            <w:numPr>
              <w:ilvl w:val="1"/>
              <w:numId w:val="5"/>
            </w:numPr>
            <w:tabs>
              <w:tab w:pos="983" w:val="left" w:leader="none"/>
              <w:tab w:pos="8801" w:val="left" w:leader="dot"/>
            </w:tabs>
            <w:spacing w:line="240" w:lineRule="auto" w:before="120" w:after="0"/>
            <w:ind w:left="983" w:right="0" w:hanging="739"/>
            <w:jc w:val="left"/>
          </w:pPr>
          <w:hyperlink w:history="true" w:anchor="_bookmark137">
            <w:r>
              <w:rPr/>
              <w:t>Teknik</w:t>
            </w:r>
            <w:r>
              <w:rPr>
                <w:spacing w:val="-5"/>
              </w:rPr>
              <w:t> </w:t>
            </w:r>
            <w:r>
              <w:rPr/>
              <w:t>Analisis</w:t>
            </w:r>
            <w:r>
              <w:rPr>
                <w:spacing w:val="-2"/>
              </w:rPr>
              <w:t> </w:t>
            </w:r>
            <w:r>
              <w:rPr>
                <w:spacing w:val="-4"/>
              </w:rPr>
              <w:t>Data</w:t>
            </w:r>
            <w:r>
              <w:rPr/>
              <w:tab/>
            </w:r>
            <w:r>
              <w:rPr>
                <w:spacing w:val="-5"/>
              </w:rPr>
              <w:t>58</w:t>
            </w:r>
          </w:hyperlink>
        </w:p>
        <w:p>
          <w:pPr>
            <w:pStyle w:val="TOC5"/>
            <w:numPr>
              <w:ilvl w:val="2"/>
              <w:numId w:val="5"/>
            </w:numPr>
            <w:tabs>
              <w:tab w:pos="1463" w:val="left" w:leader="none"/>
              <w:tab w:pos="8801" w:val="left" w:leader="dot"/>
            </w:tabs>
            <w:spacing w:line="240" w:lineRule="auto" w:before="123" w:after="0"/>
            <w:ind w:left="1463" w:right="0" w:hanging="1001"/>
            <w:jc w:val="left"/>
          </w:pPr>
          <w:hyperlink w:history="true" w:anchor="_bookmark138">
            <w:r>
              <w:rPr/>
              <w:t>Uji Asumsi </w:t>
            </w:r>
            <w:r>
              <w:rPr>
                <w:spacing w:val="-2"/>
              </w:rPr>
              <w:t>Klasik</w:t>
            </w:r>
            <w:r>
              <w:rPr/>
              <w:tab/>
            </w:r>
            <w:r>
              <w:rPr>
                <w:spacing w:val="-5"/>
              </w:rPr>
              <w:t>58</w:t>
            </w:r>
          </w:hyperlink>
        </w:p>
        <w:p>
          <w:pPr>
            <w:pStyle w:val="TOC5"/>
            <w:numPr>
              <w:ilvl w:val="2"/>
              <w:numId w:val="5"/>
            </w:numPr>
            <w:tabs>
              <w:tab w:pos="1463" w:val="left" w:leader="none"/>
              <w:tab w:pos="8801" w:val="left" w:leader="dot"/>
            </w:tabs>
            <w:spacing w:line="240" w:lineRule="auto" w:before="122" w:after="0"/>
            <w:ind w:left="1463" w:right="0" w:hanging="1001"/>
            <w:jc w:val="left"/>
          </w:pPr>
          <w:hyperlink w:history="true" w:anchor="_bookmark139">
            <w:r>
              <w:rPr/>
              <w:t>Uji </w:t>
            </w:r>
            <w:r>
              <w:rPr>
                <w:spacing w:val="-2"/>
              </w:rPr>
              <w:t>Hipotesis</w:t>
            </w:r>
            <w:r>
              <w:rPr/>
              <w:tab/>
            </w:r>
            <w:r>
              <w:rPr>
                <w:spacing w:val="-5"/>
              </w:rPr>
              <w:t>59</w:t>
            </w:r>
          </w:hyperlink>
        </w:p>
        <w:p>
          <w:pPr>
            <w:pStyle w:val="TOC5"/>
            <w:numPr>
              <w:ilvl w:val="2"/>
              <w:numId w:val="5"/>
            </w:numPr>
            <w:tabs>
              <w:tab w:pos="1463" w:val="left" w:leader="none"/>
              <w:tab w:pos="8801" w:val="left" w:leader="dot"/>
            </w:tabs>
            <w:spacing w:line="240" w:lineRule="auto" w:before="123" w:after="0"/>
            <w:ind w:left="1463" w:right="0" w:hanging="1001"/>
            <w:jc w:val="left"/>
          </w:pPr>
          <w:hyperlink w:history="true" w:anchor="_bookmark140">
            <w:r>
              <w:rPr/>
              <w:t>Uji</w:t>
            </w:r>
            <w:r>
              <w:rPr>
                <w:spacing w:val="-2"/>
              </w:rPr>
              <w:t> </w:t>
            </w:r>
            <w:r>
              <w:rPr/>
              <w:t>Analisis</w:t>
            </w:r>
            <w:r>
              <w:rPr>
                <w:spacing w:val="-2"/>
              </w:rPr>
              <w:t> </w:t>
            </w:r>
            <w:r>
              <w:rPr/>
              <w:t>Regresi</w:t>
            </w:r>
            <w:r>
              <w:rPr>
                <w:spacing w:val="-2"/>
              </w:rPr>
              <w:t> </w:t>
            </w:r>
            <w:r>
              <w:rPr/>
              <w:t>Linear</w:t>
            </w:r>
            <w:r>
              <w:rPr>
                <w:spacing w:val="-2"/>
              </w:rPr>
              <w:t> Berganda</w:t>
            </w:r>
            <w:r>
              <w:rPr/>
              <w:tab/>
            </w:r>
            <w:r>
              <w:rPr>
                <w:spacing w:val="-5"/>
              </w:rPr>
              <w:t>60</w:t>
            </w:r>
          </w:hyperlink>
        </w:p>
        <w:p>
          <w:pPr>
            <w:pStyle w:val="TOC1"/>
            <w:tabs>
              <w:tab w:pos="8801" w:val="left" w:leader="dot"/>
            </w:tabs>
            <w:spacing w:before="120"/>
          </w:pPr>
          <w:hyperlink w:history="true" w:anchor="_bookmark141">
            <w:r>
              <w:rPr/>
              <w:t>BAB </w:t>
            </w:r>
            <w:r>
              <w:rPr>
                <w:spacing w:val="-5"/>
              </w:rPr>
              <w:t>IV</w:t>
            </w:r>
            <w:r>
              <w:rPr/>
              <w:tab/>
            </w:r>
            <w:r>
              <w:rPr>
                <w:spacing w:val="-5"/>
              </w:rPr>
              <w:t>62</w:t>
            </w:r>
          </w:hyperlink>
        </w:p>
        <w:p>
          <w:pPr>
            <w:pStyle w:val="TOC1"/>
            <w:tabs>
              <w:tab w:pos="8801" w:val="left" w:leader="dot"/>
            </w:tabs>
          </w:pPr>
          <w:hyperlink w:history="true" w:anchor="_bookmark142">
            <w:r>
              <w:rPr/>
              <w:t>HASIL</w:t>
            </w:r>
            <w:r>
              <w:rPr>
                <w:spacing w:val="-7"/>
              </w:rPr>
              <w:t> </w:t>
            </w:r>
            <w:r>
              <w:rPr/>
              <w:t>PENELITIAN</w:t>
            </w:r>
            <w:r>
              <w:rPr>
                <w:spacing w:val="-5"/>
              </w:rPr>
              <w:t> </w:t>
            </w:r>
            <w:r>
              <w:rPr/>
              <w:t>DAN</w:t>
            </w:r>
            <w:r>
              <w:rPr>
                <w:spacing w:val="-4"/>
              </w:rPr>
              <w:t> </w:t>
            </w:r>
            <w:r>
              <w:rPr>
                <w:spacing w:val="-2"/>
              </w:rPr>
              <w:t>PEMBAHASAN</w:t>
            </w:r>
            <w:r>
              <w:rPr/>
              <w:tab/>
            </w:r>
            <w:r>
              <w:rPr>
                <w:spacing w:val="-5"/>
              </w:rPr>
              <w:t>62</w:t>
            </w:r>
          </w:hyperlink>
        </w:p>
        <w:p>
          <w:pPr>
            <w:pStyle w:val="TOC4"/>
            <w:numPr>
              <w:ilvl w:val="1"/>
              <w:numId w:val="6"/>
            </w:numPr>
            <w:tabs>
              <w:tab w:pos="983" w:val="left" w:leader="none"/>
              <w:tab w:pos="8801" w:val="left" w:leader="dot"/>
            </w:tabs>
            <w:spacing w:line="240" w:lineRule="auto" w:before="123" w:after="0"/>
            <w:ind w:left="983" w:right="0" w:hanging="739"/>
            <w:jc w:val="left"/>
          </w:pPr>
          <w:hyperlink w:history="true" w:anchor="_bookmark143">
            <w:r>
              <w:rPr/>
              <w:t>Penyajian</w:t>
            </w:r>
            <w:r>
              <w:rPr>
                <w:spacing w:val="-5"/>
              </w:rPr>
              <w:t> </w:t>
            </w:r>
            <w:r>
              <w:rPr>
                <w:spacing w:val="-4"/>
              </w:rPr>
              <w:t>Data</w:t>
            </w:r>
            <w:r>
              <w:rPr/>
              <w:tab/>
            </w:r>
            <w:r>
              <w:rPr>
                <w:spacing w:val="-5"/>
              </w:rPr>
              <w:t>62</w:t>
            </w:r>
          </w:hyperlink>
        </w:p>
        <w:p>
          <w:pPr>
            <w:pStyle w:val="TOC4"/>
            <w:numPr>
              <w:ilvl w:val="1"/>
              <w:numId w:val="6"/>
            </w:numPr>
            <w:tabs>
              <w:tab w:pos="983" w:val="left" w:leader="none"/>
              <w:tab w:pos="8801" w:val="left" w:leader="dot"/>
            </w:tabs>
            <w:spacing w:line="240" w:lineRule="auto" w:before="122" w:after="0"/>
            <w:ind w:left="983" w:right="0" w:hanging="739"/>
            <w:jc w:val="left"/>
          </w:pPr>
          <w:hyperlink w:history="true" w:anchor="_bookmark144">
            <w:r>
              <w:rPr/>
              <w:t>Analisis</w:t>
            </w:r>
            <w:r>
              <w:rPr>
                <w:spacing w:val="-3"/>
              </w:rPr>
              <w:t> </w:t>
            </w:r>
            <w:r>
              <w:rPr/>
              <w:t>Data</w:t>
            </w:r>
            <w:r>
              <w:rPr>
                <w:spacing w:val="-3"/>
              </w:rPr>
              <w:t> </w:t>
            </w:r>
            <w:r>
              <w:rPr/>
              <w:t>dan</w:t>
            </w:r>
            <w:r>
              <w:rPr>
                <w:spacing w:val="-2"/>
              </w:rPr>
              <w:t> </w:t>
            </w:r>
            <w:r>
              <w:rPr/>
              <w:t>Interpretasi</w:t>
            </w:r>
            <w:r>
              <w:rPr>
                <w:spacing w:val="-2"/>
              </w:rPr>
              <w:t> </w:t>
            </w:r>
            <w:r>
              <w:rPr>
                <w:spacing w:val="-4"/>
              </w:rPr>
              <w:t>Data</w:t>
            </w:r>
            <w:r>
              <w:rPr/>
              <w:tab/>
            </w:r>
            <w:r>
              <w:rPr>
                <w:spacing w:val="-5"/>
              </w:rPr>
              <w:t>62</w:t>
            </w:r>
          </w:hyperlink>
        </w:p>
        <w:p>
          <w:pPr>
            <w:pStyle w:val="TOC5"/>
            <w:numPr>
              <w:ilvl w:val="2"/>
              <w:numId w:val="6"/>
            </w:numPr>
            <w:tabs>
              <w:tab w:pos="1463" w:val="left" w:leader="none"/>
              <w:tab w:pos="8801" w:val="left" w:leader="dot"/>
            </w:tabs>
            <w:spacing w:line="240" w:lineRule="auto" w:before="123" w:after="0"/>
            <w:ind w:left="1463" w:right="0" w:hanging="1001"/>
            <w:jc w:val="left"/>
          </w:pPr>
          <w:hyperlink w:history="true" w:anchor="_bookmark145">
            <w:r>
              <w:rPr/>
              <w:t>Statistik</w:t>
            </w:r>
            <w:r>
              <w:rPr>
                <w:spacing w:val="1"/>
              </w:rPr>
              <w:t> </w:t>
            </w:r>
            <w:r>
              <w:rPr>
                <w:spacing w:val="-2"/>
              </w:rPr>
              <w:t>Deskriptif</w:t>
            </w:r>
            <w:r>
              <w:rPr/>
              <w:tab/>
            </w:r>
            <w:r>
              <w:rPr>
                <w:spacing w:val="-5"/>
              </w:rPr>
              <w:t>62</w:t>
            </w:r>
          </w:hyperlink>
        </w:p>
        <w:p>
          <w:pPr>
            <w:pStyle w:val="TOC5"/>
            <w:numPr>
              <w:ilvl w:val="2"/>
              <w:numId w:val="6"/>
            </w:numPr>
            <w:tabs>
              <w:tab w:pos="1463" w:val="left" w:leader="none"/>
              <w:tab w:pos="8801" w:val="left" w:leader="dot"/>
            </w:tabs>
            <w:spacing w:line="240" w:lineRule="auto" w:before="120" w:after="0"/>
            <w:ind w:left="1463" w:right="0" w:hanging="1001"/>
            <w:jc w:val="left"/>
          </w:pPr>
          <w:hyperlink w:history="true" w:anchor="_bookmark148">
            <w:r>
              <w:rPr/>
              <w:t>Uji Asumsi </w:t>
            </w:r>
            <w:r>
              <w:rPr>
                <w:spacing w:val="-2"/>
              </w:rPr>
              <w:t>Klasik</w:t>
            </w:r>
            <w:r>
              <w:rPr/>
              <w:tab/>
            </w:r>
            <w:r>
              <w:rPr>
                <w:spacing w:val="-5"/>
              </w:rPr>
              <w:t>64</w:t>
            </w:r>
          </w:hyperlink>
        </w:p>
        <w:p>
          <w:pPr>
            <w:pStyle w:val="TOC5"/>
            <w:numPr>
              <w:ilvl w:val="2"/>
              <w:numId w:val="6"/>
            </w:numPr>
            <w:tabs>
              <w:tab w:pos="1463" w:val="left" w:leader="none"/>
              <w:tab w:pos="8801" w:val="left" w:leader="dot"/>
            </w:tabs>
            <w:spacing w:line="240" w:lineRule="auto" w:before="122" w:after="0"/>
            <w:ind w:left="1463" w:right="0" w:hanging="1001"/>
            <w:jc w:val="left"/>
          </w:pPr>
          <w:hyperlink w:history="true" w:anchor="_bookmark157">
            <w:r>
              <w:rPr/>
              <w:t>Uji </w:t>
            </w:r>
            <w:r>
              <w:rPr>
                <w:spacing w:val="-2"/>
              </w:rPr>
              <w:t>Hipotesis</w:t>
            </w:r>
            <w:r>
              <w:rPr/>
              <w:tab/>
            </w:r>
            <w:r>
              <w:rPr>
                <w:spacing w:val="-5"/>
              </w:rPr>
              <w:t>67</w:t>
            </w:r>
          </w:hyperlink>
        </w:p>
        <w:p>
          <w:pPr>
            <w:pStyle w:val="TOC5"/>
            <w:numPr>
              <w:ilvl w:val="2"/>
              <w:numId w:val="6"/>
            </w:numPr>
            <w:tabs>
              <w:tab w:pos="1463" w:val="left" w:leader="none"/>
              <w:tab w:pos="8801" w:val="left" w:leader="dot"/>
            </w:tabs>
            <w:spacing w:line="240" w:lineRule="auto" w:before="123" w:after="0"/>
            <w:ind w:left="1463" w:right="0" w:hanging="1001"/>
            <w:jc w:val="left"/>
          </w:pPr>
          <w:hyperlink w:history="true" w:anchor="_bookmark160">
            <w:r>
              <w:rPr/>
              <w:t>Uji</w:t>
            </w:r>
            <w:r>
              <w:rPr>
                <w:spacing w:val="-2"/>
              </w:rPr>
              <w:t> </w:t>
            </w:r>
            <w:r>
              <w:rPr/>
              <w:t>Analisis</w:t>
            </w:r>
            <w:r>
              <w:rPr>
                <w:spacing w:val="-2"/>
              </w:rPr>
              <w:t> </w:t>
            </w:r>
            <w:r>
              <w:rPr/>
              <w:t>Regresi</w:t>
            </w:r>
            <w:r>
              <w:rPr>
                <w:spacing w:val="-2"/>
              </w:rPr>
              <w:t> </w:t>
            </w:r>
            <w:r>
              <w:rPr/>
              <w:t>Linear</w:t>
            </w:r>
            <w:r>
              <w:rPr>
                <w:spacing w:val="-2"/>
              </w:rPr>
              <w:t> Berganda</w:t>
            </w:r>
            <w:r>
              <w:rPr/>
              <w:tab/>
            </w:r>
            <w:r>
              <w:rPr>
                <w:spacing w:val="-5"/>
              </w:rPr>
              <w:t>70</w:t>
            </w:r>
          </w:hyperlink>
        </w:p>
        <w:p>
          <w:pPr>
            <w:pStyle w:val="TOC4"/>
            <w:numPr>
              <w:ilvl w:val="1"/>
              <w:numId w:val="6"/>
            </w:numPr>
            <w:tabs>
              <w:tab w:pos="983" w:val="left" w:leader="none"/>
              <w:tab w:pos="8801" w:val="left" w:leader="dot"/>
            </w:tabs>
            <w:spacing w:line="240" w:lineRule="auto" w:before="122" w:after="240"/>
            <w:ind w:left="983" w:right="0" w:hanging="739"/>
            <w:jc w:val="left"/>
          </w:pPr>
          <w:hyperlink w:history="true" w:anchor="_bookmark161">
            <w:r>
              <w:rPr/>
              <w:t>Hasil</w:t>
            </w:r>
            <w:r>
              <w:rPr>
                <w:spacing w:val="-1"/>
              </w:rPr>
              <w:t> </w:t>
            </w:r>
            <w:r>
              <w:rPr/>
              <w:t>dan</w:t>
            </w:r>
            <w:r>
              <w:rPr>
                <w:spacing w:val="-1"/>
              </w:rPr>
              <w:t> </w:t>
            </w:r>
            <w:r>
              <w:rPr>
                <w:spacing w:val="-2"/>
              </w:rPr>
              <w:t>Pembahasan</w:t>
            </w:r>
            <w:r>
              <w:rPr/>
              <w:tab/>
            </w:r>
            <w:r>
              <w:rPr>
                <w:spacing w:val="-7"/>
              </w:rPr>
              <w:t>71</w:t>
            </w:r>
          </w:hyperlink>
        </w:p>
        <w:p>
          <w:pPr>
            <w:pStyle w:val="TOC5"/>
            <w:numPr>
              <w:ilvl w:val="2"/>
              <w:numId w:val="6"/>
            </w:numPr>
            <w:tabs>
              <w:tab w:pos="1463" w:val="left" w:leader="none"/>
            </w:tabs>
            <w:spacing w:line="259" w:lineRule="auto" w:before="61" w:after="0"/>
            <w:ind w:left="462" w:right="776" w:firstLine="0"/>
            <w:jc w:val="left"/>
          </w:pPr>
          <w:hyperlink w:history="true" w:anchor="_bookmark162">
            <w:r>
              <w:rPr/>
              <w:t>Pengaruh</w:t>
            </w:r>
            <w:r>
              <w:rPr>
                <w:spacing w:val="-6"/>
              </w:rPr>
              <w:t> </w:t>
            </w:r>
            <w:r>
              <w:rPr/>
              <w:t>Indeks</w:t>
            </w:r>
            <w:r>
              <w:rPr>
                <w:spacing w:val="-5"/>
              </w:rPr>
              <w:t> </w:t>
            </w:r>
            <w:r>
              <w:rPr/>
              <w:t>Keyakinan</w:t>
            </w:r>
            <w:r>
              <w:rPr>
                <w:spacing w:val="-7"/>
              </w:rPr>
              <w:t> </w:t>
            </w:r>
            <w:r>
              <w:rPr/>
              <w:t>Konsumen</w:t>
            </w:r>
            <w:r>
              <w:rPr>
                <w:spacing w:val="-7"/>
              </w:rPr>
              <w:t> </w:t>
            </w:r>
            <w:r>
              <w:rPr/>
              <w:t>Terhadap</w:t>
            </w:r>
            <w:r>
              <w:rPr>
                <w:spacing w:val="-5"/>
              </w:rPr>
              <w:t> </w:t>
            </w:r>
            <w:r>
              <w:rPr/>
              <w:t>Indeks</w:t>
            </w:r>
            <w:r>
              <w:rPr>
                <w:spacing w:val="-8"/>
              </w:rPr>
              <w:t> </w:t>
            </w:r>
            <w:r>
              <w:rPr/>
              <w:t>Saham</w:t>
            </w:r>
            <w:r>
              <w:rPr>
                <w:spacing w:val="-7"/>
              </w:rPr>
              <w:t> </w:t>
            </w:r>
            <w:r>
              <w:rPr/>
              <w:t>Syariah</w:t>
            </w:r>
          </w:hyperlink>
          <w:r>
            <w:rPr/>
            <w:t> </w:t>
          </w:r>
          <w:hyperlink w:history="true" w:anchor="_bookmark162">
            <w:r>
              <w:rPr/>
              <w:t>Indonesia 71</w:t>
            </w:r>
          </w:hyperlink>
        </w:p>
        <w:p>
          <w:pPr>
            <w:pStyle w:val="TOC5"/>
            <w:numPr>
              <w:ilvl w:val="2"/>
              <w:numId w:val="6"/>
            </w:numPr>
            <w:tabs>
              <w:tab w:pos="1463" w:val="left" w:leader="none"/>
              <w:tab w:pos="8801" w:val="left" w:leader="dot"/>
            </w:tabs>
            <w:spacing w:line="240" w:lineRule="auto" w:before="101" w:after="0"/>
            <w:ind w:left="1463" w:right="0" w:hanging="1001"/>
            <w:jc w:val="left"/>
          </w:pPr>
          <w:hyperlink w:history="true" w:anchor="_bookmark163">
            <w:r>
              <w:rPr/>
              <w:t>Pengaruh</w:t>
            </w:r>
            <w:r>
              <w:rPr>
                <w:spacing w:val="-4"/>
              </w:rPr>
              <w:t> </w:t>
            </w:r>
            <w:r>
              <w:rPr/>
              <w:t>Nilai</w:t>
            </w:r>
            <w:r>
              <w:rPr>
                <w:spacing w:val="-2"/>
              </w:rPr>
              <w:t> </w:t>
            </w:r>
            <w:r>
              <w:rPr/>
              <w:t>Tukar</w:t>
            </w:r>
            <w:r>
              <w:rPr>
                <w:spacing w:val="-1"/>
              </w:rPr>
              <w:t> </w:t>
            </w:r>
            <w:r>
              <w:rPr/>
              <w:t>Terhadap</w:t>
            </w:r>
            <w:r>
              <w:rPr>
                <w:spacing w:val="-1"/>
              </w:rPr>
              <w:t> </w:t>
            </w:r>
            <w:r>
              <w:rPr/>
              <w:t>Indeks</w:t>
            </w:r>
            <w:r>
              <w:rPr>
                <w:spacing w:val="-2"/>
              </w:rPr>
              <w:t> </w:t>
            </w:r>
            <w:r>
              <w:rPr/>
              <w:t>Saham</w:t>
            </w:r>
            <w:r>
              <w:rPr>
                <w:spacing w:val="-2"/>
              </w:rPr>
              <w:t> </w:t>
            </w:r>
            <w:r>
              <w:rPr/>
              <w:t>Syariah </w:t>
            </w:r>
            <w:r>
              <w:rPr>
                <w:spacing w:val="-2"/>
              </w:rPr>
              <w:t>Indonesia</w:t>
            </w:r>
            <w:r>
              <w:rPr/>
              <w:tab/>
            </w:r>
            <w:r>
              <w:rPr>
                <w:spacing w:val="-5"/>
              </w:rPr>
              <w:t>72</w:t>
            </w:r>
          </w:hyperlink>
        </w:p>
        <w:p>
          <w:pPr>
            <w:pStyle w:val="TOC5"/>
            <w:numPr>
              <w:ilvl w:val="2"/>
              <w:numId w:val="6"/>
            </w:numPr>
            <w:tabs>
              <w:tab w:pos="1463" w:val="left" w:leader="none"/>
              <w:tab w:pos="8801" w:val="left" w:leader="dot"/>
            </w:tabs>
            <w:spacing w:line="240" w:lineRule="auto" w:before="122" w:after="0"/>
            <w:ind w:left="1463" w:right="0" w:hanging="1001"/>
            <w:jc w:val="left"/>
          </w:pPr>
          <w:hyperlink w:history="true" w:anchor="_bookmark165">
            <w:r>
              <w:rPr/>
              <w:t>Pengaruh</w:t>
            </w:r>
            <w:r>
              <w:rPr>
                <w:spacing w:val="-4"/>
              </w:rPr>
              <w:t> </w:t>
            </w:r>
            <w:r>
              <w:rPr/>
              <w:t>Inflasi</w:t>
            </w:r>
            <w:r>
              <w:rPr>
                <w:spacing w:val="-2"/>
              </w:rPr>
              <w:t> </w:t>
            </w:r>
            <w:r>
              <w:rPr/>
              <w:t>Terhadap</w:t>
            </w:r>
            <w:r>
              <w:rPr>
                <w:spacing w:val="-2"/>
              </w:rPr>
              <w:t> </w:t>
            </w:r>
            <w:r>
              <w:rPr/>
              <w:t>Indeks</w:t>
            </w:r>
            <w:r>
              <w:rPr>
                <w:spacing w:val="-4"/>
              </w:rPr>
              <w:t> </w:t>
            </w:r>
            <w:r>
              <w:rPr/>
              <w:t>Saham</w:t>
            </w:r>
            <w:r>
              <w:rPr>
                <w:spacing w:val="-2"/>
              </w:rPr>
              <w:t> </w:t>
            </w:r>
            <w:r>
              <w:rPr/>
              <w:t>Syariah </w:t>
            </w:r>
            <w:r>
              <w:rPr>
                <w:spacing w:val="-2"/>
              </w:rPr>
              <w:t>Indonesia</w:t>
            </w:r>
            <w:r>
              <w:rPr/>
              <w:tab/>
            </w:r>
            <w:r>
              <w:rPr>
                <w:spacing w:val="-5"/>
              </w:rPr>
              <w:t>73</w:t>
            </w:r>
          </w:hyperlink>
        </w:p>
        <w:p>
          <w:pPr>
            <w:pStyle w:val="TOC5"/>
            <w:numPr>
              <w:ilvl w:val="2"/>
              <w:numId w:val="6"/>
            </w:numPr>
            <w:tabs>
              <w:tab w:pos="1463" w:val="left" w:leader="none"/>
            </w:tabs>
            <w:spacing w:line="259" w:lineRule="auto" w:before="120" w:after="0"/>
            <w:ind w:left="1463" w:right="260" w:hanging="1001"/>
            <w:jc w:val="left"/>
          </w:pPr>
          <w:hyperlink w:history="true" w:anchor="_bookmark168">
            <w:r>
              <w:rPr/>
              <w:t>Pengaruh</w:t>
            </w:r>
            <w:r>
              <w:rPr>
                <w:spacing w:val="-5"/>
              </w:rPr>
              <w:t> </w:t>
            </w:r>
            <w:r>
              <w:rPr/>
              <w:t>Indeks</w:t>
            </w:r>
            <w:r>
              <w:rPr>
                <w:spacing w:val="-6"/>
              </w:rPr>
              <w:t> </w:t>
            </w:r>
            <w:r>
              <w:rPr/>
              <w:t>Produksi</w:t>
            </w:r>
            <w:r>
              <w:rPr>
                <w:spacing w:val="-5"/>
              </w:rPr>
              <w:t> </w:t>
            </w:r>
            <w:r>
              <w:rPr/>
              <w:t>Industri</w:t>
            </w:r>
            <w:r>
              <w:rPr>
                <w:spacing w:val="-5"/>
              </w:rPr>
              <w:t> </w:t>
            </w:r>
            <w:r>
              <w:rPr/>
              <w:t>Terhadap</w:t>
            </w:r>
            <w:r>
              <w:rPr>
                <w:spacing w:val="-4"/>
              </w:rPr>
              <w:t> </w:t>
            </w:r>
            <w:r>
              <w:rPr/>
              <w:t>Indeks</w:t>
            </w:r>
            <w:r>
              <w:rPr>
                <w:spacing w:val="-6"/>
              </w:rPr>
              <w:t> </w:t>
            </w:r>
            <w:r>
              <w:rPr/>
              <w:t>Saham</w:t>
            </w:r>
            <w:r>
              <w:rPr>
                <w:spacing w:val="-5"/>
              </w:rPr>
              <w:t> </w:t>
            </w:r>
            <w:r>
              <w:rPr/>
              <w:t>Syariah</w:t>
            </w:r>
            <w:r>
              <w:rPr>
                <w:spacing w:val="-4"/>
              </w:rPr>
              <w:t> </w:t>
            </w:r>
            <w:r>
              <w:rPr/>
              <w:t>Indonesia</w:t>
            </w:r>
          </w:hyperlink>
          <w:r>
            <w:rPr/>
            <w:t> </w:t>
          </w:r>
          <w:hyperlink w:history="true" w:anchor="_bookmark168">
            <w:r>
              <w:rPr>
                <w:spacing w:val="-6"/>
              </w:rPr>
              <w:t>75</w:t>
            </w:r>
          </w:hyperlink>
        </w:p>
        <w:p>
          <w:pPr>
            <w:pStyle w:val="TOC1"/>
            <w:tabs>
              <w:tab w:pos="8801" w:val="left" w:leader="dot"/>
            </w:tabs>
            <w:spacing w:before="100"/>
          </w:pPr>
          <w:hyperlink w:history="true" w:anchor="_bookmark173">
            <w:r>
              <w:rPr/>
              <w:t>BAB </w:t>
            </w:r>
            <w:r>
              <w:rPr>
                <w:spacing w:val="-10"/>
              </w:rPr>
              <w:t>V</w:t>
            </w:r>
            <w:r>
              <w:rPr/>
              <w:tab/>
            </w:r>
            <w:r>
              <w:rPr>
                <w:spacing w:val="-5"/>
              </w:rPr>
              <w:t>77</w:t>
            </w:r>
          </w:hyperlink>
        </w:p>
        <w:p>
          <w:pPr>
            <w:pStyle w:val="TOC1"/>
            <w:tabs>
              <w:tab w:pos="8801" w:val="left" w:leader="dot"/>
            </w:tabs>
          </w:pPr>
          <w:hyperlink w:history="true" w:anchor="_bookmark174">
            <w:r>
              <w:rPr>
                <w:spacing w:val="-2"/>
              </w:rPr>
              <w:t>PENUTUP</w:t>
            </w:r>
            <w:r>
              <w:rPr/>
              <w:tab/>
            </w:r>
            <w:r>
              <w:rPr>
                <w:spacing w:val="-5"/>
              </w:rPr>
              <w:t>77</w:t>
            </w:r>
          </w:hyperlink>
        </w:p>
        <w:p>
          <w:pPr>
            <w:pStyle w:val="TOC4"/>
            <w:numPr>
              <w:ilvl w:val="1"/>
              <w:numId w:val="7"/>
            </w:numPr>
            <w:tabs>
              <w:tab w:pos="983" w:val="left" w:leader="none"/>
              <w:tab w:pos="8801" w:val="left" w:leader="dot"/>
            </w:tabs>
            <w:spacing w:line="240" w:lineRule="auto" w:before="123" w:after="0"/>
            <w:ind w:left="983" w:right="0" w:hanging="739"/>
            <w:jc w:val="left"/>
          </w:pPr>
          <w:hyperlink w:history="true" w:anchor="_bookmark175">
            <w:r>
              <w:rPr>
                <w:spacing w:val="-2"/>
              </w:rPr>
              <w:t>Kesimpulan</w:t>
            </w:r>
            <w:r>
              <w:rPr/>
              <w:tab/>
            </w:r>
            <w:r>
              <w:rPr>
                <w:spacing w:val="-5"/>
              </w:rPr>
              <w:t>77</w:t>
            </w:r>
          </w:hyperlink>
        </w:p>
        <w:p>
          <w:pPr>
            <w:pStyle w:val="TOC4"/>
            <w:numPr>
              <w:ilvl w:val="1"/>
              <w:numId w:val="7"/>
            </w:numPr>
            <w:tabs>
              <w:tab w:pos="983" w:val="left" w:leader="none"/>
              <w:tab w:pos="8801" w:val="left" w:leader="dot"/>
            </w:tabs>
            <w:spacing w:line="240" w:lineRule="auto" w:before="122" w:after="0"/>
            <w:ind w:left="983" w:right="0" w:hanging="739"/>
            <w:jc w:val="left"/>
          </w:pPr>
          <w:hyperlink w:history="true" w:anchor="_bookmark176">
            <w:r>
              <w:rPr>
                <w:spacing w:val="-2"/>
              </w:rPr>
              <w:t>Saran</w:t>
            </w:r>
            <w:r>
              <w:rPr/>
              <w:tab/>
            </w:r>
            <w:r>
              <w:rPr>
                <w:spacing w:val="-5"/>
              </w:rPr>
              <w:t>78</w:t>
            </w:r>
          </w:hyperlink>
        </w:p>
        <w:p>
          <w:pPr>
            <w:pStyle w:val="TOC1"/>
            <w:tabs>
              <w:tab w:pos="8801" w:val="left" w:leader="dot"/>
            </w:tabs>
            <w:spacing w:before="121"/>
          </w:pPr>
          <w:hyperlink w:history="true" w:anchor="_bookmark177">
            <w:r>
              <w:rPr/>
              <w:t>DAFTAR</w:t>
            </w:r>
            <w:r>
              <w:rPr>
                <w:spacing w:val="-6"/>
              </w:rPr>
              <w:t> </w:t>
            </w:r>
            <w:r>
              <w:rPr>
                <w:spacing w:val="-2"/>
              </w:rPr>
              <w:t>PUSTAKA</w:t>
            </w:r>
            <w:r>
              <w:rPr/>
              <w:tab/>
            </w:r>
            <w:r>
              <w:rPr>
                <w:spacing w:val="-5"/>
              </w:rPr>
              <w:t>79</w:t>
            </w:r>
          </w:hyperlink>
        </w:p>
        <w:p>
          <w:pPr>
            <w:pStyle w:val="TOC1"/>
            <w:tabs>
              <w:tab w:pos="8801" w:val="left" w:leader="dot"/>
            </w:tabs>
          </w:pPr>
          <w:hyperlink w:history="true" w:anchor="_bookmark178">
            <w:r>
              <w:rPr>
                <w:spacing w:val="-2"/>
              </w:rPr>
              <w:t>LAMPIRAN</w:t>
            </w:r>
            <w:r>
              <w:rPr/>
              <w:tab/>
            </w:r>
            <w:r>
              <w:rPr>
                <w:spacing w:val="-5"/>
              </w:rPr>
              <w:t>86</w:t>
            </w:r>
          </w:hyperlink>
        </w:p>
        <w:p>
          <w:pPr>
            <w:pStyle w:val="TOC1"/>
            <w:tabs>
              <w:tab w:pos="8801" w:val="left" w:leader="dot"/>
            </w:tabs>
            <w:spacing w:before="123"/>
          </w:pPr>
          <w:hyperlink w:history="true" w:anchor="_bookmark179">
            <w:r>
              <w:rPr/>
              <w:t>DAFTAR</w:t>
            </w:r>
            <w:r>
              <w:rPr>
                <w:spacing w:val="-5"/>
              </w:rPr>
              <w:t> </w:t>
            </w:r>
            <w:r>
              <w:rPr/>
              <w:t>RIWAYAT</w:t>
            </w:r>
            <w:r>
              <w:rPr>
                <w:spacing w:val="-5"/>
              </w:rPr>
              <w:t> </w:t>
            </w:r>
            <w:r>
              <w:rPr>
                <w:spacing w:val="-2"/>
              </w:rPr>
              <w:t>HIDUP</w:t>
            </w:r>
            <w:r>
              <w:rPr/>
              <w:tab/>
            </w:r>
            <w:r>
              <w:rPr>
                <w:spacing w:val="-5"/>
              </w:rPr>
              <w:t>91</w:t>
            </w:r>
          </w:hyperlink>
        </w:p>
      </w:sdtContent>
    </w:sdt>
    <w:p>
      <w:pPr>
        <w:pStyle w:val="TOC1"/>
        <w:spacing w:after="0"/>
        <w:sectPr>
          <w:type w:val="continuous"/>
          <w:pgSz w:w="11910" w:h="16840"/>
          <w:pgMar w:header="0" w:footer="1000" w:top="1379" w:bottom="1440" w:left="1417" w:right="1275"/>
        </w:sectPr>
      </w:pPr>
    </w:p>
    <w:p>
      <w:pPr>
        <w:spacing w:before="60"/>
        <w:ind w:left="0" w:right="139" w:firstLine="0"/>
        <w:jc w:val="center"/>
        <w:rPr>
          <w:b/>
          <w:sz w:val="24"/>
        </w:rPr>
      </w:pPr>
      <w:r>
        <w:rPr>
          <w:b/>
          <w:sz w:val="24"/>
        </w:rPr>
        <w:t>DAFTAR</w:t>
      </w:r>
      <w:r>
        <w:rPr>
          <w:b/>
          <w:spacing w:val="-6"/>
          <w:sz w:val="24"/>
        </w:rPr>
        <w:t> </w:t>
      </w:r>
      <w:r>
        <w:rPr>
          <w:b/>
          <w:spacing w:val="-2"/>
          <w:sz w:val="24"/>
        </w:rPr>
        <w:t>TABEL</w:t>
      </w:r>
    </w:p>
    <w:p>
      <w:pPr>
        <w:pStyle w:val="BodyText"/>
        <w:rPr>
          <w:b/>
        </w:rPr>
      </w:pPr>
    </w:p>
    <w:p>
      <w:pPr>
        <w:pStyle w:val="BodyText"/>
        <w:spacing w:before="205"/>
        <w:rPr>
          <w:b/>
        </w:rPr>
      </w:pPr>
    </w:p>
    <w:p>
      <w:pPr>
        <w:pStyle w:val="BodyText"/>
        <w:tabs>
          <w:tab w:pos="8811" w:val="left" w:leader="dot"/>
        </w:tabs>
        <w:ind w:left="23"/>
      </w:pPr>
      <w:r>
        <w:rPr/>
        <w:t>Tabel</w:t>
      </w:r>
      <w:r>
        <w:rPr>
          <w:spacing w:val="-5"/>
        </w:rPr>
        <w:t> </w:t>
      </w:r>
      <w:r>
        <w:rPr/>
        <w:t>2.1</w:t>
      </w:r>
      <w:r>
        <w:rPr>
          <w:spacing w:val="-5"/>
        </w:rPr>
        <w:t> </w:t>
      </w:r>
      <w:r>
        <w:rPr/>
        <w:t>Penelitian</w:t>
      </w:r>
      <w:r>
        <w:rPr>
          <w:spacing w:val="-4"/>
        </w:rPr>
        <w:t> </w:t>
      </w:r>
      <w:r>
        <w:rPr>
          <w:spacing w:val="-2"/>
        </w:rPr>
        <w:t>Terdahulu…</w:t>
      </w:r>
      <w:r>
        <w:rPr/>
        <w:tab/>
      </w:r>
      <w:r>
        <w:rPr>
          <w:spacing w:val="-5"/>
        </w:rPr>
        <w:t>41</w:t>
      </w:r>
    </w:p>
    <w:p>
      <w:pPr>
        <w:pStyle w:val="BodyText"/>
        <w:tabs>
          <w:tab w:pos="8783" w:val="left" w:leader="dot"/>
        </w:tabs>
        <w:spacing w:before="182"/>
        <w:ind w:left="23"/>
      </w:pPr>
      <w:r>
        <w:rPr/>
        <w:t>Tabel</w:t>
      </w:r>
      <w:r>
        <w:rPr>
          <w:spacing w:val="-1"/>
        </w:rPr>
        <w:t> </w:t>
      </w:r>
      <w:r>
        <w:rPr/>
        <w:t>4.1 Hasil Uji Statistik</w:t>
      </w:r>
      <w:r>
        <w:rPr>
          <w:spacing w:val="1"/>
        </w:rPr>
        <w:t> </w:t>
      </w:r>
      <w:r>
        <w:rPr>
          <w:spacing w:val="-2"/>
        </w:rPr>
        <w:t>Deskriptif…</w:t>
      </w:r>
      <w:r>
        <w:rPr/>
        <w:tab/>
      </w:r>
      <w:r>
        <w:rPr>
          <w:spacing w:val="-5"/>
        </w:rPr>
        <w:t>62</w:t>
      </w:r>
    </w:p>
    <w:p>
      <w:pPr>
        <w:pStyle w:val="BodyText"/>
        <w:tabs>
          <w:tab w:pos="8808" w:val="left" w:leader="dot"/>
        </w:tabs>
        <w:spacing w:before="180"/>
        <w:ind w:left="23"/>
      </w:pPr>
      <w:r>
        <w:rPr/>
        <w:t>Tabel</w:t>
      </w:r>
      <w:r>
        <w:rPr>
          <w:spacing w:val="-3"/>
        </w:rPr>
        <w:t> </w:t>
      </w:r>
      <w:r>
        <w:rPr/>
        <w:t>4.2</w:t>
      </w:r>
      <w:r>
        <w:rPr>
          <w:spacing w:val="-4"/>
        </w:rPr>
        <w:t> </w:t>
      </w:r>
      <w:r>
        <w:rPr/>
        <w:t>Hasil</w:t>
      </w:r>
      <w:r>
        <w:rPr>
          <w:spacing w:val="-3"/>
        </w:rPr>
        <w:t> </w:t>
      </w:r>
      <w:r>
        <w:rPr/>
        <w:t>Uji</w:t>
      </w:r>
      <w:r>
        <w:rPr>
          <w:spacing w:val="-2"/>
        </w:rPr>
        <w:t> Multikolinieritas…</w:t>
      </w:r>
      <w:r>
        <w:rPr/>
        <w:tab/>
      </w:r>
      <w:r>
        <w:rPr>
          <w:spacing w:val="-5"/>
        </w:rPr>
        <w:t>65</w:t>
      </w:r>
    </w:p>
    <w:p>
      <w:pPr>
        <w:pStyle w:val="BodyText"/>
        <w:tabs>
          <w:tab w:pos="8809" w:val="left" w:leader="dot"/>
        </w:tabs>
        <w:spacing w:before="183"/>
        <w:ind w:left="23"/>
      </w:pPr>
      <w:r>
        <w:rPr/>
        <w:t>Tabel</w:t>
      </w:r>
      <w:r>
        <w:rPr>
          <w:spacing w:val="-15"/>
        </w:rPr>
        <w:t> </w:t>
      </w:r>
      <w:r>
        <w:rPr/>
        <w:t>4.3</w:t>
      </w:r>
      <w:r>
        <w:rPr>
          <w:spacing w:val="-15"/>
        </w:rPr>
        <w:t> </w:t>
      </w:r>
      <w:r>
        <w:rPr/>
        <w:t>Hasil</w:t>
      </w:r>
      <w:r>
        <w:rPr>
          <w:spacing w:val="-15"/>
        </w:rPr>
        <w:t> </w:t>
      </w:r>
      <w:r>
        <w:rPr/>
        <w:t>Uji</w:t>
      </w:r>
      <w:r>
        <w:rPr>
          <w:spacing w:val="-13"/>
        </w:rPr>
        <w:t> </w:t>
      </w:r>
      <w:r>
        <w:rPr>
          <w:spacing w:val="-2"/>
        </w:rPr>
        <w:t>Autokorelasi…</w:t>
      </w:r>
      <w:r>
        <w:rPr/>
        <w:tab/>
      </w:r>
      <w:r>
        <w:rPr>
          <w:spacing w:val="-5"/>
        </w:rPr>
        <w:t>66</w:t>
      </w:r>
    </w:p>
    <w:p>
      <w:pPr>
        <w:pStyle w:val="BodyText"/>
        <w:tabs>
          <w:tab w:pos="8809" w:val="left" w:leader="dot"/>
        </w:tabs>
        <w:spacing w:before="182"/>
        <w:ind w:left="23"/>
      </w:pPr>
      <w:r>
        <w:rPr/>
        <w:t>Tabel</w:t>
      </w:r>
      <w:r>
        <w:rPr>
          <w:spacing w:val="-10"/>
        </w:rPr>
        <w:t> </w:t>
      </w:r>
      <w:r>
        <w:rPr/>
        <w:t>4.4</w:t>
      </w:r>
      <w:r>
        <w:rPr>
          <w:spacing w:val="-11"/>
        </w:rPr>
        <w:t> </w:t>
      </w:r>
      <w:r>
        <w:rPr/>
        <w:t>Hasil</w:t>
      </w:r>
      <w:r>
        <w:rPr>
          <w:spacing w:val="-10"/>
        </w:rPr>
        <w:t> </w:t>
      </w:r>
      <w:r>
        <w:rPr/>
        <w:t>Mengatasi</w:t>
      </w:r>
      <w:r>
        <w:rPr>
          <w:spacing w:val="-10"/>
        </w:rPr>
        <w:t> </w:t>
      </w:r>
      <w:r>
        <w:rPr/>
        <w:t>Permasalahan</w:t>
      </w:r>
      <w:r>
        <w:rPr>
          <w:spacing w:val="-9"/>
        </w:rPr>
        <w:t> </w:t>
      </w:r>
      <w:r>
        <w:rPr>
          <w:spacing w:val="-2"/>
        </w:rPr>
        <w:t>Autokorelasi…</w:t>
      </w:r>
      <w:r>
        <w:rPr/>
        <w:tab/>
      </w:r>
      <w:r>
        <w:rPr>
          <w:spacing w:val="-5"/>
        </w:rPr>
        <w:t>66</w:t>
      </w:r>
    </w:p>
    <w:p>
      <w:pPr>
        <w:pStyle w:val="BodyText"/>
        <w:tabs>
          <w:tab w:pos="8809" w:val="left" w:leader="dot"/>
        </w:tabs>
        <w:spacing w:before="183"/>
        <w:ind w:left="23"/>
      </w:pPr>
      <w:r>
        <w:rPr/>
        <w:t>Tabel</w:t>
      </w:r>
      <w:r>
        <w:rPr>
          <w:spacing w:val="-6"/>
        </w:rPr>
        <w:t> </w:t>
      </w:r>
      <w:r>
        <w:rPr/>
        <w:t>4.5</w:t>
      </w:r>
      <w:r>
        <w:rPr>
          <w:spacing w:val="-4"/>
        </w:rPr>
        <w:t> </w:t>
      </w:r>
      <w:r>
        <w:rPr/>
        <w:t>Hasil</w:t>
      </w:r>
      <w:r>
        <w:rPr>
          <w:spacing w:val="-5"/>
        </w:rPr>
        <w:t> </w:t>
      </w:r>
      <w:r>
        <w:rPr/>
        <w:t>Uji</w:t>
      </w:r>
      <w:r>
        <w:rPr>
          <w:spacing w:val="-6"/>
        </w:rPr>
        <w:t> </w:t>
      </w:r>
      <w:r>
        <w:rPr/>
        <w:t>Koefisien</w:t>
      </w:r>
      <w:r>
        <w:rPr>
          <w:spacing w:val="-6"/>
        </w:rPr>
        <w:t> </w:t>
      </w:r>
      <w:r>
        <w:rPr>
          <w:spacing w:val="-2"/>
        </w:rPr>
        <w:t>Determinasi…</w:t>
      </w:r>
      <w:r>
        <w:rPr/>
        <w:tab/>
      </w:r>
      <w:r>
        <w:rPr>
          <w:spacing w:val="-5"/>
        </w:rPr>
        <w:t>67</w:t>
      </w:r>
    </w:p>
    <w:p>
      <w:pPr>
        <w:pStyle w:val="BodyText"/>
        <w:tabs>
          <w:tab w:pos="8790" w:val="left" w:leader="dot"/>
        </w:tabs>
        <w:spacing w:before="180"/>
        <w:ind w:left="23"/>
      </w:pPr>
      <w:r>
        <w:rPr/>
        <w:t>Tabel</w:t>
      </w:r>
      <w:r>
        <w:rPr>
          <w:spacing w:val="-3"/>
        </w:rPr>
        <w:t> </w:t>
      </w:r>
      <w:r>
        <w:rPr/>
        <w:t>4.6</w:t>
      </w:r>
      <w:r>
        <w:rPr>
          <w:spacing w:val="-1"/>
        </w:rPr>
        <w:t> </w:t>
      </w:r>
      <w:r>
        <w:rPr/>
        <w:t>Hasil Uji</w:t>
      </w:r>
      <w:r>
        <w:rPr>
          <w:spacing w:val="-1"/>
        </w:rPr>
        <w:t> </w:t>
      </w:r>
      <w:r>
        <w:rPr>
          <w:spacing w:val="-5"/>
        </w:rPr>
        <w:t>T…</w:t>
      </w:r>
      <w:r>
        <w:rPr/>
        <w:tab/>
      </w:r>
      <w:r>
        <w:rPr>
          <w:spacing w:val="-5"/>
        </w:rPr>
        <w:t>68</w:t>
      </w:r>
    </w:p>
    <w:p>
      <w:pPr>
        <w:pStyle w:val="BodyText"/>
        <w:tabs>
          <w:tab w:pos="8808" w:val="left" w:leader="dot"/>
        </w:tabs>
        <w:spacing w:before="183"/>
        <w:ind w:left="23"/>
      </w:pPr>
      <w:r>
        <w:rPr/>
        <w:t>Tabel</w:t>
      </w:r>
      <w:r>
        <w:rPr>
          <w:spacing w:val="-4"/>
        </w:rPr>
        <w:t> </w:t>
      </w:r>
      <w:r>
        <w:rPr/>
        <w:t>4.7</w:t>
      </w:r>
      <w:r>
        <w:rPr>
          <w:spacing w:val="-5"/>
        </w:rPr>
        <w:t> </w:t>
      </w:r>
      <w:r>
        <w:rPr/>
        <w:t>Hasil</w:t>
      </w:r>
      <w:r>
        <w:rPr>
          <w:spacing w:val="-3"/>
        </w:rPr>
        <w:t> </w:t>
      </w:r>
      <w:r>
        <w:rPr/>
        <w:t>Analisis</w:t>
      </w:r>
      <w:r>
        <w:rPr>
          <w:spacing w:val="-2"/>
        </w:rPr>
        <w:t> </w:t>
      </w:r>
      <w:r>
        <w:rPr/>
        <w:t>Regresi</w:t>
      </w:r>
      <w:r>
        <w:rPr>
          <w:spacing w:val="-4"/>
        </w:rPr>
        <w:t> </w:t>
      </w:r>
      <w:r>
        <w:rPr/>
        <w:t>Linear</w:t>
      </w:r>
      <w:r>
        <w:rPr>
          <w:spacing w:val="-5"/>
        </w:rPr>
        <w:t> </w:t>
      </w:r>
      <w:r>
        <w:rPr>
          <w:spacing w:val="-2"/>
        </w:rPr>
        <w:t>Berganda</w:t>
      </w:r>
      <w:r>
        <w:rPr/>
        <w:tab/>
      </w:r>
      <w:r>
        <w:rPr>
          <w:spacing w:val="-5"/>
        </w:rPr>
        <w:t>69</w:t>
      </w:r>
    </w:p>
    <w:p>
      <w:pPr>
        <w:pStyle w:val="BodyText"/>
        <w:spacing w:after="0"/>
        <w:sectPr>
          <w:pgSz w:w="11910" w:h="16840"/>
          <w:pgMar w:header="0" w:footer="1000" w:top="1360" w:bottom="1200" w:left="1417" w:right="1275"/>
        </w:sectPr>
      </w:pPr>
    </w:p>
    <w:p>
      <w:pPr>
        <w:pStyle w:val="Heading1"/>
        <w:ind w:left="1579" w:right="1722"/>
      </w:pPr>
      <w:r>
        <w:rPr/>
        <w:t>DAFTAR</w:t>
      </w:r>
      <w:r>
        <w:rPr>
          <w:spacing w:val="-6"/>
        </w:rPr>
        <w:t> </w:t>
      </w:r>
      <w:r>
        <w:rPr>
          <w:spacing w:val="-2"/>
        </w:rPr>
        <w:t>GRAFIK</w:t>
      </w:r>
    </w:p>
    <w:p>
      <w:pPr>
        <w:pStyle w:val="BodyText"/>
        <w:tabs>
          <w:tab w:pos="9051" w:val="right" w:leader="dot"/>
        </w:tabs>
        <w:spacing w:before="298"/>
        <w:ind w:left="23"/>
      </w:pPr>
      <w:r>
        <w:rPr/>
        <w:t>Grafik</w:t>
      </w:r>
      <w:r>
        <w:rPr>
          <w:spacing w:val="-9"/>
        </w:rPr>
        <w:t> </w:t>
      </w:r>
      <w:r>
        <w:rPr/>
        <w:t>1.1</w:t>
      </w:r>
      <w:r>
        <w:rPr>
          <w:spacing w:val="-4"/>
        </w:rPr>
        <w:t> </w:t>
      </w:r>
      <w:r>
        <w:rPr/>
        <w:t>Indeks</w:t>
      </w:r>
      <w:r>
        <w:rPr>
          <w:spacing w:val="-6"/>
        </w:rPr>
        <w:t> </w:t>
      </w:r>
      <w:r>
        <w:rPr/>
        <w:t>Saham</w:t>
      </w:r>
      <w:r>
        <w:rPr>
          <w:spacing w:val="-5"/>
        </w:rPr>
        <w:t> </w:t>
      </w:r>
      <w:r>
        <w:rPr/>
        <w:t>Syariah</w:t>
      </w:r>
      <w:r>
        <w:rPr>
          <w:spacing w:val="-5"/>
        </w:rPr>
        <w:t> </w:t>
      </w:r>
      <w:r>
        <w:rPr>
          <w:spacing w:val="-2"/>
        </w:rPr>
        <w:t>Indonesia.</w:t>
      </w:r>
      <w:r>
        <w:rPr/>
        <w:tab/>
      </w:r>
      <w:r>
        <w:rPr>
          <w:spacing w:val="-10"/>
        </w:rPr>
        <w:t>3</w:t>
      </w:r>
    </w:p>
    <w:p>
      <w:pPr>
        <w:pStyle w:val="BodyText"/>
        <w:tabs>
          <w:tab w:pos="9049" w:val="right" w:leader="dot"/>
        </w:tabs>
        <w:spacing w:before="183"/>
        <w:ind w:left="23"/>
      </w:pPr>
      <w:r>
        <w:rPr/>
        <w:t>Grafik</w:t>
      </w:r>
      <w:r>
        <w:rPr>
          <w:spacing w:val="-9"/>
        </w:rPr>
        <w:t> </w:t>
      </w:r>
      <w:r>
        <w:rPr/>
        <w:t>1.2</w:t>
      </w:r>
      <w:r>
        <w:rPr>
          <w:spacing w:val="-5"/>
        </w:rPr>
        <w:t> </w:t>
      </w:r>
      <w:r>
        <w:rPr/>
        <w:t>Indeks</w:t>
      </w:r>
      <w:r>
        <w:rPr>
          <w:spacing w:val="-7"/>
        </w:rPr>
        <w:t> </w:t>
      </w:r>
      <w:r>
        <w:rPr/>
        <w:t>Keyakinan</w:t>
      </w:r>
      <w:r>
        <w:rPr>
          <w:spacing w:val="-7"/>
        </w:rPr>
        <w:t> </w:t>
      </w:r>
      <w:r>
        <w:rPr>
          <w:spacing w:val="-2"/>
        </w:rPr>
        <w:t>Konsumen</w:t>
      </w:r>
      <w:r>
        <w:rPr/>
        <w:tab/>
      </w:r>
      <w:r>
        <w:rPr>
          <w:spacing w:val="-10"/>
        </w:rPr>
        <w:t>4</w:t>
      </w:r>
    </w:p>
    <w:p>
      <w:pPr>
        <w:pStyle w:val="BodyText"/>
        <w:tabs>
          <w:tab w:pos="9049" w:val="right" w:leader="dot"/>
        </w:tabs>
        <w:spacing w:before="182"/>
        <w:ind w:left="23"/>
      </w:pPr>
      <w:r>
        <w:rPr/>
        <w:t>Grafik</w:t>
      </w:r>
      <w:r>
        <w:rPr>
          <w:spacing w:val="-4"/>
        </w:rPr>
        <w:t> </w:t>
      </w:r>
      <w:r>
        <w:rPr/>
        <w:t>1.3</w:t>
      </w:r>
      <w:r>
        <w:rPr>
          <w:spacing w:val="-1"/>
        </w:rPr>
        <w:t> </w:t>
      </w:r>
      <w:r>
        <w:rPr/>
        <w:t>Nilai</w:t>
      </w:r>
      <w:r>
        <w:rPr>
          <w:spacing w:val="-4"/>
        </w:rPr>
        <w:t> </w:t>
      </w:r>
      <w:r>
        <w:rPr/>
        <w:t>Tukar</w:t>
      </w:r>
      <w:r>
        <w:rPr>
          <w:spacing w:val="-4"/>
        </w:rPr>
        <w:t> </w:t>
      </w:r>
      <w:r>
        <w:rPr>
          <w:spacing w:val="-2"/>
        </w:rPr>
        <w:t>Rupiah…</w:t>
      </w:r>
      <w:r>
        <w:rPr/>
        <w:tab/>
      </w:r>
      <w:r>
        <w:rPr>
          <w:spacing w:val="-12"/>
        </w:rPr>
        <w:t>5</w:t>
      </w:r>
    </w:p>
    <w:p>
      <w:pPr>
        <w:pStyle w:val="BodyText"/>
        <w:tabs>
          <w:tab w:pos="9049" w:val="right" w:leader="dot"/>
        </w:tabs>
        <w:spacing w:before="180"/>
        <w:ind w:left="23"/>
      </w:pPr>
      <w:r>
        <w:rPr/>
        <w:t>Grafik</w:t>
      </w:r>
      <w:r>
        <w:rPr>
          <w:spacing w:val="-10"/>
        </w:rPr>
        <w:t> </w:t>
      </w:r>
      <w:r>
        <w:rPr/>
        <w:t>1.4</w:t>
      </w:r>
      <w:r>
        <w:rPr>
          <w:spacing w:val="-7"/>
        </w:rPr>
        <w:t> </w:t>
      </w:r>
      <w:r>
        <w:rPr/>
        <w:t>Kondisi</w:t>
      </w:r>
      <w:r>
        <w:rPr>
          <w:spacing w:val="-6"/>
        </w:rPr>
        <w:t> </w:t>
      </w:r>
      <w:r>
        <w:rPr/>
        <w:t>Inflasi</w:t>
      </w:r>
      <w:r>
        <w:rPr>
          <w:spacing w:val="-9"/>
        </w:rPr>
        <w:t> </w:t>
      </w:r>
      <w:r>
        <w:rPr/>
        <w:t>di</w:t>
      </w:r>
      <w:r>
        <w:rPr>
          <w:spacing w:val="-8"/>
        </w:rPr>
        <w:t> </w:t>
      </w:r>
      <w:r>
        <w:rPr>
          <w:spacing w:val="-2"/>
        </w:rPr>
        <w:t>Indonesia…</w:t>
      </w:r>
      <w:r>
        <w:rPr/>
        <w:tab/>
      </w:r>
      <w:r>
        <w:rPr>
          <w:spacing w:val="-10"/>
        </w:rPr>
        <w:t>7</w:t>
      </w:r>
    </w:p>
    <w:p>
      <w:pPr>
        <w:pStyle w:val="BodyText"/>
        <w:tabs>
          <w:tab w:pos="9048" w:val="right" w:leader="dot"/>
        </w:tabs>
        <w:spacing w:before="183"/>
        <w:ind w:left="23"/>
      </w:pPr>
      <w:r>
        <w:rPr/>
        <w:t>Grafik</w:t>
      </w:r>
      <w:r>
        <w:rPr>
          <w:spacing w:val="-13"/>
        </w:rPr>
        <w:t> </w:t>
      </w:r>
      <w:r>
        <w:rPr/>
        <w:t>1.5</w:t>
      </w:r>
      <w:r>
        <w:rPr>
          <w:spacing w:val="-10"/>
        </w:rPr>
        <w:t> </w:t>
      </w:r>
      <w:r>
        <w:rPr/>
        <w:t>Indeks</w:t>
      </w:r>
      <w:r>
        <w:rPr>
          <w:spacing w:val="-12"/>
        </w:rPr>
        <w:t> </w:t>
      </w:r>
      <w:r>
        <w:rPr/>
        <w:t>Produksi</w:t>
      </w:r>
      <w:r>
        <w:rPr>
          <w:spacing w:val="-11"/>
        </w:rPr>
        <w:t> </w:t>
      </w:r>
      <w:r>
        <w:rPr/>
        <w:t>Industri</w:t>
      </w:r>
      <w:r>
        <w:rPr>
          <w:spacing w:val="-12"/>
        </w:rPr>
        <w:t> </w:t>
      </w:r>
      <w:r>
        <w:rPr/>
        <w:t>di</w:t>
      </w:r>
      <w:r>
        <w:rPr>
          <w:spacing w:val="-12"/>
        </w:rPr>
        <w:t> </w:t>
      </w:r>
      <w:r>
        <w:rPr>
          <w:spacing w:val="-2"/>
        </w:rPr>
        <w:t>Indonesia…</w:t>
      </w:r>
      <w:r>
        <w:rPr/>
        <w:tab/>
      </w:r>
      <w:r>
        <w:rPr>
          <w:spacing w:val="-10"/>
        </w:rPr>
        <w:t>8</w:t>
      </w:r>
    </w:p>
    <w:p>
      <w:pPr>
        <w:pStyle w:val="BodyText"/>
        <w:spacing w:after="0"/>
        <w:sectPr>
          <w:pgSz w:w="11910" w:h="16840"/>
          <w:pgMar w:header="0" w:footer="1000" w:top="1360" w:bottom="1200" w:left="1417" w:right="1275"/>
        </w:sectPr>
      </w:pPr>
    </w:p>
    <w:p>
      <w:pPr>
        <w:pStyle w:val="Heading1"/>
        <w:ind w:left="0" w:right="139"/>
      </w:pPr>
      <w:r>
        <w:rPr/>
        <w:t>DAFTAR</w:t>
      </w:r>
      <w:r>
        <w:rPr>
          <w:spacing w:val="-6"/>
        </w:rPr>
        <w:t> </w:t>
      </w:r>
      <w:r>
        <w:rPr>
          <w:spacing w:val="-2"/>
        </w:rPr>
        <w:t>GAMBAR</w:t>
      </w:r>
    </w:p>
    <w:p>
      <w:pPr>
        <w:pStyle w:val="BodyText"/>
        <w:tabs>
          <w:tab w:pos="8787" w:val="left" w:leader="dot"/>
        </w:tabs>
        <w:spacing w:before="757"/>
        <w:ind w:right="137"/>
        <w:jc w:val="center"/>
      </w:pPr>
      <w:r>
        <w:rPr/>
        <w:t>Gambar</w:t>
      </w:r>
      <w:r>
        <w:rPr>
          <w:spacing w:val="-15"/>
        </w:rPr>
        <w:t> </w:t>
      </w:r>
      <w:r>
        <w:rPr/>
        <w:t>2.1</w:t>
      </w:r>
      <w:r>
        <w:rPr>
          <w:spacing w:val="-15"/>
        </w:rPr>
        <w:t> </w:t>
      </w:r>
      <w:r>
        <w:rPr/>
        <w:t>Kerangka</w:t>
      </w:r>
      <w:r>
        <w:rPr>
          <w:spacing w:val="-14"/>
        </w:rPr>
        <w:t> </w:t>
      </w:r>
      <w:r>
        <w:rPr>
          <w:spacing w:val="-4"/>
        </w:rPr>
        <w:t>Teori</w:t>
      </w:r>
      <w:r>
        <w:rPr/>
        <w:tab/>
      </w:r>
      <w:r>
        <w:rPr>
          <w:spacing w:val="-5"/>
        </w:rPr>
        <w:t>47</w:t>
      </w:r>
    </w:p>
    <w:p>
      <w:pPr>
        <w:pStyle w:val="BodyText"/>
        <w:tabs>
          <w:tab w:pos="8785" w:val="left" w:leader="dot"/>
        </w:tabs>
        <w:spacing w:before="182"/>
        <w:ind w:right="139"/>
        <w:jc w:val="center"/>
      </w:pPr>
      <w:r>
        <w:rPr/>
        <w:t>Gambar</w:t>
      </w:r>
      <w:r>
        <w:rPr>
          <w:spacing w:val="-15"/>
        </w:rPr>
        <w:t> </w:t>
      </w:r>
      <w:r>
        <w:rPr/>
        <w:t>4.1</w:t>
      </w:r>
      <w:r>
        <w:rPr>
          <w:spacing w:val="-11"/>
        </w:rPr>
        <w:t> </w:t>
      </w:r>
      <w:r>
        <w:rPr/>
        <w:t>Hasil</w:t>
      </w:r>
      <w:r>
        <w:rPr>
          <w:spacing w:val="-12"/>
        </w:rPr>
        <w:t> </w:t>
      </w:r>
      <w:r>
        <w:rPr/>
        <w:t>Uji</w:t>
      </w:r>
      <w:r>
        <w:rPr>
          <w:spacing w:val="-13"/>
        </w:rPr>
        <w:t> </w:t>
      </w:r>
      <w:r>
        <w:rPr>
          <w:spacing w:val="-2"/>
        </w:rPr>
        <w:t>Normalitas…</w:t>
      </w:r>
      <w:r>
        <w:rPr/>
        <w:tab/>
      </w:r>
      <w:r>
        <w:rPr>
          <w:spacing w:val="-5"/>
        </w:rPr>
        <w:t>64</w:t>
      </w:r>
    </w:p>
    <w:p>
      <w:pPr>
        <w:pStyle w:val="BodyText"/>
        <w:spacing w:after="0"/>
        <w:jc w:val="center"/>
        <w:sectPr>
          <w:pgSz w:w="11910" w:h="16840"/>
          <w:pgMar w:header="0" w:footer="1000" w:top="1360" w:bottom="1200" w:left="1417" w:right="1275"/>
        </w:sectPr>
      </w:pPr>
    </w:p>
    <w:p>
      <w:pPr>
        <w:spacing w:line="499" w:lineRule="auto" w:before="60"/>
        <w:ind w:left="3602" w:right="3745" w:firstLine="1"/>
        <w:jc w:val="center"/>
        <w:rPr>
          <w:b/>
          <w:sz w:val="24"/>
        </w:rPr>
      </w:pPr>
      <w:bookmarkStart w:name="_bookmark10" w:id="11"/>
      <w:bookmarkEnd w:id="11"/>
      <w:r>
        <w:rPr/>
      </w:r>
      <w:r>
        <w:rPr>
          <w:b/>
          <w:sz w:val="24"/>
        </w:rPr>
        <w:t>BAB I </w:t>
      </w:r>
      <w:bookmarkStart w:name="_bookmark11" w:id="12"/>
      <w:bookmarkEnd w:id="12"/>
      <w:r>
        <w:rPr>
          <w:b/>
          <w:spacing w:val="-2"/>
          <w:sz w:val="24"/>
        </w:rPr>
        <w:t>PENDA</w:t>
      </w:r>
      <w:r>
        <w:rPr>
          <w:b/>
          <w:spacing w:val="-2"/>
          <w:sz w:val="24"/>
        </w:rPr>
        <w:t>HULUAN</w:t>
      </w:r>
    </w:p>
    <w:p>
      <w:pPr>
        <w:pStyle w:val="Heading2"/>
        <w:numPr>
          <w:ilvl w:val="1"/>
          <w:numId w:val="8"/>
        </w:numPr>
        <w:tabs>
          <w:tab w:pos="383" w:val="left" w:leader="none"/>
        </w:tabs>
        <w:spacing w:line="240" w:lineRule="auto" w:before="0" w:after="0"/>
        <w:ind w:left="383" w:right="0" w:hanging="360"/>
        <w:jc w:val="left"/>
      </w:pPr>
      <w:bookmarkStart w:name="_bookmark12" w:id="13"/>
      <w:bookmarkEnd w:id="13"/>
      <w:r>
        <w:rPr>
          <w:b w:val="0"/>
        </w:rPr>
      </w:r>
      <w:r>
        <w:rPr/>
        <w:t>Latar</w:t>
      </w:r>
      <w:r>
        <w:rPr>
          <w:spacing w:val="-4"/>
        </w:rPr>
        <w:t> </w:t>
      </w:r>
      <w:r>
        <w:rPr/>
        <w:t>Belakang</w:t>
      </w:r>
      <w:r>
        <w:rPr>
          <w:spacing w:val="-1"/>
        </w:rPr>
        <w:t> </w:t>
      </w:r>
      <w:r>
        <w:rPr>
          <w:spacing w:val="-2"/>
        </w:rPr>
        <w:t>Masalah</w:t>
      </w:r>
    </w:p>
    <w:p>
      <w:pPr>
        <w:pStyle w:val="BodyText"/>
        <w:spacing w:before="21"/>
        <w:rPr>
          <w:b/>
        </w:rPr>
      </w:pPr>
    </w:p>
    <w:p>
      <w:pPr>
        <w:pStyle w:val="BodyText"/>
        <w:spacing w:line="360" w:lineRule="auto" w:before="1"/>
        <w:ind w:left="383" w:right="160" w:firstLine="359"/>
        <w:jc w:val="both"/>
      </w:pPr>
      <w:r>
        <w:rPr/>
        <w:t>Pasar modal dinilai mempunyai dampak signifikan atas kondisi ekonomi sebuah negara. Tolok ukur kinerja pembangunan ekonomi diantaranya adalah pasar modal, yang digunakan untuk merefleksikan keseimbangan dalam perekonomian</w:t>
      </w:r>
      <w:hyperlink w:history="true" w:anchor="_bookmark13">
        <w:r>
          <w:rPr/>
          <w:t>.</w:t>
        </w:r>
        <w:r>
          <w:rPr>
            <w:vertAlign w:val="superscript"/>
          </w:rPr>
          <w:t>1</w:t>
        </w:r>
      </w:hyperlink>
      <w:r>
        <w:rPr>
          <w:vertAlign w:val="baseline"/>
        </w:rPr>
        <w:t> Pada dasarnya industri ini mempunyai pengaruh signifikan dalam sistem finansial yang dikelola pemerintah.</w:t>
      </w:r>
      <w:hyperlink w:history="true" w:anchor="_bookmark14">
        <w:r>
          <w:rPr>
            <w:vertAlign w:val="superscript"/>
          </w:rPr>
          <w:t>2</w:t>
        </w:r>
      </w:hyperlink>
      <w:r>
        <w:rPr>
          <w:spacing w:val="-3"/>
          <w:vertAlign w:val="baseline"/>
        </w:rPr>
        <w:t> </w:t>
      </w:r>
      <w:r>
        <w:rPr>
          <w:vertAlign w:val="baseline"/>
        </w:rPr>
        <w:t>Pertama,</w:t>
      </w:r>
      <w:r>
        <w:rPr>
          <w:spacing w:val="-3"/>
          <w:vertAlign w:val="baseline"/>
        </w:rPr>
        <w:t> </w:t>
      </w:r>
      <w:r>
        <w:rPr>
          <w:vertAlign w:val="baseline"/>
        </w:rPr>
        <w:t>sebagai</w:t>
      </w:r>
      <w:r>
        <w:rPr>
          <w:spacing w:val="-3"/>
          <w:vertAlign w:val="baseline"/>
        </w:rPr>
        <w:t> </w:t>
      </w:r>
      <w:r>
        <w:rPr>
          <w:vertAlign w:val="baseline"/>
        </w:rPr>
        <w:t>wadah</w:t>
      </w:r>
      <w:r>
        <w:rPr>
          <w:spacing w:val="-3"/>
          <w:vertAlign w:val="baseline"/>
        </w:rPr>
        <w:t> </w:t>
      </w:r>
      <w:r>
        <w:rPr>
          <w:vertAlign w:val="baseline"/>
        </w:rPr>
        <w:t>pembiayaan</w:t>
      </w:r>
      <w:r>
        <w:rPr>
          <w:spacing w:val="-2"/>
          <w:vertAlign w:val="baseline"/>
        </w:rPr>
        <w:t> </w:t>
      </w:r>
      <w:r>
        <w:rPr>
          <w:vertAlign w:val="baseline"/>
        </w:rPr>
        <w:t>perusahaan</w:t>
      </w:r>
      <w:r>
        <w:rPr>
          <w:spacing w:val="-3"/>
          <w:vertAlign w:val="baseline"/>
        </w:rPr>
        <w:t> </w:t>
      </w:r>
      <w:r>
        <w:rPr>
          <w:vertAlign w:val="baseline"/>
        </w:rPr>
        <w:t>atau</w:t>
      </w:r>
      <w:r>
        <w:rPr>
          <w:spacing w:val="-3"/>
          <w:vertAlign w:val="baseline"/>
        </w:rPr>
        <w:t> </w:t>
      </w:r>
      <w:r>
        <w:rPr>
          <w:vertAlign w:val="baseline"/>
        </w:rPr>
        <w:t>cara</w:t>
      </w:r>
      <w:r>
        <w:rPr>
          <w:spacing w:val="-5"/>
          <w:vertAlign w:val="baseline"/>
        </w:rPr>
        <w:t> </w:t>
      </w:r>
      <w:r>
        <w:rPr>
          <w:vertAlign w:val="baseline"/>
        </w:rPr>
        <w:t>bagi</w:t>
      </w:r>
      <w:r>
        <w:rPr>
          <w:spacing w:val="-3"/>
          <w:vertAlign w:val="baseline"/>
        </w:rPr>
        <w:t> </w:t>
      </w:r>
      <w:r>
        <w:rPr>
          <w:vertAlign w:val="baseline"/>
        </w:rPr>
        <w:t>emiten</w:t>
      </w:r>
      <w:r>
        <w:rPr>
          <w:spacing w:val="-3"/>
          <w:vertAlign w:val="baseline"/>
        </w:rPr>
        <w:t> </w:t>
      </w:r>
      <w:r>
        <w:rPr>
          <w:vertAlign w:val="baseline"/>
        </w:rPr>
        <w:t>untuk menghimpun sejumlah biaya dari para pemegang saham. Sumber anggaran pasar modal biasanya</w:t>
      </w:r>
      <w:r>
        <w:rPr>
          <w:spacing w:val="-7"/>
          <w:vertAlign w:val="baseline"/>
        </w:rPr>
        <w:t> </w:t>
      </w:r>
      <w:r>
        <w:rPr>
          <w:vertAlign w:val="baseline"/>
        </w:rPr>
        <w:t>dimanfaatkan</w:t>
      </w:r>
      <w:r>
        <w:rPr>
          <w:spacing w:val="-7"/>
          <w:vertAlign w:val="baseline"/>
        </w:rPr>
        <w:t> </w:t>
      </w:r>
      <w:r>
        <w:rPr>
          <w:vertAlign w:val="baseline"/>
        </w:rPr>
        <w:t>oleh</w:t>
      </w:r>
      <w:r>
        <w:rPr>
          <w:spacing w:val="-7"/>
          <w:vertAlign w:val="baseline"/>
        </w:rPr>
        <w:t> </w:t>
      </w:r>
      <w:r>
        <w:rPr>
          <w:vertAlign w:val="baseline"/>
        </w:rPr>
        <w:t>perusahaan</w:t>
      </w:r>
      <w:r>
        <w:rPr>
          <w:spacing w:val="-7"/>
          <w:vertAlign w:val="baseline"/>
        </w:rPr>
        <w:t> </w:t>
      </w:r>
      <w:r>
        <w:rPr>
          <w:vertAlign w:val="baseline"/>
        </w:rPr>
        <w:t>dalam</w:t>
      </w:r>
      <w:r>
        <w:rPr>
          <w:spacing w:val="-6"/>
          <w:vertAlign w:val="baseline"/>
        </w:rPr>
        <w:t> </w:t>
      </w:r>
      <w:r>
        <w:rPr>
          <w:vertAlign w:val="baseline"/>
        </w:rPr>
        <w:t>rangka</w:t>
      </w:r>
      <w:r>
        <w:rPr>
          <w:spacing w:val="-7"/>
          <w:vertAlign w:val="baseline"/>
        </w:rPr>
        <w:t> </w:t>
      </w:r>
      <w:r>
        <w:rPr>
          <w:vertAlign w:val="baseline"/>
        </w:rPr>
        <w:t>pembelian</w:t>
      </w:r>
      <w:r>
        <w:rPr>
          <w:spacing w:val="-7"/>
          <w:vertAlign w:val="baseline"/>
        </w:rPr>
        <w:t> </w:t>
      </w:r>
      <w:r>
        <w:rPr>
          <w:vertAlign w:val="baseline"/>
        </w:rPr>
        <w:t>modal,</w:t>
      </w:r>
      <w:r>
        <w:rPr>
          <w:spacing w:val="-7"/>
          <w:vertAlign w:val="baseline"/>
        </w:rPr>
        <w:t> </w:t>
      </w:r>
      <w:r>
        <w:rPr>
          <w:vertAlign w:val="baseline"/>
        </w:rPr>
        <w:t>pertumbuhan</w:t>
      </w:r>
      <w:r>
        <w:rPr>
          <w:spacing w:val="-7"/>
          <w:vertAlign w:val="baseline"/>
        </w:rPr>
        <w:t> </w:t>
      </w:r>
      <w:r>
        <w:rPr>
          <w:vertAlign w:val="baseline"/>
        </w:rPr>
        <w:t>dan perluasan usaha, serta masih banyak lagi. Berikutnya, pasar modal bertindak sebagai </w:t>
      </w:r>
      <w:r>
        <w:rPr>
          <w:i/>
          <w:vertAlign w:val="baseline"/>
        </w:rPr>
        <w:t>platform </w:t>
      </w:r>
      <w:r>
        <w:rPr>
          <w:vertAlign w:val="baseline"/>
        </w:rPr>
        <w:t>penyedia sarana berinvestasi untuk pemodal agar dapat membeli aset contohnya saham, obligasi, reksadana, dan sebagainya. Pasar modal berkedudukan pada posisi berbagai</w:t>
      </w:r>
      <w:r>
        <w:rPr>
          <w:spacing w:val="-13"/>
          <w:vertAlign w:val="baseline"/>
        </w:rPr>
        <w:t> </w:t>
      </w:r>
      <w:r>
        <w:rPr>
          <w:vertAlign w:val="baseline"/>
        </w:rPr>
        <w:t>instrumen</w:t>
      </w:r>
      <w:r>
        <w:rPr>
          <w:spacing w:val="-13"/>
          <w:vertAlign w:val="baseline"/>
        </w:rPr>
        <w:t> </w:t>
      </w:r>
      <w:r>
        <w:rPr>
          <w:vertAlign w:val="baseline"/>
        </w:rPr>
        <w:t>keuangan,</w:t>
      </w:r>
      <w:r>
        <w:rPr>
          <w:spacing w:val="-13"/>
          <w:vertAlign w:val="baseline"/>
        </w:rPr>
        <w:t> </w:t>
      </w:r>
      <w:r>
        <w:rPr>
          <w:vertAlign w:val="baseline"/>
        </w:rPr>
        <w:t>termasuk</w:t>
      </w:r>
      <w:r>
        <w:rPr>
          <w:spacing w:val="-13"/>
          <w:vertAlign w:val="baseline"/>
        </w:rPr>
        <w:t> </w:t>
      </w:r>
      <w:r>
        <w:rPr>
          <w:vertAlign w:val="baseline"/>
        </w:rPr>
        <w:t>sekuritas</w:t>
      </w:r>
      <w:r>
        <w:rPr>
          <w:spacing w:val="-11"/>
          <w:vertAlign w:val="baseline"/>
        </w:rPr>
        <w:t> </w:t>
      </w:r>
      <w:r>
        <w:rPr>
          <w:vertAlign w:val="baseline"/>
        </w:rPr>
        <w:t>jangka</w:t>
      </w:r>
      <w:r>
        <w:rPr>
          <w:spacing w:val="-14"/>
          <w:vertAlign w:val="baseline"/>
        </w:rPr>
        <w:t> </w:t>
      </w:r>
      <w:r>
        <w:rPr>
          <w:vertAlign w:val="baseline"/>
        </w:rPr>
        <w:t>pendek</w:t>
      </w:r>
      <w:r>
        <w:rPr>
          <w:spacing w:val="-13"/>
          <w:vertAlign w:val="baseline"/>
        </w:rPr>
        <w:t> </w:t>
      </w:r>
      <w:r>
        <w:rPr>
          <w:vertAlign w:val="baseline"/>
        </w:rPr>
        <w:t>dan</w:t>
      </w:r>
      <w:r>
        <w:rPr>
          <w:spacing w:val="-13"/>
          <w:vertAlign w:val="baseline"/>
        </w:rPr>
        <w:t> </w:t>
      </w:r>
      <w:r>
        <w:rPr>
          <w:vertAlign w:val="baseline"/>
        </w:rPr>
        <w:t>jangka</w:t>
      </w:r>
      <w:r>
        <w:rPr>
          <w:spacing w:val="-14"/>
          <w:vertAlign w:val="baseline"/>
        </w:rPr>
        <w:t> </w:t>
      </w:r>
      <w:r>
        <w:rPr>
          <w:vertAlign w:val="baseline"/>
        </w:rPr>
        <w:t>panjang</w:t>
      </w:r>
      <w:r>
        <w:rPr>
          <w:spacing w:val="-14"/>
          <w:vertAlign w:val="baseline"/>
        </w:rPr>
        <w:t> </w:t>
      </w:r>
      <w:r>
        <w:rPr>
          <w:vertAlign w:val="baseline"/>
        </w:rPr>
        <w:t>dalam bentuk utang maupun ekuitas.</w:t>
      </w:r>
      <w:hyperlink w:history="true" w:anchor="_bookmark15">
        <w:r>
          <w:rPr>
            <w:vertAlign w:val="superscript"/>
          </w:rPr>
          <w:t>3</w:t>
        </w:r>
      </w:hyperlink>
    </w:p>
    <w:p>
      <w:pPr>
        <w:pStyle w:val="BodyText"/>
        <w:spacing w:line="360" w:lineRule="auto" w:before="1"/>
        <w:ind w:left="383" w:right="161" w:firstLine="359"/>
        <w:jc w:val="both"/>
      </w:pPr>
      <w:r>
        <w:rPr/>
        <w:t>Pasar modal syariah didirikan sebagai wujud permintaan kaum muslim di Indonesia yang</w:t>
      </w:r>
      <w:r>
        <w:rPr>
          <w:spacing w:val="-15"/>
        </w:rPr>
        <w:t> </w:t>
      </w:r>
      <w:r>
        <w:rPr/>
        <w:t>berupaya</w:t>
      </w:r>
      <w:r>
        <w:rPr>
          <w:spacing w:val="-15"/>
        </w:rPr>
        <w:t> </w:t>
      </w:r>
      <w:r>
        <w:rPr/>
        <w:t>untuk</w:t>
      </w:r>
      <w:r>
        <w:rPr>
          <w:spacing w:val="-15"/>
        </w:rPr>
        <w:t> </w:t>
      </w:r>
      <w:r>
        <w:rPr/>
        <w:t>mengakumulasi</w:t>
      </w:r>
      <w:r>
        <w:rPr>
          <w:spacing w:val="-15"/>
        </w:rPr>
        <w:t> </w:t>
      </w:r>
      <w:r>
        <w:rPr/>
        <w:t>asetnya</w:t>
      </w:r>
      <w:r>
        <w:rPr>
          <w:spacing w:val="-15"/>
        </w:rPr>
        <w:t> </w:t>
      </w:r>
      <w:r>
        <w:rPr/>
        <w:t>selaras</w:t>
      </w:r>
      <w:r>
        <w:rPr>
          <w:spacing w:val="-15"/>
        </w:rPr>
        <w:t> </w:t>
      </w:r>
      <w:r>
        <w:rPr/>
        <w:t>dengan</w:t>
      </w:r>
      <w:r>
        <w:rPr>
          <w:spacing w:val="-15"/>
        </w:rPr>
        <w:t> </w:t>
      </w:r>
      <w:r>
        <w:rPr/>
        <w:t>hukum</w:t>
      </w:r>
      <w:r>
        <w:rPr>
          <w:spacing w:val="-15"/>
        </w:rPr>
        <w:t> </w:t>
      </w:r>
      <w:r>
        <w:rPr/>
        <w:t>syariah.</w:t>
      </w:r>
      <w:r>
        <w:rPr>
          <w:spacing w:val="-15"/>
        </w:rPr>
        <w:t> </w:t>
      </w:r>
      <w:r>
        <w:rPr/>
        <w:t>Saham-saham syariah diakui lebih tahan banting saat terjadi kemerosotan ekonomi, sebab pasar modal syariah mampu beradaptasi dengan guncangan dan ketegangan dari lingkup luar</w:t>
      </w:r>
      <w:hyperlink w:history="true" w:anchor="_bookmark16">
        <w:r>
          <w:rPr/>
          <w:t>.</w:t>
        </w:r>
        <w:r>
          <w:rPr>
            <w:vertAlign w:val="superscript"/>
          </w:rPr>
          <w:t>4</w:t>
        </w:r>
      </w:hyperlink>
      <w:r>
        <w:rPr>
          <w:vertAlign w:val="baseline"/>
        </w:rPr>
        <w:t> Berkenaan dengan hal tersebut, ciri-ciri pokok yang membedakan dari saham syariah di pasar modal adalah bahwa saham syariah terbebas dari transaksi riba dan gharar, serta perusahaan dan emiten di pasar modal syariah tidak beroperasi dalam area yang diharamkan</w:t>
      </w:r>
      <w:r>
        <w:rPr>
          <w:spacing w:val="26"/>
          <w:vertAlign w:val="baseline"/>
        </w:rPr>
        <w:t> </w:t>
      </w:r>
      <w:r>
        <w:rPr>
          <w:vertAlign w:val="baseline"/>
        </w:rPr>
        <w:t>oleh</w:t>
      </w:r>
      <w:r>
        <w:rPr>
          <w:spacing w:val="27"/>
          <w:vertAlign w:val="baseline"/>
        </w:rPr>
        <w:t> </w:t>
      </w:r>
      <w:r>
        <w:rPr>
          <w:vertAlign w:val="baseline"/>
        </w:rPr>
        <w:t>hukum</w:t>
      </w:r>
      <w:r>
        <w:rPr>
          <w:spacing w:val="29"/>
          <w:vertAlign w:val="baseline"/>
        </w:rPr>
        <w:t> </w:t>
      </w:r>
      <w:r>
        <w:rPr>
          <w:vertAlign w:val="baseline"/>
        </w:rPr>
        <w:t>syariah.</w:t>
      </w:r>
      <w:hyperlink w:history="true" w:anchor="_bookmark17">
        <w:r>
          <w:rPr>
            <w:vertAlign w:val="superscript"/>
          </w:rPr>
          <w:t>5</w:t>
        </w:r>
      </w:hyperlink>
      <w:r>
        <w:rPr>
          <w:spacing w:val="29"/>
          <w:vertAlign w:val="baseline"/>
        </w:rPr>
        <w:t> </w:t>
      </w:r>
      <w:r>
        <w:rPr>
          <w:vertAlign w:val="baseline"/>
        </w:rPr>
        <w:t>Perkembangan</w:t>
      </w:r>
      <w:r>
        <w:rPr>
          <w:spacing w:val="27"/>
          <w:vertAlign w:val="baseline"/>
        </w:rPr>
        <w:t> </w:t>
      </w:r>
      <w:r>
        <w:rPr>
          <w:vertAlign w:val="baseline"/>
        </w:rPr>
        <w:t>ekonomi</w:t>
      </w:r>
      <w:r>
        <w:rPr>
          <w:spacing w:val="27"/>
          <w:vertAlign w:val="baseline"/>
        </w:rPr>
        <w:t> </w:t>
      </w:r>
      <w:r>
        <w:rPr>
          <w:vertAlign w:val="baseline"/>
        </w:rPr>
        <w:t>Islam</w:t>
      </w:r>
      <w:r>
        <w:rPr>
          <w:spacing w:val="27"/>
          <w:vertAlign w:val="baseline"/>
        </w:rPr>
        <w:t> </w:t>
      </w:r>
      <w:r>
        <w:rPr>
          <w:vertAlign w:val="baseline"/>
        </w:rPr>
        <w:t>yang</w:t>
      </w:r>
      <w:r>
        <w:rPr>
          <w:spacing w:val="27"/>
          <w:vertAlign w:val="baseline"/>
        </w:rPr>
        <w:t> </w:t>
      </w:r>
      <w:r>
        <w:rPr>
          <w:vertAlign w:val="baseline"/>
        </w:rPr>
        <w:t>semakin</w:t>
      </w:r>
      <w:r>
        <w:rPr>
          <w:spacing w:val="26"/>
          <w:vertAlign w:val="baseline"/>
        </w:rPr>
        <w:t> </w:t>
      </w:r>
      <w:r>
        <w:rPr>
          <w:spacing w:val="-2"/>
          <w:vertAlign w:val="baseline"/>
        </w:rPr>
        <w:t>dinamis</w:t>
      </w:r>
    </w:p>
    <w:p>
      <w:pPr>
        <w:pStyle w:val="BodyText"/>
        <w:spacing w:before="138"/>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914704</wp:posOffset>
                </wp:positionH>
                <wp:positionV relativeFrom="paragraph">
                  <wp:posOffset>249356</wp:posOffset>
                </wp:positionV>
                <wp:extent cx="1829435"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634344pt;width:144.020pt;height:.72003pt;mso-position-horizontal-relative:page;mso-position-vertical-relative:paragraph;z-index:-15726592;mso-wrap-distance-left:0;mso-wrap-distance-right:0" id="docshape3" filled="true" fillcolor="#000000" stroked="false">
                <v:fill type="solid"/>
                <w10:wrap type="topAndBottom"/>
              </v:rect>
            </w:pict>
          </mc:Fallback>
        </mc:AlternateContent>
      </w:r>
    </w:p>
    <w:p>
      <w:pPr>
        <w:tabs>
          <w:tab w:pos="894" w:val="left" w:leader="none"/>
          <w:tab w:pos="1829" w:val="left" w:leader="none"/>
          <w:tab w:pos="3050" w:val="left" w:leader="none"/>
          <w:tab w:pos="3896" w:val="left" w:leader="none"/>
          <w:tab w:pos="5165" w:val="left" w:leader="none"/>
          <w:tab w:pos="6201" w:val="left" w:leader="none"/>
          <w:tab w:pos="7067" w:val="left" w:leader="none"/>
          <w:tab w:pos="7643" w:val="left" w:leader="none"/>
          <w:tab w:pos="8549" w:val="left" w:leader="none"/>
        </w:tabs>
        <w:spacing w:before="101"/>
        <w:ind w:left="23" w:right="160" w:firstLine="719"/>
        <w:jc w:val="left"/>
        <w:rPr>
          <w:sz w:val="20"/>
        </w:rPr>
      </w:pPr>
      <w:bookmarkStart w:name="_bookmark13" w:id="14"/>
      <w:bookmarkEnd w:id="14"/>
      <w:r>
        <w:rPr/>
      </w:r>
      <w:r>
        <w:rPr>
          <w:sz w:val="20"/>
          <w:vertAlign w:val="superscript"/>
        </w:rPr>
        <w:t>1</w:t>
      </w:r>
      <w:r>
        <w:rPr>
          <w:spacing w:val="31"/>
          <w:sz w:val="20"/>
          <w:vertAlign w:val="baseline"/>
        </w:rPr>
        <w:t> </w:t>
      </w:r>
      <w:r>
        <w:rPr>
          <w:sz w:val="20"/>
          <w:vertAlign w:val="baseline"/>
        </w:rPr>
        <w:t>Linda</w:t>
      </w:r>
      <w:r>
        <w:rPr>
          <w:spacing w:val="31"/>
          <w:sz w:val="20"/>
          <w:vertAlign w:val="baseline"/>
        </w:rPr>
        <w:t> </w:t>
      </w:r>
      <w:r>
        <w:rPr>
          <w:sz w:val="20"/>
          <w:vertAlign w:val="baseline"/>
        </w:rPr>
        <w:t>Sari,</w:t>
      </w:r>
      <w:r>
        <w:rPr>
          <w:spacing w:val="28"/>
          <w:sz w:val="20"/>
          <w:vertAlign w:val="baseline"/>
        </w:rPr>
        <w:t> </w:t>
      </w:r>
      <w:r>
        <w:rPr>
          <w:sz w:val="20"/>
          <w:vertAlign w:val="baseline"/>
        </w:rPr>
        <w:t>Imam</w:t>
      </w:r>
      <w:r>
        <w:rPr>
          <w:spacing w:val="32"/>
          <w:sz w:val="20"/>
          <w:vertAlign w:val="baseline"/>
        </w:rPr>
        <w:t> </w:t>
      </w:r>
      <w:r>
        <w:rPr>
          <w:sz w:val="20"/>
          <w:vertAlign w:val="baseline"/>
        </w:rPr>
        <w:t>Asngari,</w:t>
      </w:r>
      <w:r>
        <w:rPr>
          <w:spacing w:val="28"/>
          <w:sz w:val="20"/>
          <w:vertAlign w:val="baseline"/>
        </w:rPr>
        <w:t> </w:t>
      </w:r>
      <w:r>
        <w:rPr>
          <w:sz w:val="20"/>
          <w:vertAlign w:val="baseline"/>
        </w:rPr>
        <w:t>and</w:t>
      </w:r>
      <w:r>
        <w:rPr>
          <w:spacing w:val="31"/>
          <w:sz w:val="20"/>
          <w:vertAlign w:val="baseline"/>
        </w:rPr>
        <w:t> </w:t>
      </w:r>
      <w:r>
        <w:rPr>
          <w:sz w:val="20"/>
          <w:vertAlign w:val="baseline"/>
        </w:rPr>
        <w:t>Yunisvita,</w:t>
      </w:r>
      <w:r>
        <w:rPr>
          <w:spacing w:val="28"/>
          <w:sz w:val="20"/>
          <w:vertAlign w:val="baseline"/>
        </w:rPr>
        <w:t> </w:t>
      </w:r>
      <w:r>
        <w:rPr>
          <w:sz w:val="20"/>
          <w:vertAlign w:val="baseline"/>
        </w:rPr>
        <w:t>‘Determinan</w:t>
      </w:r>
      <w:r>
        <w:rPr>
          <w:spacing w:val="27"/>
          <w:sz w:val="20"/>
          <w:vertAlign w:val="baseline"/>
        </w:rPr>
        <w:t> </w:t>
      </w:r>
      <w:r>
        <w:rPr>
          <w:sz w:val="20"/>
          <w:vertAlign w:val="baseline"/>
        </w:rPr>
        <w:t>Variabel</w:t>
      </w:r>
      <w:r>
        <w:rPr>
          <w:spacing w:val="31"/>
          <w:sz w:val="20"/>
          <w:vertAlign w:val="baseline"/>
        </w:rPr>
        <w:t> </w:t>
      </w:r>
      <w:r>
        <w:rPr>
          <w:sz w:val="20"/>
          <w:vertAlign w:val="baseline"/>
        </w:rPr>
        <w:t>Makroekonomi</w:t>
      </w:r>
      <w:r>
        <w:rPr>
          <w:spacing w:val="30"/>
          <w:sz w:val="20"/>
          <w:vertAlign w:val="baseline"/>
        </w:rPr>
        <w:t> </w:t>
      </w:r>
      <w:r>
        <w:rPr>
          <w:sz w:val="20"/>
          <w:vertAlign w:val="baseline"/>
        </w:rPr>
        <w:t>Terhadap</w:t>
      </w:r>
      <w:r>
        <w:rPr>
          <w:spacing w:val="29"/>
          <w:sz w:val="20"/>
          <w:vertAlign w:val="baseline"/>
        </w:rPr>
        <w:t> </w:t>
      </w:r>
      <w:r>
        <w:rPr>
          <w:sz w:val="20"/>
          <w:vertAlign w:val="baseline"/>
        </w:rPr>
        <w:t>Indeks </w:t>
      </w:r>
      <w:r>
        <w:rPr>
          <w:spacing w:val="-2"/>
          <w:sz w:val="20"/>
          <w:vertAlign w:val="baseline"/>
        </w:rPr>
        <w:t>Saham</w:t>
      </w:r>
      <w:r>
        <w:rPr>
          <w:sz w:val="20"/>
          <w:vertAlign w:val="baseline"/>
        </w:rPr>
        <w:tab/>
      </w:r>
      <w:r>
        <w:rPr>
          <w:spacing w:val="-2"/>
          <w:sz w:val="20"/>
          <w:vertAlign w:val="baseline"/>
        </w:rPr>
        <w:t>Syariah</w:t>
      </w:r>
      <w:r>
        <w:rPr>
          <w:sz w:val="20"/>
          <w:vertAlign w:val="baseline"/>
        </w:rPr>
        <w:tab/>
      </w:r>
      <w:r>
        <w:rPr>
          <w:spacing w:val="-2"/>
          <w:sz w:val="20"/>
          <w:vertAlign w:val="baseline"/>
        </w:rPr>
        <w:t>Indonesia’,</w:t>
      </w:r>
      <w:r>
        <w:rPr>
          <w:sz w:val="20"/>
          <w:vertAlign w:val="baseline"/>
        </w:rPr>
        <w:tab/>
      </w:r>
      <w:r>
        <w:rPr>
          <w:i/>
          <w:spacing w:val="-2"/>
          <w:sz w:val="20"/>
          <w:vertAlign w:val="baseline"/>
        </w:rPr>
        <w:t>Jurnal</w:t>
      </w:r>
      <w:r>
        <w:rPr>
          <w:i/>
          <w:sz w:val="20"/>
          <w:vertAlign w:val="baseline"/>
        </w:rPr>
        <w:tab/>
      </w:r>
      <w:r>
        <w:rPr>
          <w:i/>
          <w:spacing w:val="-2"/>
          <w:sz w:val="20"/>
          <w:vertAlign w:val="baseline"/>
        </w:rPr>
        <w:t>Informatika</w:t>
      </w:r>
      <w:r>
        <w:rPr>
          <w:i/>
          <w:sz w:val="20"/>
          <w:vertAlign w:val="baseline"/>
        </w:rPr>
        <w:tab/>
      </w:r>
      <w:r>
        <w:rPr>
          <w:i/>
          <w:spacing w:val="-2"/>
          <w:sz w:val="20"/>
          <w:vertAlign w:val="baseline"/>
        </w:rPr>
        <w:t>Ekonomi</w:t>
      </w:r>
      <w:r>
        <w:rPr>
          <w:i/>
          <w:sz w:val="20"/>
          <w:vertAlign w:val="baseline"/>
        </w:rPr>
        <w:tab/>
      </w:r>
      <w:r>
        <w:rPr>
          <w:i/>
          <w:spacing w:val="-2"/>
          <w:sz w:val="20"/>
          <w:vertAlign w:val="baseline"/>
        </w:rPr>
        <w:t>Bisnis</w:t>
      </w:r>
      <w:r>
        <w:rPr>
          <w:spacing w:val="-2"/>
          <w:sz w:val="20"/>
          <w:vertAlign w:val="baseline"/>
        </w:rPr>
        <w:t>,</w:t>
      </w:r>
      <w:r>
        <w:rPr>
          <w:sz w:val="20"/>
          <w:vertAlign w:val="baseline"/>
        </w:rPr>
        <w:tab/>
      </w:r>
      <w:r>
        <w:rPr>
          <w:spacing w:val="-5"/>
          <w:sz w:val="20"/>
          <w:vertAlign w:val="baseline"/>
        </w:rPr>
        <w:t>7.1</w:t>
      </w:r>
      <w:r>
        <w:rPr>
          <w:sz w:val="20"/>
          <w:vertAlign w:val="baseline"/>
        </w:rPr>
        <w:tab/>
      </w:r>
      <w:r>
        <w:rPr>
          <w:spacing w:val="-2"/>
          <w:sz w:val="20"/>
          <w:vertAlign w:val="baseline"/>
        </w:rPr>
        <w:t>(2025),</w:t>
      </w:r>
      <w:r>
        <w:rPr>
          <w:sz w:val="20"/>
          <w:vertAlign w:val="baseline"/>
        </w:rPr>
        <w:tab/>
      </w:r>
      <w:r>
        <w:rPr>
          <w:spacing w:val="-2"/>
          <w:sz w:val="20"/>
          <w:vertAlign w:val="baseline"/>
        </w:rPr>
        <w:t>28–32</w:t>
      </w:r>
    </w:p>
    <w:p>
      <w:pPr>
        <w:spacing w:before="1"/>
        <w:ind w:left="23" w:right="0" w:firstLine="0"/>
        <w:jc w:val="left"/>
        <w:rPr>
          <w:sz w:val="20"/>
        </w:rPr>
      </w:pPr>
      <w:r>
        <w:rPr>
          <w:spacing w:val="-2"/>
          <w:sz w:val="20"/>
        </w:rPr>
        <w:t>&lt;https://doi.org/10.37034/infeb.v7i1.1079&gt;.</w:t>
      </w:r>
    </w:p>
    <w:p>
      <w:pPr>
        <w:spacing w:before="1"/>
        <w:ind w:left="23" w:right="164" w:firstLine="719"/>
        <w:jc w:val="both"/>
        <w:rPr>
          <w:sz w:val="20"/>
        </w:rPr>
      </w:pPr>
      <w:bookmarkStart w:name="_bookmark14" w:id="15"/>
      <w:bookmarkEnd w:id="15"/>
      <w:r>
        <w:rPr/>
      </w:r>
      <w:r>
        <w:rPr>
          <w:sz w:val="20"/>
          <w:vertAlign w:val="superscript"/>
        </w:rPr>
        <w:t>2</w:t>
      </w:r>
      <w:r>
        <w:rPr>
          <w:sz w:val="20"/>
          <w:vertAlign w:val="baseline"/>
        </w:rPr>
        <w:t> Samsul Bahry Harahap, Yuserizal Bustami, and Syukrawati, ‘Pengaruh Literasi Keuangan Terhadap Minat Investasi Saham Syariah (Studi Kasus Galeri Investasi Syariah IAIN Kerinci)’, </w:t>
      </w:r>
      <w:r>
        <w:rPr>
          <w:i/>
          <w:sz w:val="20"/>
          <w:vertAlign w:val="baseline"/>
        </w:rPr>
        <w:t>Al Fiddhoh: Journal of Banking, Insurance, and Finance</w:t>
      </w:r>
      <w:r>
        <w:rPr>
          <w:sz w:val="20"/>
          <w:vertAlign w:val="baseline"/>
        </w:rPr>
        <w:t>, 2.2 (2021), 75–82 &lt;https://doi.org/10.32939/fdh.v2i2.955&gt;.</w:t>
      </w:r>
    </w:p>
    <w:p>
      <w:pPr>
        <w:spacing w:before="0"/>
        <w:ind w:left="23" w:right="165" w:firstLine="719"/>
        <w:jc w:val="both"/>
        <w:rPr>
          <w:sz w:val="20"/>
        </w:rPr>
      </w:pPr>
      <w:bookmarkStart w:name="_bookmark15" w:id="16"/>
      <w:bookmarkEnd w:id="16"/>
      <w:r>
        <w:rPr/>
      </w:r>
      <w:r>
        <w:rPr>
          <w:sz w:val="20"/>
          <w:vertAlign w:val="superscript"/>
        </w:rPr>
        <w:t>3</w:t>
      </w:r>
      <w:r>
        <w:rPr>
          <w:spacing w:val="-8"/>
          <w:sz w:val="20"/>
          <w:vertAlign w:val="baseline"/>
        </w:rPr>
        <w:t> </w:t>
      </w:r>
      <w:r>
        <w:rPr>
          <w:sz w:val="20"/>
          <w:vertAlign w:val="baseline"/>
        </w:rPr>
        <w:t>Zaenul</w:t>
      </w:r>
      <w:r>
        <w:rPr>
          <w:spacing w:val="-8"/>
          <w:sz w:val="20"/>
          <w:vertAlign w:val="baseline"/>
        </w:rPr>
        <w:t> </w:t>
      </w:r>
      <w:r>
        <w:rPr>
          <w:sz w:val="20"/>
          <w:vertAlign w:val="baseline"/>
        </w:rPr>
        <w:t>Wahyudi,</w:t>
      </w:r>
      <w:r>
        <w:rPr>
          <w:spacing w:val="-7"/>
          <w:sz w:val="20"/>
          <w:vertAlign w:val="baseline"/>
        </w:rPr>
        <w:t> </w:t>
      </w:r>
      <w:r>
        <w:rPr>
          <w:sz w:val="20"/>
          <w:vertAlign w:val="baseline"/>
        </w:rPr>
        <w:t>Ahmad</w:t>
      </w:r>
      <w:r>
        <w:rPr>
          <w:spacing w:val="-7"/>
          <w:sz w:val="20"/>
          <w:vertAlign w:val="baseline"/>
        </w:rPr>
        <w:t> </w:t>
      </w:r>
      <w:r>
        <w:rPr>
          <w:sz w:val="20"/>
          <w:vertAlign w:val="baseline"/>
        </w:rPr>
        <w:t>Amir</w:t>
      </w:r>
      <w:r>
        <w:rPr>
          <w:spacing w:val="-7"/>
          <w:sz w:val="20"/>
          <w:vertAlign w:val="baseline"/>
        </w:rPr>
        <w:t> </w:t>
      </w:r>
      <w:r>
        <w:rPr>
          <w:sz w:val="20"/>
          <w:vertAlign w:val="baseline"/>
        </w:rPr>
        <w:t>Aziz,</w:t>
      </w:r>
      <w:r>
        <w:rPr>
          <w:spacing w:val="-7"/>
          <w:sz w:val="20"/>
          <w:vertAlign w:val="baseline"/>
        </w:rPr>
        <w:t> </w:t>
      </w:r>
      <w:r>
        <w:rPr>
          <w:sz w:val="20"/>
          <w:vertAlign w:val="baseline"/>
        </w:rPr>
        <w:t>and</w:t>
      </w:r>
      <w:r>
        <w:rPr>
          <w:spacing w:val="-7"/>
          <w:sz w:val="20"/>
          <w:vertAlign w:val="baseline"/>
        </w:rPr>
        <w:t> </w:t>
      </w:r>
      <w:r>
        <w:rPr>
          <w:sz w:val="20"/>
          <w:vertAlign w:val="baseline"/>
        </w:rPr>
        <w:t>Riduan</w:t>
      </w:r>
      <w:r>
        <w:rPr>
          <w:spacing w:val="-9"/>
          <w:sz w:val="20"/>
          <w:vertAlign w:val="baseline"/>
        </w:rPr>
        <w:t> </w:t>
      </w:r>
      <w:r>
        <w:rPr>
          <w:sz w:val="20"/>
          <w:vertAlign w:val="baseline"/>
        </w:rPr>
        <w:t>Mas’ud,</w:t>
      </w:r>
      <w:r>
        <w:rPr>
          <w:spacing w:val="-10"/>
          <w:sz w:val="20"/>
          <w:vertAlign w:val="baseline"/>
        </w:rPr>
        <w:t> </w:t>
      </w:r>
      <w:r>
        <w:rPr>
          <w:sz w:val="20"/>
          <w:vertAlign w:val="baseline"/>
        </w:rPr>
        <w:t>‘Pengaruh</w:t>
      </w:r>
      <w:r>
        <w:rPr>
          <w:spacing w:val="-7"/>
          <w:sz w:val="20"/>
          <w:vertAlign w:val="baseline"/>
        </w:rPr>
        <w:t> </w:t>
      </w:r>
      <w:r>
        <w:rPr>
          <w:sz w:val="20"/>
          <w:vertAlign w:val="baseline"/>
        </w:rPr>
        <w:t>Return,</w:t>
      </w:r>
      <w:r>
        <w:rPr>
          <w:spacing w:val="-7"/>
          <w:sz w:val="20"/>
          <w:vertAlign w:val="baseline"/>
        </w:rPr>
        <w:t> </w:t>
      </w:r>
      <w:r>
        <w:rPr>
          <w:sz w:val="20"/>
          <w:vertAlign w:val="baseline"/>
        </w:rPr>
        <w:t>Risiko</w:t>
      </w:r>
      <w:r>
        <w:rPr>
          <w:spacing w:val="-7"/>
          <w:sz w:val="20"/>
          <w:vertAlign w:val="baseline"/>
        </w:rPr>
        <w:t> </w:t>
      </w:r>
      <w:r>
        <w:rPr>
          <w:sz w:val="20"/>
          <w:vertAlign w:val="baseline"/>
        </w:rPr>
        <w:t>Dan</w:t>
      </w:r>
      <w:r>
        <w:rPr>
          <w:spacing w:val="-9"/>
          <w:sz w:val="20"/>
          <w:vertAlign w:val="baseline"/>
        </w:rPr>
        <w:t> </w:t>
      </w:r>
      <w:r>
        <w:rPr>
          <w:sz w:val="20"/>
          <w:vertAlign w:val="baseline"/>
        </w:rPr>
        <w:t>Harga</w:t>
      </w:r>
      <w:r>
        <w:rPr>
          <w:spacing w:val="-7"/>
          <w:sz w:val="20"/>
          <w:vertAlign w:val="baseline"/>
        </w:rPr>
        <w:t> </w:t>
      </w:r>
      <w:r>
        <w:rPr>
          <w:sz w:val="20"/>
          <w:vertAlign w:val="baseline"/>
        </w:rPr>
        <w:t>Saham Terhadap Minat Berinvestasi Anggota Galeri Investasi Syariah (GIS) UIN Mataram Pada PT. Phintraco Securities’,</w:t>
      </w:r>
      <w:r>
        <w:rPr>
          <w:spacing w:val="-13"/>
          <w:sz w:val="20"/>
          <w:vertAlign w:val="baseline"/>
        </w:rPr>
        <w:t> </w:t>
      </w:r>
      <w:r>
        <w:rPr>
          <w:i/>
          <w:sz w:val="20"/>
          <w:vertAlign w:val="baseline"/>
        </w:rPr>
        <w:t>Schemata:</w:t>
      </w:r>
      <w:r>
        <w:rPr>
          <w:i/>
          <w:spacing w:val="-11"/>
          <w:sz w:val="20"/>
          <w:vertAlign w:val="baseline"/>
        </w:rPr>
        <w:t> </w:t>
      </w:r>
      <w:r>
        <w:rPr>
          <w:i/>
          <w:sz w:val="20"/>
          <w:vertAlign w:val="baseline"/>
        </w:rPr>
        <w:t>Jurnal</w:t>
      </w:r>
      <w:r>
        <w:rPr>
          <w:i/>
          <w:spacing w:val="-13"/>
          <w:sz w:val="20"/>
          <w:vertAlign w:val="baseline"/>
        </w:rPr>
        <w:t> </w:t>
      </w:r>
      <w:r>
        <w:rPr>
          <w:i/>
          <w:sz w:val="20"/>
          <w:vertAlign w:val="baseline"/>
        </w:rPr>
        <w:t>Pascasarjana</w:t>
      </w:r>
      <w:r>
        <w:rPr>
          <w:i/>
          <w:spacing w:val="-10"/>
          <w:sz w:val="20"/>
          <w:vertAlign w:val="baseline"/>
        </w:rPr>
        <w:t> </w:t>
      </w:r>
      <w:r>
        <w:rPr>
          <w:i/>
          <w:sz w:val="20"/>
          <w:vertAlign w:val="baseline"/>
        </w:rPr>
        <w:t>UIN</w:t>
      </w:r>
      <w:r>
        <w:rPr>
          <w:i/>
          <w:spacing w:val="-12"/>
          <w:sz w:val="20"/>
          <w:vertAlign w:val="baseline"/>
        </w:rPr>
        <w:t> </w:t>
      </w:r>
      <w:r>
        <w:rPr>
          <w:i/>
          <w:sz w:val="20"/>
          <w:vertAlign w:val="baseline"/>
        </w:rPr>
        <w:t>Mataram</w:t>
      </w:r>
      <w:r>
        <w:rPr>
          <w:sz w:val="20"/>
          <w:vertAlign w:val="baseline"/>
        </w:rPr>
        <w:t>,</w:t>
      </w:r>
      <w:r>
        <w:rPr>
          <w:spacing w:val="-12"/>
          <w:sz w:val="20"/>
          <w:vertAlign w:val="baseline"/>
        </w:rPr>
        <w:t> </w:t>
      </w:r>
      <w:r>
        <w:rPr>
          <w:sz w:val="20"/>
          <w:vertAlign w:val="baseline"/>
        </w:rPr>
        <w:t>10.1</w:t>
      </w:r>
      <w:r>
        <w:rPr>
          <w:spacing w:val="-12"/>
          <w:sz w:val="20"/>
          <w:vertAlign w:val="baseline"/>
        </w:rPr>
        <w:t> </w:t>
      </w:r>
      <w:r>
        <w:rPr>
          <w:sz w:val="20"/>
          <w:vertAlign w:val="baseline"/>
        </w:rPr>
        <w:t>(2021),</w:t>
      </w:r>
      <w:r>
        <w:rPr>
          <w:spacing w:val="-10"/>
          <w:sz w:val="20"/>
          <w:vertAlign w:val="baseline"/>
        </w:rPr>
        <w:t> </w:t>
      </w:r>
      <w:r>
        <w:rPr>
          <w:sz w:val="20"/>
          <w:vertAlign w:val="baseline"/>
        </w:rPr>
        <w:t>91–106</w:t>
      </w:r>
      <w:r>
        <w:rPr>
          <w:spacing w:val="-10"/>
          <w:sz w:val="20"/>
          <w:vertAlign w:val="baseline"/>
        </w:rPr>
        <w:t> </w:t>
      </w:r>
      <w:r>
        <w:rPr>
          <w:spacing w:val="-2"/>
          <w:sz w:val="20"/>
          <w:vertAlign w:val="baseline"/>
        </w:rPr>
        <w:t>&lt;https://kbbi.web.id/investasi.&gt;.</w:t>
      </w:r>
    </w:p>
    <w:p>
      <w:pPr>
        <w:spacing w:before="0"/>
        <w:ind w:left="23" w:right="160" w:firstLine="719"/>
        <w:jc w:val="both"/>
        <w:rPr>
          <w:sz w:val="20"/>
        </w:rPr>
      </w:pPr>
      <w:bookmarkStart w:name="_bookmark16" w:id="17"/>
      <w:bookmarkEnd w:id="17"/>
      <w:r>
        <w:rPr/>
      </w:r>
      <w:r>
        <w:rPr>
          <w:sz w:val="20"/>
          <w:vertAlign w:val="superscript"/>
        </w:rPr>
        <w:t>4</w:t>
      </w:r>
      <w:r>
        <w:rPr>
          <w:sz w:val="20"/>
          <w:vertAlign w:val="baseline"/>
        </w:rPr>
        <w:t> Rizki Fadhel, Fajri Adrianto, and Mohamad Fany Alfarisi, ‘Analisis Sentimen Investor Terhadap Kinerja Saham Syariah Di Indonesia Selama Masa Pandemi Covid-19’, </w:t>
      </w:r>
      <w:r>
        <w:rPr>
          <w:i/>
          <w:sz w:val="20"/>
          <w:vertAlign w:val="baseline"/>
        </w:rPr>
        <w:t>Owner: Riset &amp; Jurnsl Akuntansi</w:t>
      </w:r>
      <w:r>
        <w:rPr>
          <w:sz w:val="20"/>
          <w:vertAlign w:val="baseline"/>
        </w:rPr>
        <w:t>, 6.4 (2022), 3579–91 &lt;https://doi.org/10.33395/owner.v6i4.1183&gt;.</w:t>
      </w:r>
    </w:p>
    <w:p>
      <w:pPr>
        <w:tabs>
          <w:tab w:pos="721" w:val="left" w:leader="none"/>
          <w:tab w:pos="1687" w:val="left" w:leader="none"/>
          <w:tab w:pos="2613" w:val="left" w:leader="none"/>
          <w:tab w:pos="3668" w:val="left" w:leader="none"/>
          <w:tab w:pos="4553" w:val="left" w:leader="none"/>
          <w:tab w:pos="5437" w:val="left" w:leader="none"/>
          <w:tab w:pos="6887" w:val="left" w:leader="none"/>
          <w:tab w:pos="7503" w:val="left" w:leader="none"/>
          <w:tab w:pos="8450" w:val="left" w:leader="none"/>
        </w:tabs>
        <w:spacing w:before="0"/>
        <w:ind w:left="23" w:right="157" w:firstLine="719"/>
        <w:jc w:val="left"/>
        <w:rPr>
          <w:sz w:val="20"/>
        </w:rPr>
      </w:pPr>
      <w:bookmarkStart w:name="_bookmark17" w:id="18"/>
      <w:bookmarkEnd w:id="18"/>
      <w:r>
        <w:rPr/>
      </w:r>
      <w:r>
        <w:rPr>
          <w:sz w:val="20"/>
          <w:vertAlign w:val="superscript"/>
        </w:rPr>
        <w:t>5</w:t>
      </w:r>
      <w:r>
        <w:rPr>
          <w:spacing w:val="-13"/>
          <w:sz w:val="20"/>
          <w:vertAlign w:val="baseline"/>
        </w:rPr>
        <w:t> </w:t>
      </w:r>
      <w:r>
        <w:rPr>
          <w:sz w:val="20"/>
          <w:vertAlign w:val="baseline"/>
        </w:rPr>
        <w:t>Irfan</w:t>
      </w:r>
      <w:r>
        <w:rPr>
          <w:spacing w:val="-12"/>
          <w:sz w:val="20"/>
          <w:vertAlign w:val="baseline"/>
        </w:rPr>
        <w:t> </w:t>
      </w:r>
      <w:r>
        <w:rPr>
          <w:sz w:val="20"/>
          <w:vertAlign w:val="baseline"/>
        </w:rPr>
        <w:t>Andinata,</w:t>
      </w:r>
      <w:r>
        <w:rPr>
          <w:spacing w:val="-13"/>
          <w:sz w:val="20"/>
          <w:vertAlign w:val="baseline"/>
        </w:rPr>
        <w:t> </w:t>
      </w:r>
      <w:r>
        <w:rPr>
          <w:sz w:val="20"/>
          <w:vertAlign w:val="baseline"/>
        </w:rPr>
        <w:t>Fatawil</w:t>
      </w:r>
      <w:r>
        <w:rPr>
          <w:spacing w:val="-12"/>
          <w:sz w:val="20"/>
          <w:vertAlign w:val="baseline"/>
        </w:rPr>
        <w:t> </w:t>
      </w:r>
      <w:r>
        <w:rPr>
          <w:sz w:val="20"/>
          <w:vertAlign w:val="baseline"/>
        </w:rPr>
        <w:t>Akbar,</w:t>
      </w:r>
      <w:r>
        <w:rPr>
          <w:spacing w:val="-13"/>
          <w:sz w:val="20"/>
          <w:vertAlign w:val="baseline"/>
        </w:rPr>
        <w:t> </w:t>
      </w:r>
      <w:r>
        <w:rPr>
          <w:sz w:val="20"/>
          <w:vertAlign w:val="baseline"/>
        </w:rPr>
        <w:t>and</w:t>
      </w:r>
      <w:r>
        <w:rPr>
          <w:spacing w:val="-12"/>
          <w:sz w:val="20"/>
          <w:vertAlign w:val="baseline"/>
        </w:rPr>
        <w:t> </w:t>
      </w:r>
      <w:r>
        <w:rPr>
          <w:sz w:val="20"/>
          <w:vertAlign w:val="baseline"/>
        </w:rPr>
        <w:t>Rizka</w:t>
      </w:r>
      <w:r>
        <w:rPr>
          <w:spacing w:val="-13"/>
          <w:sz w:val="20"/>
          <w:vertAlign w:val="baseline"/>
        </w:rPr>
        <w:t> </w:t>
      </w:r>
      <w:r>
        <w:rPr>
          <w:sz w:val="20"/>
          <w:vertAlign w:val="baseline"/>
        </w:rPr>
        <w:t>Amelia,</w:t>
      </w:r>
      <w:r>
        <w:rPr>
          <w:spacing w:val="-12"/>
          <w:sz w:val="20"/>
          <w:vertAlign w:val="baseline"/>
        </w:rPr>
        <w:t> </w:t>
      </w:r>
      <w:r>
        <w:rPr>
          <w:sz w:val="20"/>
          <w:vertAlign w:val="baseline"/>
        </w:rPr>
        <w:t>‘Investasi</w:t>
      </w:r>
      <w:r>
        <w:rPr>
          <w:spacing w:val="-13"/>
          <w:sz w:val="20"/>
          <w:vertAlign w:val="baseline"/>
        </w:rPr>
        <w:t> </w:t>
      </w:r>
      <w:r>
        <w:rPr>
          <w:sz w:val="20"/>
          <w:vertAlign w:val="baseline"/>
        </w:rPr>
        <w:t>Saham</w:t>
      </w:r>
      <w:r>
        <w:rPr>
          <w:spacing w:val="-12"/>
          <w:sz w:val="20"/>
          <w:vertAlign w:val="baseline"/>
        </w:rPr>
        <w:t> </w:t>
      </w:r>
      <w:r>
        <w:rPr>
          <w:sz w:val="20"/>
          <w:vertAlign w:val="baseline"/>
        </w:rPr>
        <w:t>Syariah</w:t>
      </w:r>
      <w:r>
        <w:rPr>
          <w:spacing w:val="-13"/>
          <w:sz w:val="20"/>
          <w:vertAlign w:val="baseline"/>
        </w:rPr>
        <w:t> </w:t>
      </w:r>
      <w:r>
        <w:rPr>
          <w:sz w:val="20"/>
          <w:vertAlign w:val="baseline"/>
        </w:rPr>
        <w:t>Dalam</w:t>
      </w:r>
      <w:r>
        <w:rPr>
          <w:spacing w:val="-12"/>
          <w:sz w:val="20"/>
          <w:vertAlign w:val="baseline"/>
        </w:rPr>
        <w:t> </w:t>
      </w:r>
      <w:r>
        <w:rPr>
          <w:sz w:val="20"/>
          <w:vertAlign w:val="baseline"/>
        </w:rPr>
        <w:t>Perspektif</w:t>
      </w:r>
      <w:r>
        <w:rPr>
          <w:spacing w:val="-12"/>
          <w:sz w:val="20"/>
          <w:vertAlign w:val="baseline"/>
        </w:rPr>
        <w:t> </w:t>
      </w:r>
      <w:r>
        <w:rPr>
          <w:sz w:val="20"/>
          <w:vertAlign w:val="baseline"/>
        </w:rPr>
        <w:t>Ekonomi </w:t>
      </w:r>
      <w:r>
        <w:rPr>
          <w:spacing w:val="-5"/>
          <w:sz w:val="20"/>
          <w:vertAlign w:val="baseline"/>
        </w:rPr>
        <w:t>Dan</w:t>
      </w:r>
      <w:r>
        <w:rPr>
          <w:sz w:val="20"/>
          <w:vertAlign w:val="baseline"/>
        </w:rPr>
        <w:tab/>
      </w:r>
      <w:r>
        <w:rPr>
          <w:spacing w:val="-2"/>
          <w:sz w:val="20"/>
          <w:vertAlign w:val="baseline"/>
        </w:rPr>
        <w:t>Hukum</w:t>
      </w:r>
      <w:r>
        <w:rPr>
          <w:sz w:val="20"/>
          <w:vertAlign w:val="baseline"/>
        </w:rPr>
        <w:tab/>
      </w:r>
      <w:r>
        <w:rPr>
          <w:spacing w:val="-2"/>
          <w:sz w:val="20"/>
          <w:vertAlign w:val="baseline"/>
        </w:rPr>
        <w:t>Islam’,</w:t>
      </w:r>
      <w:r>
        <w:rPr>
          <w:sz w:val="20"/>
          <w:vertAlign w:val="baseline"/>
        </w:rPr>
        <w:tab/>
      </w:r>
      <w:r>
        <w:rPr>
          <w:i/>
          <w:spacing w:val="-2"/>
          <w:sz w:val="20"/>
          <w:vertAlign w:val="baseline"/>
        </w:rPr>
        <w:t>Madani:</w:t>
      </w:r>
      <w:r>
        <w:rPr>
          <w:i/>
          <w:sz w:val="20"/>
          <w:vertAlign w:val="baseline"/>
        </w:rPr>
        <w:tab/>
      </w:r>
      <w:r>
        <w:rPr>
          <w:i/>
          <w:spacing w:val="-2"/>
          <w:sz w:val="20"/>
          <w:vertAlign w:val="baseline"/>
        </w:rPr>
        <w:t>Jurnal</w:t>
      </w:r>
      <w:r>
        <w:rPr>
          <w:i/>
          <w:sz w:val="20"/>
          <w:vertAlign w:val="baseline"/>
        </w:rPr>
        <w:tab/>
      </w:r>
      <w:r>
        <w:rPr>
          <w:i/>
          <w:spacing w:val="-2"/>
          <w:sz w:val="20"/>
          <w:vertAlign w:val="baseline"/>
        </w:rPr>
        <w:t>Ilmiah</w:t>
      </w:r>
      <w:r>
        <w:rPr>
          <w:i/>
          <w:sz w:val="20"/>
          <w:vertAlign w:val="baseline"/>
        </w:rPr>
        <w:tab/>
      </w:r>
      <w:r>
        <w:rPr>
          <w:i/>
          <w:spacing w:val="-2"/>
          <w:sz w:val="20"/>
          <w:vertAlign w:val="baseline"/>
        </w:rPr>
        <w:t>Multidisiplin</w:t>
      </w:r>
      <w:r>
        <w:rPr>
          <w:spacing w:val="-2"/>
          <w:sz w:val="20"/>
          <w:vertAlign w:val="baseline"/>
        </w:rPr>
        <w:t>,</w:t>
      </w:r>
      <w:r>
        <w:rPr>
          <w:sz w:val="20"/>
          <w:vertAlign w:val="baseline"/>
        </w:rPr>
        <w:tab/>
      </w:r>
      <w:r>
        <w:rPr>
          <w:spacing w:val="-5"/>
          <w:sz w:val="20"/>
          <w:vertAlign w:val="baseline"/>
        </w:rPr>
        <w:t>1.6</w:t>
      </w:r>
      <w:r>
        <w:rPr>
          <w:sz w:val="20"/>
          <w:vertAlign w:val="baseline"/>
        </w:rPr>
        <w:tab/>
      </w:r>
      <w:r>
        <w:rPr>
          <w:spacing w:val="-2"/>
          <w:sz w:val="20"/>
          <w:vertAlign w:val="baseline"/>
        </w:rPr>
        <w:t>(2023),</w:t>
      </w:r>
      <w:r>
        <w:rPr>
          <w:sz w:val="20"/>
          <w:vertAlign w:val="baseline"/>
        </w:rPr>
        <w:tab/>
      </w:r>
      <w:r>
        <w:rPr>
          <w:spacing w:val="-2"/>
          <w:sz w:val="20"/>
          <w:vertAlign w:val="baseline"/>
        </w:rPr>
        <w:t>340–48</w:t>
      </w:r>
    </w:p>
    <w:p>
      <w:pPr>
        <w:spacing w:before="0"/>
        <w:ind w:left="23" w:right="0" w:firstLine="0"/>
        <w:jc w:val="left"/>
        <w:rPr>
          <w:sz w:val="20"/>
        </w:rPr>
      </w:pPr>
      <w:r>
        <w:rPr>
          <w:spacing w:val="-2"/>
          <w:sz w:val="20"/>
        </w:rPr>
        <w:t>&lt;https://doi.org/10.5281/zenodo.8124866&gt;.</w:t>
      </w:r>
    </w:p>
    <w:p>
      <w:pPr>
        <w:spacing w:after="0"/>
        <w:jc w:val="left"/>
        <w:rPr>
          <w:sz w:val="20"/>
        </w:rPr>
        <w:sectPr>
          <w:footerReference w:type="default" r:id="rId10"/>
          <w:pgSz w:w="11910" w:h="16840"/>
          <w:pgMar w:header="0" w:footer="1000" w:top="1360" w:bottom="1200" w:left="1417" w:right="1275"/>
          <w:pgNumType w:start="1"/>
        </w:sectPr>
      </w:pPr>
    </w:p>
    <w:p>
      <w:pPr>
        <w:pStyle w:val="BodyText"/>
        <w:spacing w:line="360" w:lineRule="auto" w:before="60"/>
        <w:ind w:left="383" w:right="161"/>
        <w:jc w:val="both"/>
      </w:pPr>
      <w:r>
        <w:rPr/>
        <w:t>dan</w:t>
      </w:r>
      <w:r>
        <w:rPr>
          <w:spacing w:val="-13"/>
        </w:rPr>
        <w:t> </w:t>
      </w:r>
      <w:r>
        <w:rPr/>
        <w:t>canggih</w:t>
      </w:r>
      <w:r>
        <w:rPr>
          <w:spacing w:val="-13"/>
        </w:rPr>
        <w:t> </w:t>
      </w:r>
      <w:r>
        <w:rPr/>
        <w:t>telah</w:t>
      </w:r>
      <w:r>
        <w:rPr>
          <w:spacing w:val="-11"/>
        </w:rPr>
        <w:t> </w:t>
      </w:r>
      <w:r>
        <w:rPr/>
        <w:t>sejalan</w:t>
      </w:r>
      <w:r>
        <w:rPr>
          <w:spacing w:val="-11"/>
        </w:rPr>
        <w:t> </w:t>
      </w:r>
      <w:r>
        <w:rPr/>
        <w:t>dengan</w:t>
      </w:r>
      <w:r>
        <w:rPr>
          <w:spacing w:val="-12"/>
        </w:rPr>
        <w:t> </w:t>
      </w:r>
      <w:r>
        <w:rPr/>
        <w:t>pesatnya</w:t>
      </w:r>
      <w:r>
        <w:rPr>
          <w:spacing w:val="-13"/>
        </w:rPr>
        <w:t> </w:t>
      </w:r>
      <w:r>
        <w:rPr/>
        <w:t>kemajuan</w:t>
      </w:r>
      <w:r>
        <w:rPr>
          <w:spacing w:val="-12"/>
        </w:rPr>
        <w:t> </w:t>
      </w:r>
      <w:r>
        <w:rPr/>
        <w:t>pasar</w:t>
      </w:r>
      <w:r>
        <w:rPr>
          <w:spacing w:val="-14"/>
        </w:rPr>
        <w:t> </w:t>
      </w:r>
      <w:r>
        <w:rPr/>
        <w:t>modal</w:t>
      </w:r>
      <w:r>
        <w:rPr>
          <w:spacing w:val="-13"/>
        </w:rPr>
        <w:t> </w:t>
      </w:r>
      <w:r>
        <w:rPr/>
        <w:t>syariah.</w:t>
      </w:r>
      <w:r>
        <w:rPr>
          <w:spacing w:val="-13"/>
        </w:rPr>
        <w:t> </w:t>
      </w:r>
      <w:r>
        <w:rPr/>
        <w:t>Perputaran</w:t>
      </w:r>
      <w:r>
        <w:rPr>
          <w:spacing w:val="-13"/>
        </w:rPr>
        <w:t> </w:t>
      </w:r>
      <w:r>
        <w:rPr/>
        <w:t>pasar modal syariah terus mengalami gejolak dan tantangan di tengah arus ekonomi global, terutama dampak dari situasi perekonomian agregat. Pasar modal syariah Indonesia memiliki kapasitas yang sangat besar. Akan tetapi tidak menutup kemungkinan bahwasanya pasar modal syariah dapat kalah bersaing dengan sistem permodalan konvensional jika tidak dilakukan inovasi dan akselerasi.</w:t>
      </w:r>
      <w:hyperlink w:history="true" w:anchor="_bookmark18">
        <w:r>
          <w:rPr>
            <w:vertAlign w:val="superscript"/>
          </w:rPr>
          <w:t>6</w:t>
        </w:r>
      </w:hyperlink>
      <w:r>
        <w:rPr>
          <w:vertAlign w:val="baseline"/>
        </w:rPr>
        <w:t> Sebagai pilihan pembiayaan alternatif</w:t>
      </w:r>
      <w:r>
        <w:rPr>
          <w:spacing w:val="-9"/>
          <w:vertAlign w:val="baseline"/>
        </w:rPr>
        <w:t> </w:t>
      </w:r>
      <w:r>
        <w:rPr>
          <w:vertAlign w:val="baseline"/>
        </w:rPr>
        <w:t>bagi</w:t>
      </w:r>
      <w:r>
        <w:rPr>
          <w:spacing w:val="-8"/>
          <w:vertAlign w:val="baseline"/>
        </w:rPr>
        <w:t> </w:t>
      </w:r>
      <w:r>
        <w:rPr>
          <w:vertAlign w:val="baseline"/>
        </w:rPr>
        <w:t>emiten</w:t>
      </w:r>
      <w:r>
        <w:rPr>
          <w:spacing w:val="-7"/>
          <w:vertAlign w:val="baseline"/>
        </w:rPr>
        <w:t> </w:t>
      </w:r>
      <w:r>
        <w:rPr>
          <w:vertAlign w:val="baseline"/>
        </w:rPr>
        <w:t>dan</w:t>
      </w:r>
      <w:r>
        <w:rPr>
          <w:spacing w:val="-6"/>
          <w:vertAlign w:val="baseline"/>
        </w:rPr>
        <w:t> </w:t>
      </w:r>
      <w:r>
        <w:rPr>
          <w:vertAlign w:val="baseline"/>
        </w:rPr>
        <w:t>pilihan</w:t>
      </w:r>
      <w:r>
        <w:rPr>
          <w:spacing w:val="-9"/>
          <w:vertAlign w:val="baseline"/>
        </w:rPr>
        <w:t> </w:t>
      </w:r>
      <w:r>
        <w:rPr>
          <w:vertAlign w:val="baseline"/>
        </w:rPr>
        <w:t>investasi</w:t>
      </w:r>
      <w:r>
        <w:rPr>
          <w:spacing w:val="-8"/>
          <w:vertAlign w:val="baseline"/>
        </w:rPr>
        <w:t> </w:t>
      </w:r>
      <w:r>
        <w:rPr>
          <w:vertAlign w:val="baseline"/>
        </w:rPr>
        <w:t>yang</w:t>
      </w:r>
      <w:r>
        <w:rPr>
          <w:spacing w:val="-6"/>
          <w:vertAlign w:val="baseline"/>
        </w:rPr>
        <w:t> </w:t>
      </w:r>
      <w:r>
        <w:rPr>
          <w:vertAlign w:val="baseline"/>
        </w:rPr>
        <w:t>tidak</w:t>
      </w:r>
      <w:r>
        <w:rPr>
          <w:spacing w:val="-8"/>
          <w:vertAlign w:val="baseline"/>
        </w:rPr>
        <w:t> </w:t>
      </w:r>
      <w:r>
        <w:rPr>
          <w:vertAlign w:val="baseline"/>
        </w:rPr>
        <w:t>diragukan</w:t>
      </w:r>
      <w:r>
        <w:rPr>
          <w:spacing w:val="-8"/>
          <w:vertAlign w:val="baseline"/>
        </w:rPr>
        <w:t> </w:t>
      </w:r>
      <w:r>
        <w:rPr>
          <w:vertAlign w:val="baseline"/>
        </w:rPr>
        <w:t>lagi,</w:t>
      </w:r>
      <w:r>
        <w:rPr>
          <w:spacing w:val="-6"/>
          <w:vertAlign w:val="baseline"/>
        </w:rPr>
        <w:t> </w:t>
      </w:r>
      <w:r>
        <w:rPr>
          <w:vertAlign w:val="baseline"/>
        </w:rPr>
        <w:t>sangat</w:t>
      </w:r>
      <w:r>
        <w:rPr>
          <w:spacing w:val="-5"/>
          <w:vertAlign w:val="baseline"/>
        </w:rPr>
        <w:t> </w:t>
      </w:r>
      <w:r>
        <w:rPr>
          <w:vertAlign w:val="baseline"/>
        </w:rPr>
        <w:t>penting</w:t>
      </w:r>
      <w:r>
        <w:rPr>
          <w:spacing w:val="-8"/>
          <w:vertAlign w:val="baseline"/>
        </w:rPr>
        <w:t> </w:t>
      </w:r>
      <w:r>
        <w:rPr>
          <w:vertAlign w:val="baseline"/>
        </w:rPr>
        <w:t>untuk melakukan</w:t>
      </w:r>
      <w:r>
        <w:rPr>
          <w:spacing w:val="-11"/>
          <w:vertAlign w:val="baseline"/>
        </w:rPr>
        <w:t> </w:t>
      </w:r>
      <w:r>
        <w:rPr>
          <w:vertAlign w:val="baseline"/>
        </w:rPr>
        <w:t>analisis</w:t>
      </w:r>
      <w:r>
        <w:rPr>
          <w:spacing w:val="-10"/>
          <w:vertAlign w:val="baseline"/>
        </w:rPr>
        <w:t> </w:t>
      </w:r>
      <w:r>
        <w:rPr>
          <w:vertAlign w:val="baseline"/>
        </w:rPr>
        <w:t>secara</w:t>
      </w:r>
      <w:r>
        <w:rPr>
          <w:spacing w:val="-12"/>
          <w:vertAlign w:val="baseline"/>
        </w:rPr>
        <w:t> </w:t>
      </w:r>
      <w:r>
        <w:rPr>
          <w:vertAlign w:val="baseline"/>
        </w:rPr>
        <w:t>mendalam</w:t>
      </w:r>
      <w:r>
        <w:rPr>
          <w:spacing w:val="-8"/>
          <w:vertAlign w:val="baseline"/>
        </w:rPr>
        <w:t> </w:t>
      </w:r>
      <w:r>
        <w:rPr>
          <w:vertAlign w:val="baseline"/>
        </w:rPr>
        <w:t>baik</w:t>
      </w:r>
      <w:r>
        <w:rPr>
          <w:spacing w:val="-10"/>
          <w:vertAlign w:val="baseline"/>
        </w:rPr>
        <w:t> </w:t>
      </w:r>
      <w:r>
        <w:rPr>
          <w:vertAlign w:val="baseline"/>
        </w:rPr>
        <w:t>itu</w:t>
      </w:r>
      <w:r>
        <w:rPr>
          <w:spacing w:val="-11"/>
          <w:vertAlign w:val="baseline"/>
        </w:rPr>
        <w:t> </w:t>
      </w:r>
      <w:r>
        <w:rPr>
          <w:vertAlign w:val="baseline"/>
        </w:rPr>
        <w:t>eksternal</w:t>
      </w:r>
      <w:r>
        <w:rPr>
          <w:spacing w:val="-10"/>
          <w:vertAlign w:val="baseline"/>
        </w:rPr>
        <w:t> </w:t>
      </w:r>
      <w:r>
        <w:rPr>
          <w:vertAlign w:val="baseline"/>
        </w:rPr>
        <w:t>maupun</w:t>
      </w:r>
      <w:r>
        <w:rPr>
          <w:spacing w:val="-9"/>
          <w:vertAlign w:val="baseline"/>
        </w:rPr>
        <w:t> </w:t>
      </w:r>
      <w:r>
        <w:rPr>
          <w:vertAlign w:val="baseline"/>
        </w:rPr>
        <w:t>internal</w:t>
      </w:r>
      <w:r>
        <w:rPr>
          <w:spacing w:val="-10"/>
          <w:vertAlign w:val="baseline"/>
        </w:rPr>
        <w:t> </w:t>
      </w:r>
      <w:r>
        <w:rPr>
          <w:vertAlign w:val="baseline"/>
        </w:rPr>
        <w:t>untuk</w:t>
      </w:r>
      <w:r>
        <w:rPr>
          <w:spacing w:val="-11"/>
          <w:vertAlign w:val="baseline"/>
        </w:rPr>
        <w:t> </w:t>
      </w:r>
      <w:r>
        <w:rPr>
          <w:vertAlign w:val="baseline"/>
        </w:rPr>
        <w:t>menentukan tingkat</w:t>
      </w:r>
      <w:r>
        <w:rPr>
          <w:spacing w:val="-1"/>
          <w:vertAlign w:val="baseline"/>
        </w:rPr>
        <w:t> </w:t>
      </w:r>
      <w:r>
        <w:rPr>
          <w:vertAlign w:val="baseline"/>
        </w:rPr>
        <w:t>daya</w:t>
      </w:r>
      <w:r>
        <w:rPr>
          <w:spacing w:val="-2"/>
          <w:vertAlign w:val="baseline"/>
        </w:rPr>
        <w:t> </w:t>
      </w:r>
      <w:r>
        <w:rPr>
          <w:vertAlign w:val="baseline"/>
        </w:rPr>
        <w:t>saing</w:t>
      </w:r>
      <w:r>
        <w:rPr>
          <w:spacing w:val="-1"/>
          <w:vertAlign w:val="baseline"/>
        </w:rPr>
        <w:t> </w:t>
      </w:r>
      <w:r>
        <w:rPr>
          <w:vertAlign w:val="baseline"/>
        </w:rPr>
        <w:t>perusahaan.</w:t>
      </w:r>
      <w:r>
        <w:rPr>
          <w:spacing w:val="-1"/>
          <w:vertAlign w:val="baseline"/>
        </w:rPr>
        <w:t> </w:t>
      </w:r>
      <w:r>
        <w:rPr>
          <w:vertAlign w:val="baseline"/>
        </w:rPr>
        <w:t>Dengan</w:t>
      </w:r>
      <w:r>
        <w:rPr>
          <w:spacing w:val="-1"/>
          <w:vertAlign w:val="baseline"/>
        </w:rPr>
        <w:t> </w:t>
      </w:r>
      <w:r>
        <w:rPr>
          <w:vertAlign w:val="baseline"/>
        </w:rPr>
        <w:t>demikian, pasar</w:t>
      </w:r>
      <w:r>
        <w:rPr>
          <w:spacing w:val="-2"/>
          <w:vertAlign w:val="baseline"/>
        </w:rPr>
        <w:t> </w:t>
      </w:r>
      <w:r>
        <w:rPr>
          <w:vertAlign w:val="baseline"/>
        </w:rPr>
        <w:t>modal</w:t>
      </w:r>
      <w:r>
        <w:rPr>
          <w:spacing w:val="-1"/>
          <w:vertAlign w:val="baseline"/>
        </w:rPr>
        <w:t> </w:t>
      </w:r>
      <w:r>
        <w:rPr>
          <w:vertAlign w:val="baseline"/>
        </w:rPr>
        <w:t>syariah</w:t>
      </w:r>
      <w:r>
        <w:rPr>
          <w:spacing w:val="-1"/>
          <w:vertAlign w:val="baseline"/>
        </w:rPr>
        <w:t> </w:t>
      </w:r>
      <w:r>
        <w:rPr>
          <w:vertAlign w:val="baseline"/>
        </w:rPr>
        <w:t>tetap dapat</w:t>
      </w:r>
      <w:r>
        <w:rPr>
          <w:spacing w:val="-1"/>
          <w:vertAlign w:val="baseline"/>
        </w:rPr>
        <w:t> </w:t>
      </w:r>
      <w:r>
        <w:rPr>
          <w:vertAlign w:val="baseline"/>
        </w:rPr>
        <w:t>eksis di pasar global yang tidak pasti.</w:t>
      </w:r>
      <w:hyperlink w:history="true" w:anchor="_bookmark19">
        <w:r>
          <w:rPr>
            <w:vertAlign w:val="superscript"/>
          </w:rPr>
          <w:t>7</w:t>
        </w:r>
      </w:hyperlink>
    </w:p>
    <w:p>
      <w:pPr>
        <w:pStyle w:val="BodyText"/>
        <w:spacing w:line="360" w:lineRule="auto" w:before="2"/>
        <w:ind w:left="383" w:right="158" w:firstLine="359"/>
        <w:jc w:val="both"/>
      </w:pPr>
      <w:r>
        <w:rPr/>
        <w:t>Dengan diluncurkannya Indeks Saham Syariah Indonesia (ISSI), perkembangan pasar modal syariah di Indonesia semakin signifikan. Indeks Saham Syariah Indonesia (ISSI) merupakan indeks total dari saham-saham syariah Indonesia yang terdaftar di Bursa Efek Indonesia (BEI). Membedakan antara saham syariah dan non-syariah yang sebelumnya merupakan bagian dari Indeks Harga Saham Gabungan adalah tujuan dari pembentukan ISSI. Indeks Saham Syariah Indonesia dipastikan mengalami pasang surut dalam menjalankan operasi ekonominya</w:t>
      </w:r>
      <w:hyperlink w:history="true" w:anchor="_bookmark20">
        <w:r>
          <w:rPr/>
          <w:t>.</w:t>
        </w:r>
        <w:r>
          <w:rPr>
            <w:vertAlign w:val="superscript"/>
          </w:rPr>
          <w:t>8</w:t>
        </w:r>
      </w:hyperlink>
      <w:r>
        <w:rPr>
          <w:vertAlign w:val="baseline"/>
        </w:rPr>
        <w:t> Hal ini membuat pergerakan harga saham tidak bisa diprediksi untuk mencapai tingkat presisi yang tinggi. Masing-masing produk investasi di BEI yang memenuhi kriteria syariah seperti menghindari komponen riba, gharar, dan maysir telah disepakati bersama antara Dewan Syariah Nasional (DSN) dan Otoritas Jasa Keuangan (OJK).</w:t>
      </w:r>
      <w:hyperlink w:history="true" w:anchor="_bookmark21">
        <w:r>
          <w:rPr>
            <w:vertAlign w:val="superscript"/>
          </w:rPr>
          <w:t>9</w:t>
        </w:r>
      </w:hyperlink>
      <w:r>
        <w:rPr>
          <w:vertAlign w:val="baseline"/>
        </w:rPr>
        <w:t> Indeks Saham Syariah Indonesia (ISSI) diperkenalkan mulai tahun 2011. Kapitalisasi pasar ISSI meningkat dari Rp12.000 triliun menjadi Rp12.673 triliun, atau naik 5,60%. Pada periode yang sama, kapitalisasi pasar ISSI meningkat dengan presentase 3,77% senilai 7.382,785 dari 7.114, 266. Adapun jumlah saham syariah yang masuk dalam Daftar Efek Syariah (DES) meningkat sebanyak 626 saham. Indeks Saham Syariah Indonesia dapat berfluktuasi nilainya seiring dengan pertumbuhan ekonomi Indonesia. Hal ini menyiratkan bahwa tidak mungkin untuk membuat prediksi yang tepat tentang</w:t>
      </w:r>
      <w:r>
        <w:rPr>
          <w:spacing w:val="8"/>
          <w:vertAlign w:val="baseline"/>
        </w:rPr>
        <w:t> </w:t>
      </w:r>
      <w:r>
        <w:rPr>
          <w:vertAlign w:val="baseline"/>
        </w:rPr>
        <w:t>bagaimana</w:t>
      </w:r>
      <w:r>
        <w:rPr>
          <w:spacing w:val="9"/>
          <w:vertAlign w:val="baseline"/>
        </w:rPr>
        <w:t> </w:t>
      </w:r>
      <w:r>
        <w:rPr>
          <w:vertAlign w:val="baseline"/>
        </w:rPr>
        <w:t>harga</w:t>
      </w:r>
      <w:r>
        <w:rPr>
          <w:spacing w:val="12"/>
          <w:vertAlign w:val="baseline"/>
        </w:rPr>
        <w:t> </w:t>
      </w:r>
      <w:r>
        <w:rPr>
          <w:vertAlign w:val="baseline"/>
        </w:rPr>
        <w:t>saham</w:t>
      </w:r>
      <w:r>
        <w:rPr>
          <w:spacing w:val="11"/>
          <w:vertAlign w:val="baseline"/>
        </w:rPr>
        <w:t> </w:t>
      </w:r>
      <w:r>
        <w:rPr>
          <w:vertAlign w:val="baseline"/>
        </w:rPr>
        <w:t>akan</w:t>
      </w:r>
      <w:r>
        <w:rPr>
          <w:spacing w:val="11"/>
          <w:vertAlign w:val="baseline"/>
        </w:rPr>
        <w:t> </w:t>
      </w:r>
      <w:r>
        <w:rPr>
          <w:vertAlign w:val="baseline"/>
        </w:rPr>
        <w:t>bergerak</w:t>
      </w:r>
      <w:r>
        <w:rPr>
          <w:spacing w:val="10"/>
          <w:vertAlign w:val="baseline"/>
        </w:rPr>
        <w:t> </w:t>
      </w:r>
      <w:r>
        <w:rPr>
          <w:vertAlign w:val="baseline"/>
        </w:rPr>
        <w:t>naik</w:t>
      </w:r>
      <w:r>
        <w:rPr>
          <w:spacing w:val="12"/>
          <w:vertAlign w:val="baseline"/>
        </w:rPr>
        <w:t> </w:t>
      </w:r>
      <w:r>
        <w:rPr>
          <w:vertAlign w:val="baseline"/>
        </w:rPr>
        <w:t>turun.</w:t>
      </w:r>
      <w:r>
        <w:rPr>
          <w:spacing w:val="10"/>
          <w:vertAlign w:val="baseline"/>
        </w:rPr>
        <w:t> </w:t>
      </w:r>
      <w:r>
        <w:rPr>
          <w:vertAlign w:val="baseline"/>
        </w:rPr>
        <w:t>Sejak</w:t>
      </w:r>
      <w:r>
        <w:rPr>
          <w:spacing w:val="11"/>
          <w:vertAlign w:val="baseline"/>
        </w:rPr>
        <w:t> </w:t>
      </w:r>
      <w:r>
        <w:rPr>
          <w:vertAlign w:val="baseline"/>
        </w:rPr>
        <w:t>pertama</w:t>
      </w:r>
      <w:r>
        <w:rPr>
          <w:spacing w:val="12"/>
          <w:vertAlign w:val="baseline"/>
        </w:rPr>
        <w:t> </w:t>
      </w:r>
      <w:r>
        <w:rPr>
          <w:vertAlign w:val="baseline"/>
        </w:rPr>
        <w:t>kali</w:t>
      </w:r>
      <w:r>
        <w:rPr>
          <w:spacing w:val="12"/>
          <w:vertAlign w:val="baseline"/>
        </w:rPr>
        <w:t> </w:t>
      </w:r>
      <w:r>
        <w:rPr>
          <w:spacing w:val="-2"/>
          <w:vertAlign w:val="baseline"/>
        </w:rPr>
        <w:t>diterbitkan</w:t>
      </w:r>
    </w:p>
    <w:p>
      <w:pPr>
        <w:pStyle w:val="BodyText"/>
        <w:spacing w:before="9"/>
        <w:rPr>
          <w:sz w:val="13"/>
        </w:rPr>
      </w:pPr>
      <w:r>
        <w:rPr>
          <w:sz w:val="13"/>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115940</wp:posOffset>
                </wp:positionV>
                <wp:extent cx="1829435" cy="952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9.129189pt;width:144.020pt;height:.72003pt;mso-position-horizontal-relative:page;mso-position-vertical-relative:paragraph;z-index:-15726080;mso-wrap-distance-left:0;mso-wrap-distance-right:0" id="docshape4" filled="true" fillcolor="#000000" stroked="false">
                <v:fill type="solid"/>
                <w10:wrap type="topAndBottom"/>
              </v:rect>
            </w:pict>
          </mc:Fallback>
        </mc:AlternateContent>
      </w:r>
    </w:p>
    <w:p>
      <w:pPr>
        <w:spacing w:before="101"/>
        <w:ind w:left="23" w:right="168" w:firstLine="719"/>
        <w:jc w:val="both"/>
        <w:rPr>
          <w:sz w:val="20"/>
        </w:rPr>
      </w:pPr>
      <w:bookmarkStart w:name="_bookmark18" w:id="19"/>
      <w:bookmarkEnd w:id="19"/>
      <w:r>
        <w:rPr/>
      </w:r>
      <w:r>
        <w:rPr>
          <w:sz w:val="20"/>
          <w:vertAlign w:val="superscript"/>
        </w:rPr>
        <w:t>6</w:t>
      </w:r>
      <w:r>
        <w:rPr>
          <w:sz w:val="20"/>
          <w:vertAlign w:val="baseline"/>
        </w:rPr>
        <w:t> Sumantyo R and Savitri D.A, ‘Macroeconomic Variables towards Net Asset Value of Sharia Mutual Funds in Indonesia and Malaysia’, </w:t>
      </w:r>
      <w:r>
        <w:rPr>
          <w:i/>
          <w:sz w:val="20"/>
          <w:vertAlign w:val="baseline"/>
        </w:rPr>
        <w:t>Jurnal Keuangan Dan Perbankan</w:t>
      </w:r>
      <w:r>
        <w:rPr>
          <w:sz w:val="20"/>
          <w:vertAlign w:val="baseline"/>
        </w:rPr>
        <w:t>, 23.2 (2019), 300–307.</w:t>
      </w:r>
    </w:p>
    <w:p>
      <w:pPr>
        <w:spacing w:before="1"/>
        <w:ind w:left="23" w:right="167" w:firstLine="719"/>
        <w:jc w:val="both"/>
        <w:rPr>
          <w:sz w:val="20"/>
        </w:rPr>
      </w:pPr>
      <w:bookmarkStart w:name="_bookmark19" w:id="20"/>
      <w:bookmarkEnd w:id="20"/>
      <w:r>
        <w:rPr/>
      </w:r>
      <w:r>
        <w:rPr>
          <w:sz w:val="20"/>
          <w:vertAlign w:val="superscript"/>
        </w:rPr>
        <w:t>7</w:t>
      </w:r>
      <w:r>
        <w:rPr>
          <w:sz w:val="20"/>
          <w:vertAlign w:val="baseline"/>
        </w:rPr>
        <w:t> Basrowi Basrowi and others, ‘Analisis SWOT Pasar Modal Syariah Sebagai Sumber Pembiayaan Di Indonesia’, </w:t>
      </w:r>
      <w:r>
        <w:rPr>
          <w:i/>
          <w:sz w:val="20"/>
          <w:vertAlign w:val="baseline"/>
        </w:rPr>
        <w:t>El-Jizya : Jurnal Ekonomi Islam</w:t>
      </w:r>
      <w:r>
        <w:rPr>
          <w:sz w:val="20"/>
          <w:vertAlign w:val="baseline"/>
        </w:rPr>
        <w:t>, 8.2 (2020), 210–27 &lt;https://doi.org/10.24090/ej.v8i2.3957&gt;.</w:t>
      </w:r>
    </w:p>
    <w:p>
      <w:pPr>
        <w:spacing w:before="1"/>
        <w:ind w:left="23" w:right="164" w:firstLine="719"/>
        <w:jc w:val="both"/>
        <w:rPr>
          <w:sz w:val="20"/>
        </w:rPr>
      </w:pPr>
      <w:bookmarkStart w:name="_bookmark20" w:id="21"/>
      <w:bookmarkEnd w:id="21"/>
      <w:r>
        <w:rPr/>
      </w:r>
      <w:r>
        <w:rPr>
          <w:sz w:val="20"/>
          <w:vertAlign w:val="superscript"/>
        </w:rPr>
        <w:t>8</w:t>
      </w:r>
      <w:r>
        <w:rPr>
          <w:sz w:val="20"/>
          <w:vertAlign w:val="baseline"/>
        </w:rPr>
        <w:t> Mhd Primadona, Isnaini Harahap, and Rahmat Daim Harahap, ‘Pengaruh Pertumbuhan Ekonomi, Inflasi, Dan Nilai Tukar Terhadap Indeks Saham Syariah Indonesia (ISSI)’, </w:t>
      </w:r>
      <w:r>
        <w:rPr>
          <w:i/>
          <w:sz w:val="20"/>
          <w:vertAlign w:val="baseline"/>
        </w:rPr>
        <w:t>Perbanas Journal of Islamic Economics and Business</w:t>
      </w:r>
      <w:r>
        <w:rPr>
          <w:sz w:val="20"/>
          <w:vertAlign w:val="baseline"/>
        </w:rPr>
        <w:t>, 2.2 (2022), 128–35 &lt;https://doi.org/10.56174/pjieb.v2i2.46&gt;.</w:t>
      </w:r>
    </w:p>
    <w:p>
      <w:pPr>
        <w:spacing w:before="0"/>
        <w:ind w:left="23" w:right="164" w:firstLine="719"/>
        <w:jc w:val="both"/>
        <w:rPr>
          <w:sz w:val="20"/>
        </w:rPr>
      </w:pPr>
      <w:bookmarkStart w:name="_bookmark21" w:id="22"/>
      <w:bookmarkEnd w:id="22"/>
      <w:r>
        <w:rPr/>
      </w:r>
      <w:r>
        <w:rPr>
          <w:sz w:val="20"/>
          <w:vertAlign w:val="superscript"/>
        </w:rPr>
        <w:t>9</w:t>
      </w:r>
      <w:r>
        <w:rPr>
          <w:spacing w:val="-8"/>
          <w:sz w:val="20"/>
          <w:vertAlign w:val="baseline"/>
        </w:rPr>
        <w:t> </w:t>
      </w:r>
      <w:r>
        <w:rPr>
          <w:sz w:val="20"/>
          <w:vertAlign w:val="baseline"/>
        </w:rPr>
        <w:t>Fadlilatul</w:t>
      </w:r>
      <w:r>
        <w:rPr>
          <w:spacing w:val="-8"/>
          <w:sz w:val="20"/>
          <w:vertAlign w:val="baseline"/>
        </w:rPr>
        <w:t> </w:t>
      </w:r>
      <w:r>
        <w:rPr>
          <w:sz w:val="20"/>
          <w:vertAlign w:val="baseline"/>
        </w:rPr>
        <w:t>Ulya</w:t>
      </w:r>
      <w:r>
        <w:rPr>
          <w:spacing w:val="-7"/>
          <w:sz w:val="20"/>
          <w:vertAlign w:val="baseline"/>
        </w:rPr>
        <w:t> </w:t>
      </w:r>
      <w:r>
        <w:rPr>
          <w:sz w:val="20"/>
          <w:vertAlign w:val="baseline"/>
        </w:rPr>
        <w:t>and</w:t>
      </w:r>
      <w:r>
        <w:rPr>
          <w:spacing w:val="-7"/>
          <w:sz w:val="20"/>
          <w:vertAlign w:val="baseline"/>
        </w:rPr>
        <w:t> </w:t>
      </w:r>
      <w:r>
        <w:rPr>
          <w:sz w:val="20"/>
          <w:vertAlign w:val="baseline"/>
        </w:rPr>
        <w:t>Via</w:t>
      </w:r>
      <w:r>
        <w:rPr>
          <w:spacing w:val="-7"/>
          <w:sz w:val="20"/>
          <w:vertAlign w:val="baseline"/>
        </w:rPr>
        <w:t> </w:t>
      </w:r>
      <w:r>
        <w:rPr>
          <w:sz w:val="20"/>
          <w:vertAlign w:val="baseline"/>
        </w:rPr>
        <w:t>Sukmaningati,</w:t>
      </w:r>
      <w:r>
        <w:rPr>
          <w:spacing w:val="-7"/>
          <w:sz w:val="20"/>
          <w:vertAlign w:val="baseline"/>
        </w:rPr>
        <w:t> </w:t>
      </w:r>
      <w:r>
        <w:rPr>
          <w:sz w:val="20"/>
          <w:vertAlign w:val="baseline"/>
        </w:rPr>
        <w:t>‘Keuntungan</w:t>
      </w:r>
      <w:r>
        <w:rPr>
          <w:spacing w:val="-9"/>
          <w:sz w:val="20"/>
          <w:vertAlign w:val="baseline"/>
        </w:rPr>
        <w:t> </w:t>
      </w:r>
      <w:r>
        <w:rPr>
          <w:sz w:val="20"/>
          <w:vertAlign w:val="baseline"/>
        </w:rPr>
        <w:t>Investasi</w:t>
      </w:r>
      <w:r>
        <w:rPr>
          <w:spacing w:val="-8"/>
          <w:sz w:val="20"/>
          <w:vertAlign w:val="baseline"/>
        </w:rPr>
        <w:t> </w:t>
      </w:r>
      <w:r>
        <w:rPr>
          <w:sz w:val="20"/>
          <w:vertAlign w:val="baseline"/>
        </w:rPr>
        <w:t>Di</w:t>
      </w:r>
      <w:r>
        <w:rPr>
          <w:spacing w:val="-5"/>
          <w:sz w:val="20"/>
          <w:vertAlign w:val="baseline"/>
        </w:rPr>
        <w:t> </w:t>
      </w:r>
      <w:r>
        <w:rPr>
          <w:sz w:val="20"/>
          <w:vertAlign w:val="baseline"/>
        </w:rPr>
        <w:t>Saham</w:t>
      </w:r>
      <w:r>
        <w:rPr>
          <w:spacing w:val="-7"/>
          <w:sz w:val="20"/>
          <w:vertAlign w:val="baseline"/>
        </w:rPr>
        <w:t> </w:t>
      </w:r>
      <w:r>
        <w:rPr>
          <w:sz w:val="20"/>
          <w:vertAlign w:val="baseline"/>
        </w:rPr>
        <w:t>Syariah’,</w:t>
      </w:r>
      <w:r>
        <w:rPr>
          <w:spacing w:val="-1"/>
          <w:sz w:val="20"/>
          <w:vertAlign w:val="baseline"/>
        </w:rPr>
        <w:t> </w:t>
      </w:r>
      <w:r>
        <w:rPr>
          <w:i/>
          <w:sz w:val="20"/>
          <w:vertAlign w:val="baseline"/>
        </w:rPr>
        <w:t>JII:</w:t>
      </w:r>
      <w:r>
        <w:rPr>
          <w:i/>
          <w:spacing w:val="-7"/>
          <w:sz w:val="20"/>
          <w:vertAlign w:val="baseline"/>
        </w:rPr>
        <w:t> </w:t>
      </w:r>
      <w:r>
        <w:rPr>
          <w:i/>
          <w:sz w:val="20"/>
          <w:vertAlign w:val="baseline"/>
        </w:rPr>
        <w:t>Jurnal</w:t>
      </w:r>
      <w:r>
        <w:rPr>
          <w:i/>
          <w:spacing w:val="-8"/>
          <w:sz w:val="20"/>
          <w:vertAlign w:val="baseline"/>
        </w:rPr>
        <w:t> </w:t>
      </w:r>
      <w:r>
        <w:rPr>
          <w:i/>
          <w:sz w:val="20"/>
          <w:vertAlign w:val="baseline"/>
        </w:rPr>
        <w:t>Investasi Islam</w:t>
      </w:r>
      <w:r>
        <w:rPr>
          <w:sz w:val="20"/>
          <w:vertAlign w:val="baseline"/>
        </w:rPr>
        <w:t>, 5.1 (2021), 59–68 &lt;https://doi.org/10.32505/jii.v5i1.1648&gt;.</w:t>
      </w:r>
    </w:p>
    <w:p>
      <w:pPr>
        <w:spacing w:after="0"/>
        <w:jc w:val="both"/>
        <w:rPr>
          <w:sz w:val="20"/>
        </w:rPr>
        <w:sectPr>
          <w:pgSz w:w="11910" w:h="16840"/>
          <w:pgMar w:header="0" w:footer="1000" w:top="1360" w:bottom="1200" w:left="1417" w:right="1275"/>
        </w:sectPr>
      </w:pPr>
    </w:p>
    <w:p>
      <w:pPr>
        <w:pStyle w:val="BodyText"/>
        <w:spacing w:line="360" w:lineRule="auto" w:before="60"/>
        <w:ind w:left="383" w:right="159"/>
      </w:pPr>
      <w:r>
        <w:rPr/>
        <w:t>sampai</w:t>
      </w:r>
      <w:r>
        <w:rPr>
          <w:spacing w:val="40"/>
        </w:rPr>
        <w:t> </w:t>
      </w:r>
      <w:r>
        <w:rPr/>
        <w:t>pada</w:t>
      </w:r>
      <w:r>
        <w:rPr>
          <w:spacing w:val="40"/>
        </w:rPr>
        <w:t> </w:t>
      </w:r>
      <w:r>
        <w:rPr/>
        <w:t>periode</w:t>
      </w:r>
      <w:r>
        <w:rPr>
          <w:spacing w:val="40"/>
        </w:rPr>
        <w:t> </w:t>
      </w:r>
      <w:r>
        <w:rPr/>
        <w:t>tertentu,</w:t>
      </w:r>
      <w:r>
        <w:rPr>
          <w:spacing w:val="40"/>
        </w:rPr>
        <w:t> </w:t>
      </w:r>
      <w:r>
        <w:rPr/>
        <w:t>indeks</w:t>
      </w:r>
      <w:r>
        <w:rPr>
          <w:spacing w:val="40"/>
        </w:rPr>
        <w:t> </w:t>
      </w:r>
      <w:r>
        <w:rPr/>
        <w:t>saham</w:t>
      </w:r>
      <w:r>
        <w:rPr>
          <w:spacing w:val="40"/>
        </w:rPr>
        <w:t> </w:t>
      </w:r>
      <w:r>
        <w:rPr/>
        <w:t>mencatat</w:t>
      </w:r>
      <w:r>
        <w:rPr>
          <w:spacing w:val="40"/>
        </w:rPr>
        <w:t> </w:t>
      </w:r>
      <w:r>
        <w:rPr/>
        <w:t>perubahan</w:t>
      </w:r>
      <w:r>
        <w:rPr>
          <w:spacing w:val="40"/>
        </w:rPr>
        <w:t> </w:t>
      </w:r>
      <w:r>
        <w:rPr/>
        <w:t>dan</w:t>
      </w:r>
      <w:r>
        <w:rPr>
          <w:spacing w:val="40"/>
        </w:rPr>
        <w:t> </w:t>
      </w:r>
      <w:r>
        <w:rPr/>
        <w:t>volatilitas</w:t>
      </w:r>
      <w:r>
        <w:rPr>
          <w:spacing w:val="40"/>
        </w:rPr>
        <w:t> </w:t>
      </w:r>
      <w:r>
        <w:rPr/>
        <w:t>nilai </w:t>
      </w:r>
      <w:r>
        <w:rPr>
          <w:spacing w:val="-2"/>
        </w:rPr>
        <w:t>saham.</w:t>
      </w:r>
      <w:hyperlink w:history="true" w:anchor="_bookmark22">
        <w:r>
          <w:rPr>
            <w:spacing w:val="-2"/>
            <w:vertAlign w:val="superscript"/>
          </w:rPr>
          <w:t>10</w:t>
        </w:r>
      </w:hyperlink>
    </w:p>
    <w:p>
      <w:pPr>
        <w:pStyle w:val="Heading2"/>
        <w:spacing w:before="1"/>
        <w:ind w:left="579"/>
        <w:jc w:val="center"/>
      </w:pPr>
      <w:r>
        <w:rPr/>
        <w:t>Grafik</w:t>
      </w:r>
      <w:r>
        <w:rPr>
          <w:spacing w:val="-4"/>
        </w:rPr>
        <w:t> </w:t>
      </w:r>
      <w:r>
        <w:rPr>
          <w:spacing w:val="-5"/>
        </w:rPr>
        <w:t>1.1</w:t>
      </w:r>
    </w:p>
    <w:p>
      <w:pPr>
        <w:spacing w:before="137"/>
        <w:ind w:left="578" w:right="0" w:firstLine="0"/>
        <w:jc w:val="center"/>
        <w:rPr>
          <w:b/>
          <w:sz w:val="24"/>
        </w:rPr>
      </w:pPr>
      <w:r>
        <w:rPr>
          <w:b/>
          <w:sz w:val="24"/>
        </w:rPr>
        <w:t>Indeks</w:t>
      </w:r>
      <w:r>
        <w:rPr>
          <w:b/>
          <w:spacing w:val="-4"/>
          <w:sz w:val="24"/>
        </w:rPr>
        <w:t> </w:t>
      </w:r>
      <w:r>
        <w:rPr>
          <w:b/>
          <w:sz w:val="24"/>
        </w:rPr>
        <w:t>Saham</w:t>
      </w:r>
      <w:r>
        <w:rPr>
          <w:b/>
          <w:spacing w:val="-4"/>
          <w:sz w:val="24"/>
        </w:rPr>
        <w:t> </w:t>
      </w:r>
      <w:r>
        <w:rPr>
          <w:b/>
          <w:sz w:val="24"/>
        </w:rPr>
        <w:t>Syariah</w:t>
      </w:r>
      <w:r>
        <w:rPr>
          <w:b/>
          <w:spacing w:val="-4"/>
          <w:sz w:val="24"/>
        </w:rPr>
        <w:t> </w:t>
      </w:r>
      <w:r>
        <w:rPr>
          <w:b/>
          <w:spacing w:val="-2"/>
          <w:sz w:val="24"/>
        </w:rPr>
        <w:t>Indonesia</w:t>
      </w:r>
    </w:p>
    <w:p>
      <w:pPr>
        <w:spacing w:before="143"/>
        <w:ind w:left="1710"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32224">
                <wp:simplePos x="0" y="0"/>
                <wp:positionH relativeFrom="page">
                  <wp:posOffset>2193650</wp:posOffset>
                </wp:positionH>
                <wp:positionV relativeFrom="paragraph">
                  <wp:posOffset>173009</wp:posOffset>
                </wp:positionV>
                <wp:extent cx="3823970" cy="232410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3823970" cy="2324100"/>
                          <a:chExt cx="3823970" cy="2324100"/>
                        </a:xfrm>
                      </wpg:grpSpPr>
                      <wps:wsp>
                        <wps:cNvPr id="10" name="Graphic 10"/>
                        <wps:cNvSpPr/>
                        <wps:spPr>
                          <a:xfrm>
                            <a:off x="47949" y="2731"/>
                            <a:ext cx="3773170" cy="2268220"/>
                          </a:xfrm>
                          <a:custGeom>
                            <a:avLst/>
                            <a:gdLst/>
                            <a:ahLst/>
                            <a:cxnLst/>
                            <a:rect l="l" t="t" r="r" b="b"/>
                            <a:pathLst>
                              <a:path w="3773170" h="2268220">
                                <a:moveTo>
                                  <a:pt x="0" y="0"/>
                                </a:moveTo>
                                <a:lnTo>
                                  <a:pt x="0" y="2268039"/>
                                </a:lnTo>
                              </a:path>
                              <a:path w="3773170" h="2268220">
                                <a:moveTo>
                                  <a:pt x="0" y="2268039"/>
                                </a:moveTo>
                                <a:lnTo>
                                  <a:pt x="3772887" y="2268039"/>
                                </a:lnTo>
                              </a:path>
                              <a:path w="3773170" h="2268220">
                                <a:moveTo>
                                  <a:pt x="3772887" y="2268039"/>
                                </a:moveTo>
                                <a:lnTo>
                                  <a:pt x="3772887" y="0"/>
                                </a:lnTo>
                              </a:path>
                              <a:path w="3773170" h="2268220">
                                <a:moveTo>
                                  <a:pt x="3772887" y="0"/>
                                </a:moveTo>
                                <a:lnTo>
                                  <a:pt x="0" y="0"/>
                                </a:lnTo>
                              </a:path>
                            </a:pathLst>
                          </a:custGeom>
                          <a:ln w="5466">
                            <a:solidFill>
                              <a:srgbClr val="000000"/>
                            </a:solidFill>
                            <a:prstDash val="solid"/>
                          </a:ln>
                        </wps:spPr>
                        <wps:bodyPr wrap="square" lIns="0" tIns="0" rIns="0" bIns="0" rtlCol="0">
                          <a:prstTxWarp prst="textNoShape">
                            <a:avLst/>
                          </a:prstTxWarp>
                          <a:noAutofit/>
                        </wps:bodyPr>
                      </wps:wsp>
                      <wps:wsp>
                        <wps:cNvPr id="11" name="Graphic 11"/>
                        <wps:cNvSpPr/>
                        <wps:spPr>
                          <a:xfrm>
                            <a:off x="0" y="6248"/>
                            <a:ext cx="3820160" cy="2317750"/>
                          </a:xfrm>
                          <a:custGeom>
                            <a:avLst/>
                            <a:gdLst/>
                            <a:ahLst/>
                            <a:cxnLst/>
                            <a:rect l="l" t="t" r="r" b="b"/>
                            <a:pathLst>
                              <a:path w="3820160" h="2317750">
                                <a:moveTo>
                                  <a:pt x="43761" y="2262267"/>
                                </a:moveTo>
                                <a:lnTo>
                                  <a:pt x="0" y="2262267"/>
                                </a:lnTo>
                              </a:path>
                              <a:path w="3820160" h="2317750">
                                <a:moveTo>
                                  <a:pt x="43761" y="1885435"/>
                                </a:moveTo>
                                <a:lnTo>
                                  <a:pt x="0" y="1885435"/>
                                </a:lnTo>
                              </a:path>
                              <a:path w="3820160" h="2317750">
                                <a:moveTo>
                                  <a:pt x="43761" y="1508291"/>
                                </a:moveTo>
                                <a:lnTo>
                                  <a:pt x="0" y="1508291"/>
                                </a:lnTo>
                              </a:path>
                              <a:path w="3820160" h="2317750">
                                <a:moveTo>
                                  <a:pt x="43761" y="1131081"/>
                                </a:moveTo>
                                <a:lnTo>
                                  <a:pt x="0" y="1131081"/>
                                </a:lnTo>
                              </a:path>
                              <a:path w="3820160" h="2317750">
                                <a:moveTo>
                                  <a:pt x="43761" y="753924"/>
                                </a:moveTo>
                                <a:lnTo>
                                  <a:pt x="0" y="753924"/>
                                </a:lnTo>
                              </a:path>
                              <a:path w="3820160" h="2317750">
                                <a:moveTo>
                                  <a:pt x="43761" y="376896"/>
                                </a:moveTo>
                                <a:lnTo>
                                  <a:pt x="0" y="376896"/>
                                </a:lnTo>
                              </a:path>
                              <a:path w="3820160" h="2317750">
                                <a:moveTo>
                                  <a:pt x="43761" y="0"/>
                                </a:moveTo>
                                <a:lnTo>
                                  <a:pt x="0" y="0"/>
                                </a:lnTo>
                              </a:path>
                              <a:path w="3820160" h="2317750">
                                <a:moveTo>
                                  <a:pt x="49228" y="2269029"/>
                                </a:moveTo>
                                <a:lnTo>
                                  <a:pt x="49228" y="2293808"/>
                                </a:lnTo>
                              </a:path>
                              <a:path w="3820160" h="2317750">
                                <a:moveTo>
                                  <a:pt x="112952" y="2269029"/>
                                </a:moveTo>
                                <a:lnTo>
                                  <a:pt x="112952" y="2293808"/>
                                </a:lnTo>
                              </a:path>
                              <a:path w="3820160" h="2317750">
                                <a:moveTo>
                                  <a:pt x="175372" y="2269029"/>
                                </a:moveTo>
                                <a:lnTo>
                                  <a:pt x="175372" y="2293808"/>
                                </a:lnTo>
                              </a:path>
                              <a:path w="3820160" h="2317750">
                                <a:moveTo>
                                  <a:pt x="238118" y="2269029"/>
                                </a:moveTo>
                                <a:lnTo>
                                  <a:pt x="238118" y="2293808"/>
                                </a:lnTo>
                              </a:path>
                              <a:path w="3820160" h="2317750">
                                <a:moveTo>
                                  <a:pt x="300550" y="2269029"/>
                                </a:moveTo>
                                <a:lnTo>
                                  <a:pt x="300550" y="2293808"/>
                                </a:lnTo>
                              </a:path>
                              <a:path w="3820160" h="2317750">
                                <a:moveTo>
                                  <a:pt x="364262" y="2269029"/>
                                </a:moveTo>
                                <a:lnTo>
                                  <a:pt x="364262" y="2293808"/>
                                </a:lnTo>
                              </a:path>
                              <a:path w="3820160" h="2317750">
                                <a:moveTo>
                                  <a:pt x="426681" y="2269029"/>
                                </a:moveTo>
                                <a:lnTo>
                                  <a:pt x="426681" y="2293808"/>
                                </a:lnTo>
                              </a:path>
                              <a:path w="3820160" h="2317750">
                                <a:moveTo>
                                  <a:pt x="489114" y="2269029"/>
                                </a:moveTo>
                                <a:lnTo>
                                  <a:pt x="489114" y="2293808"/>
                                </a:lnTo>
                              </a:path>
                              <a:path w="3820160" h="2317750">
                                <a:moveTo>
                                  <a:pt x="552825" y="2269029"/>
                                </a:moveTo>
                                <a:lnTo>
                                  <a:pt x="552825" y="2293808"/>
                                </a:lnTo>
                              </a:path>
                              <a:path w="3820160" h="2317750">
                                <a:moveTo>
                                  <a:pt x="615571" y="2269029"/>
                                </a:moveTo>
                                <a:lnTo>
                                  <a:pt x="615571" y="2293808"/>
                                </a:lnTo>
                              </a:path>
                              <a:path w="3820160" h="2317750">
                                <a:moveTo>
                                  <a:pt x="678003" y="2269029"/>
                                </a:moveTo>
                                <a:lnTo>
                                  <a:pt x="678003" y="2293808"/>
                                </a:lnTo>
                              </a:path>
                              <a:path w="3820160" h="2317750">
                                <a:moveTo>
                                  <a:pt x="740423" y="2269029"/>
                                </a:moveTo>
                                <a:lnTo>
                                  <a:pt x="740423" y="2293808"/>
                                </a:lnTo>
                              </a:path>
                              <a:path w="3820160" h="2317750">
                                <a:moveTo>
                                  <a:pt x="804134" y="2269029"/>
                                </a:moveTo>
                                <a:lnTo>
                                  <a:pt x="804134" y="2293808"/>
                                </a:lnTo>
                              </a:path>
                              <a:path w="3820160" h="2317750">
                                <a:moveTo>
                                  <a:pt x="866880" y="2269029"/>
                                </a:moveTo>
                                <a:lnTo>
                                  <a:pt x="866880" y="2293808"/>
                                </a:lnTo>
                              </a:path>
                              <a:path w="3820160" h="2317750">
                                <a:moveTo>
                                  <a:pt x="929313" y="2269029"/>
                                </a:moveTo>
                                <a:lnTo>
                                  <a:pt x="929313" y="2293808"/>
                                </a:lnTo>
                              </a:path>
                              <a:path w="3820160" h="2317750">
                                <a:moveTo>
                                  <a:pt x="991732" y="2269029"/>
                                </a:moveTo>
                                <a:lnTo>
                                  <a:pt x="991732" y="2293808"/>
                                </a:lnTo>
                              </a:path>
                              <a:path w="3820160" h="2317750">
                                <a:moveTo>
                                  <a:pt x="1055444" y="2269029"/>
                                </a:moveTo>
                                <a:lnTo>
                                  <a:pt x="1055444" y="2293808"/>
                                </a:lnTo>
                              </a:path>
                              <a:path w="3820160" h="2317750">
                                <a:moveTo>
                                  <a:pt x="1118163" y="2269029"/>
                                </a:moveTo>
                                <a:lnTo>
                                  <a:pt x="1118163" y="2293808"/>
                                </a:lnTo>
                              </a:path>
                              <a:path w="3820160" h="2317750">
                                <a:moveTo>
                                  <a:pt x="1180661" y="2269029"/>
                                </a:moveTo>
                                <a:lnTo>
                                  <a:pt x="1180661" y="2293808"/>
                                </a:lnTo>
                              </a:path>
                              <a:path w="3820160" h="2317750">
                                <a:moveTo>
                                  <a:pt x="1243028" y="2269029"/>
                                </a:moveTo>
                                <a:lnTo>
                                  <a:pt x="1243028" y="2293808"/>
                                </a:lnTo>
                              </a:path>
                              <a:path w="3820160" h="2317750">
                                <a:moveTo>
                                  <a:pt x="1306701" y="2269029"/>
                                </a:moveTo>
                                <a:lnTo>
                                  <a:pt x="1306701" y="2293808"/>
                                </a:lnTo>
                              </a:path>
                              <a:path w="3820160" h="2317750">
                                <a:moveTo>
                                  <a:pt x="1369459" y="2269029"/>
                                </a:moveTo>
                                <a:lnTo>
                                  <a:pt x="1369459" y="2293808"/>
                                </a:lnTo>
                              </a:path>
                              <a:path w="3820160" h="2317750">
                                <a:moveTo>
                                  <a:pt x="1431957" y="2269029"/>
                                </a:moveTo>
                                <a:lnTo>
                                  <a:pt x="1431957" y="2293808"/>
                                </a:lnTo>
                              </a:path>
                              <a:path w="3820160" h="2317750">
                                <a:moveTo>
                                  <a:pt x="1495629" y="2269029"/>
                                </a:moveTo>
                                <a:lnTo>
                                  <a:pt x="1495629" y="2293808"/>
                                </a:lnTo>
                              </a:path>
                              <a:path w="3820160" h="2317750">
                                <a:moveTo>
                                  <a:pt x="1558127" y="2269029"/>
                                </a:moveTo>
                                <a:lnTo>
                                  <a:pt x="1558127" y="2293808"/>
                                </a:lnTo>
                              </a:path>
                              <a:path w="3820160" h="2317750">
                                <a:moveTo>
                                  <a:pt x="1620495" y="2269029"/>
                                </a:moveTo>
                                <a:lnTo>
                                  <a:pt x="1620495" y="2293808"/>
                                </a:lnTo>
                              </a:path>
                              <a:path w="3820160" h="2317750">
                                <a:moveTo>
                                  <a:pt x="1683253" y="2269029"/>
                                </a:moveTo>
                                <a:lnTo>
                                  <a:pt x="1683253" y="2293808"/>
                                </a:lnTo>
                              </a:path>
                              <a:path w="3820160" h="2317750">
                                <a:moveTo>
                                  <a:pt x="1746926" y="2269029"/>
                                </a:moveTo>
                                <a:lnTo>
                                  <a:pt x="1746926" y="2293808"/>
                                </a:lnTo>
                              </a:path>
                              <a:path w="3820160" h="2317750">
                                <a:moveTo>
                                  <a:pt x="1809423" y="2269029"/>
                                </a:moveTo>
                                <a:lnTo>
                                  <a:pt x="1809423" y="2293808"/>
                                </a:lnTo>
                              </a:path>
                              <a:path w="3820160" h="2317750">
                                <a:moveTo>
                                  <a:pt x="1871791" y="2269029"/>
                                </a:moveTo>
                                <a:lnTo>
                                  <a:pt x="1871791" y="2293808"/>
                                </a:lnTo>
                              </a:path>
                              <a:path w="3820160" h="2317750">
                                <a:moveTo>
                                  <a:pt x="1934550" y="2269029"/>
                                </a:moveTo>
                                <a:lnTo>
                                  <a:pt x="1934550" y="2293808"/>
                                </a:lnTo>
                              </a:path>
                              <a:path w="3820160" h="2317750">
                                <a:moveTo>
                                  <a:pt x="1998222" y="2269029"/>
                                </a:moveTo>
                                <a:lnTo>
                                  <a:pt x="1998222" y="2293808"/>
                                </a:lnTo>
                              </a:path>
                              <a:path w="3820160" h="2317750">
                                <a:moveTo>
                                  <a:pt x="2060720" y="2269029"/>
                                </a:moveTo>
                                <a:lnTo>
                                  <a:pt x="2060720" y="2293808"/>
                                </a:lnTo>
                              </a:path>
                              <a:path w="3820160" h="2317750">
                                <a:moveTo>
                                  <a:pt x="2123087" y="2269029"/>
                                </a:moveTo>
                                <a:lnTo>
                                  <a:pt x="2123087" y="2293808"/>
                                </a:lnTo>
                              </a:path>
                              <a:path w="3820160" h="2317750">
                                <a:moveTo>
                                  <a:pt x="2185846" y="2269029"/>
                                </a:moveTo>
                                <a:lnTo>
                                  <a:pt x="2185846" y="2293808"/>
                                </a:lnTo>
                              </a:path>
                              <a:path w="3820160" h="2317750">
                                <a:moveTo>
                                  <a:pt x="2249648" y="2269029"/>
                                </a:moveTo>
                                <a:lnTo>
                                  <a:pt x="2249648" y="2293808"/>
                                </a:lnTo>
                              </a:path>
                              <a:path w="3820160" h="2317750">
                                <a:moveTo>
                                  <a:pt x="2312016" y="2269029"/>
                                </a:moveTo>
                                <a:lnTo>
                                  <a:pt x="2312016" y="2293808"/>
                                </a:lnTo>
                              </a:path>
                              <a:path w="3820160" h="2317750">
                                <a:moveTo>
                                  <a:pt x="2374383" y="2269029"/>
                                </a:moveTo>
                                <a:lnTo>
                                  <a:pt x="2374383" y="2293808"/>
                                </a:lnTo>
                              </a:path>
                              <a:path w="3820160" h="2317750">
                                <a:moveTo>
                                  <a:pt x="2438186" y="2269029"/>
                                </a:moveTo>
                                <a:lnTo>
                                  <a:pt x="2438186" y="2293808"/>
                                </a:lnTo>
                              </a:path>
                              <a:path w="3820160" h="2317750">
                                <a:moveTo>
                                  <a:pt x="2500945" y="2269029"/>
                                </a:moveTo>
                                <a:lnTo>
                                  <a:pt x="2500945" y="2293808"/>
                                </a:lnTo>
                              </a:path>
                              <a:path w="3820160" h="2317750">
                                <a:moveTo>
                                  <a:pt x="2563312" y="2269029"/>
                                </a:moveTo>
                                <a:lnTo>
                                  <a:pt x="2563312" y="2293808"/>
                                </a:lnTo>
                              </a:path>
                              <a:path w="3820160" h="2317750">
                                <a:moveTo>
                                  <a:pt x="2625810" y="2269029"/>
                                </a:moveTo>
                                <a:lnTo>
                                  <a:pt x="2625810" y="2293808"/>
                                </a:lnTo>
                              </a:path>
                              <a:path w="3820160" h="2317750">
                                <a:moveTo>
                                  <a:pt x="2689482" y="2269029"/>
                                </a:moveTo>
                                <a:lnTo>
                                  <a:pt x="2689482" y="2293808"/>
                                </a:lnTo>
                              </a:path>
                              <a:path w="3820160" h="2317750">
                                <a:moveTo>
                                  <a:pt x="2752241" y="2269029"/>
                                </a:moveTo>
                                <a:lnTo>
                                  <a:pt x="2752241" y="2293808"/>
                                </a:lnTo>
                              </a:path>
                              <a:path w="3820160" h="2317750">
                                <a:moveTo>
                                  <a:pt x="2814608" y="2269029"/>
                                </a:moveTo>
                                <a:lnTo>
                                  <a:pt x="2814608" y="2293808"/>
                                </a:lnTo>
                              </a:path>
                              <a:path w="3820160" h="2317750">
                                <a:moveTo>
                                  <a:pt x="2877106" y="2269029"/>
                                </a:moveTo>
                                <a:lnTo>
                                  <a:pt x="2877106" y="2293808"/>
                                </a:lnTo>
                              </a:path>
                              <a:path w="3820160" h="2317750">
                                <a:moveTo>
                                  <a:pt x="2940778" y="2269029"/>
                                </a:moveTo>
                                <a:lnTo>
                                  <a:pt x="2940778" y="2293808"/>
                                </a:lnTo>
                              </a:path>
                              <a:path w="3820160" h="2317750">
                                <a:moveTo>
                                  <a:pt x="3003146" y="2269029"/>
                                </a:moveTo>
                                <a:lnTo>
                                  <a:pt x="3003146" y="2293808"/>
                                </a:lnTo>
                              </a:path>
                              <a:path w="3820160" h="2317750">
                                <a:moveTo>
                                  <a:pt x="3065904" y="2269029"/>
                                </a:moveTo>
                                <a:lnTo>
                                  <a:pt x="3065904" y="2293808"/>
                                </a:lnTo>
                              </a:path>
                              <a:path w="3820160" h="2317750">
                                <a:moveTo>
                                  <a:pt x="3128402" y="2269029"/>
                                </a:moveTo>
                                <a:lnTo>
                                  <a:pt x="3128402" y="2293808"/>
                                </a:lnTo>
                              </a:path>
                              <a:path w="3820160" h="2317750">
                                <a:moveTo>
                                  <a:pt x="3192074" y="2269029"/>
                                </a:moveTo>
                                <a:lnTo>
                                  <a:pt x="3192074" y="2293808"/>
                                </a:lnTo>
                              </a:path>
                              <a:path w="3820160" h="2317750">
                                <a:moveTo>
                                  <a:pt x="3254572" y="2269029"/>
                                </a:moveTo>
                                <a:lnTo>
                                  <a:pt x="3254572" y="2293808"/>
                                </a:lnTo>
                              </a:path>
                              <a:path w="3820160" h="2317750">
                                <a:moveTo>
                                  <a:pt x="3317201" y="2269029"/>
                                </a:moveTo>
                                <a:lnTo>
                                  <a:pt x="3317201" y="2293808"/>
                                </a:lnTo>
                              </a:path>
                              <a:path w="3820160" h="2317750">
                                <a:moveTo>
                                  <a:pt x="3381003" y="2269029"/>
                                </a:moveTo>
                                <a:lnTo>
                                  <a:pt x="3381003" y="2293808"/>
                                </a:lnTo>
                              </a:path>
                              <a:path w="3820160" h="2317750">
                                <a:moveTo>
                                  <a:pt x="3443371" y="2269029"/>
                                </a:moveTo>
                                <a:lnTo>
                                  <a:pt x="3443371" y="2293808"/>
                                </a:lnTo>
                              </a:path>
                              <a:path w="3820160" h="2317750">
                                <a:moveTo>
                                  <a:pt x="3505868" y="2269029"/>
                                </a:moveTo>
                                <a:lnTo>
                                  <a:pt x="3505868" y="2293808"/>
                                </a:lnTo>
                              </a:path>
                              <a:path w="3820160" h="2317750">
                                <a:moveTo>
                                  <a:pt x="3568627" y="2269029"/>
                                </a:moveTo>
                                <a:lnTo>
                                  <a:pt x="3568627" y="2293808"/>
                                </a:lnTo>
                              </a:path>
                              <a:path w="3820160" h="2317750">
                                <a:moveTo>
                                  <a:pt x="3632299" y="2269029"/>
                                </a:moveTo>
                                <a:lnTo>
                                  <a:pt x="3632299" y="2293808"/>
                                </a:lnTo>
                              </a:path>
                              <a:path w="3820160" h="2317750">
                                <a:moveTo>
                                  <a:pt x="3694667" y="2269029"/>
                                </a:moveTo>
                                <a:lnTo>
                                  <a:pt x="3694667" y="2293808"/>
                                </a:lnTo>
                              </a:path>
                              <a:path w="3820160" h="2317750">
                                <a:moveTo>
                                  <a:pt x="3757165" y="2269029"/>
                                </a:moveTo>
                                <a:lnTo>
                                  <a:pt x="3757165" y="2293808"/>
                                </a:lnTo>
                              </a:path>
                              <a:path w="3820160" h="2317750">
                                <a:moveTo>
                                  <a:pt x="3819924" y="2269029"/>
                                </a:moveTo>
                                <a:lnTo>
                                  <a:pt x="3819924" y="2293808"/>
                                </a:lnTo>
                              </a:path>
                              <a:path w="3820160" h="2317750">
                                <a:moveTo>
                                  <a:pt x="49228" y="2269029"/>
                                </a:moveTo>
                                <a:lnTo>
                                  <a:pt x="49228" y="2317297"/>
                                </a:lnTo>
                              </a:path>
                              <a:path w="3820160" h="2317750">
                                <a:moveTo>
                                  <a:pt x="238118" y="2269029"/>
                                </a:moveTo>
                                <a:lnTo>
                                  <a:pt x="238118" y="2317297"/>
                                </a:lnTo>
                              </a:path>
                              <a:path w="3820160" h="2317750">
                                <a:moveTo>
                                  <a:pt x="426681" y="2269029"/>
                                </a:moveTo>
                                <a:lnTo>
                                  <a:pt x="426681" y="2317297"/>
                                </a:lnTo>
                              </a:path>
                              <a:path w="3820160" h="2317750">
                                <a:moveTo>
                                  <a:pt x="615571" y="2269029"/>
                                </a:moveTo>
                                <a:lnTo>
                                  <a:pt x="615571" y="2317297"/>
                                </a:lnTo>
                              </a:path>
                              <a:path w="3820160" h="2317750">
                                <a:moveTo>
                                  <a:pt x="804134" y="2269029"/>
                                </a:moveTo>
                                <a:lnTo>
                                  <a:pt x="804134" y="2317297"/>
                                </a:lnTo>
                              </a:path>
                              <a:path w="3820160" h="2317750">
                                <a:moveTo>
                                  <a:pt x="991732" y="2269029"/>
                                </a:moveTo>
                                <a:lnTo>
                                  <a:pt x="991732" y="2317297"/>
                                </a:lnTo>
                              </a:path>
                              <a:path w="3820160" h="2317750">
                                <a:moveTo>
                                  <a:pt x="1180661" y="2269029"/>
                                </a:moveTo>
                                <a:lnTo>
                                  <a:pt x="1180661" y="2317297"/>
                                </a:lnTo>
                              </a:path>
                              <a:path w="3820160" h="2317750">
                                <a:moveTo>
                                  <a:pt x="1369459" y="2269029"/>
                                </a:moveTo>
                                <a:lnTo>
                                  <a:pt x="1369459" y="2317297"/>
                                </a:lnTo>
                              </a:path>
                              <a:path w="3820160" h="2317750">
                                <a:moveTo>
                                  <a:pt x="1558127" y="2269029"/>
                                </a:moveTo>
                                <a:lnTo>
                                  <a:pt x="1558127" y="2317297"/>
                                </a:lnTo>
                              </a:path>
                              <a:path w="3820160" h="2317750">
                                <a:moveTo>
                                  <a:pt x="1746926" y="2269029"/>
                                </a:moveTo>
                                <a:lnTo>
                                  <a:pt x="1746926" y="2317297"/>
                                </a:lnTo>
                              </a:path>
                              <a:path w="3820160" h="2317750">
                                <a:moveTo>
                                  <a:pt x="1934550" y="2269029"/>
                                </a:moveTo>
                                <a:lnTo>
                                  <a:pt x="1934550" y="2317297"/>
                                </a:lnTo>
                              </a:path>
                              <a:path w="3820160" h="2317750">
                                <a:moveTo>
                                  <a:pt x="2123087" y="2269029"/>
                                </a:moveTo>
                                <a:lnTo>
                                  <a:pt x="2123087" y="2317297"/>
                                </a:lnTo>
                              </a:path>
                              <a:path w="3820160" h="2317750">
                                <a:moveTo>
                                  <a:pt x="2312016" y="2269029"/>
                                </a:moveTo>
                                <a:lnTo>
                                  <a:pt x="2312016" y="2317297"/>
                                </a:lnTo>
                              </a:path>
                              <a:path w="3820160" h="2317750">
                                <a:moveTo>
                                  <a:pt x="2500945" y="2269029"/>
                                </a:moveTo>
                                <a:lnTo>
                                  <a:pt x="2500945" y="2317297"/>
                                </a:lnTo>
                              </a:path>
                              <a:path w="3820160" h="2317750">
                                <a:moveTo>
                                  <a:pt x="2689482" y="2269029"/>
                                </a:moveTo>
                                <a:lnTo>
                                  <a:pt x="2689482" y="2317297"/>
                                </a:lnTo>
                              </a:path>
                              <a:path w="3820160" h="2317750">
                                <a:moveTo>
                                  <a:pt x="2877106" y="2269029"/>
                                </a:moveTo>
                                <a:lnTo>
                                  <a:pt x="2877106" y="2317297"/>
                                </a:lnTo>
                              </a:path>
                              <a:path w="3820160" h="2317750">
                                <a:moveTo>
                                  <a:pt x="3065904" y="2269029"/>
                                </a:moveTo>
                                <a:lnTo>
                                  <a:pt x="3065904" y="2317297"/>
                                </a:lnTo>
                              </a:path>
                              <a:path w="3820160" h="2317750">
                                <a:moveTo>
                                  <a:pt x="3254572" y="2269029"/>
                                </a:moveTo>
                                <a:lnTo>
                                  <a:pt x="3254572" y="2317297"/>
                                </a:lnTo>
                              </a:path>
                              <a:path w="3820160" h="2317750">
                                <a:moveTo>
                                  <a:pt x="3443371" y="2269029"/>
                                </a:moveTo>
                                <a:lnTo>
                                  <a:pt x="3443371" y="2317297"/>
                                </a:lnTo>
                              </a:path>
                              <a:path w="3820160" h="2317750">
                                <a:moveTo>
                                  <a:pt x="3632299" y="2269029"/>
                                </a:moveTo>
                                <a:lnTo>
                                  <a:pt x="3632299" y="2317297"/>
                                </a:lnTo>
                              </a:path>
                              <a:path w="3820160" h="2317750">
                                <a:moveTo>
                                  <a:pt x="3819924" y="2269029"/>
                                </a:moveTo>
                                <a:lnTo>
                                  <a:pt x="3819924" y="2317297"/>
                                </a:lnTo>
                              </a:path>
                              <a:path w="3820160" h="2317750">
                                <a:moveTo>
                                  <a:pt x="49228" y="2269029"/>
                                </a:moveTo>
                                <a:lnTo>
                                  <a:pt x="49228" y="2317297"/>
                                </a:lnTo>
                              </a:path>
                              <a:path w="3820160" h="2317750">
                                <a:moveTo>
                                  <a:pt x="804134" y="2269029"/>
                                </a:moveTo>
                                <a:lnTo>
                                  <a:pt x="804134" y="2317297"/>
                                </a:lnTo>
                              </a:path>
                              <a:path w="3820160" h="2317750">
                                <a:moveTo>
                                  <a:pt x="1558127" y="2269029"/>
                                </a:moveTo>
                                <a:lnTo>
                                  <a:pt x="1558127" y="2317297"/>
                                </a:lnTo>
                              </a:path>
                              <a:path w="3820160" h="2317750">
                                <a:moveTo>
                                  <a:pt x="2312016" y="2269029"/>
                                </a:moveTo>
                                <a:lnTo>
                                  <a:pt x="2312016" y="2317297"/>
                                </a:lnTo>
                              </a:path>
                              <a:path w="3820160" h="2317750">
                                <a:moveTo>
                                  <a:pt x="3065904" y="2269029"/>
                                </a:moveTo>
                                <a:lnTo>
                                  <a:pt x="3065904" y="2317297"/>
                                </a:lnTo>
                              </a:path>
                              <a:path w="3820160" h="2317750">
                                <a:moveTo>
                                  <a:pt x="3819924" y="2269029"/>
                                </a:moveTo>
                                <a:lnTo>
                                  <a:pt x="3819924" y="2317297"/>
                                </a:lnTo>
                              </a:path>
                            </a:pathLst>
                          </a:custGeom>
                          <a:ln w="4501">
                            <a:solidFill>
                              <a:srgbClr val="000000"/>
                            </a:solidFill>
                            <a:prstDash val="solid"/>
                          </a:ln>
                        </wps:spPr>
                        <wps:bodyPr wrap="square" lIns="0" tIns="0" rIns="0" bIns="0" rtlCol="0">
                          <a:prstTxWarp prst="textNoShape">
                            <a:avLst/>
                          </a:prstTxWarp>
                          <a:noAutofit/>
                        </wps:bodyPr>
                      </wps:wsp>
                      <wps:wsp>
                        <wps:cNvPr id="12" name="Graphic 12"/>
                        <wps:cNvSpPr/>
                        <wps:spPr>
                          <a:xfrm>
                            <a:off x="81729" y="994153"/>
                            <a:ext cx="125095" cy="1042035"/>
                          </a:xfrm>
                          <a:custGeom>
                            <a:avLst/>
                            <a:gdLst/>
                            <a:ahLst/>
                            <a:cxnLst/>
                            <a:rect l="l" t="t" r="r" b="b"/>
                            <a:pathLst>
                              <a:path w="125095" h="1042035">
                                <a:moveTo>
                                  <a:pt x="0" y="0"/>
                                </a:moveTo>
                                <a:lnTo>
                                  <a:pt x="62432" y="580887"/>
                                </a:lnTo>
                              </a:path>
                              <a:path w="125095" h="1042035">
                                <a:moveTo>
                                  <a:pt x="62432" y="580887"/>
                                </a:moveTo>
                                <a:lnTo>
                                  <a:pt x="124852" y="1041697"/>
                                </a:lnTo>
                              </a:path>
                            </a:pathLst>
                          </a:custGeom>
                          <a:ln w="7716">
                            <a:solidFill>
                              <a:srgbClr val="0000FF"/>
                            </a:solidFill>
                            <a:prstDash val="solid"/>
                          </a:ln>
                        </wps:spPr>
                        <wps:bodyPr wrap="square" lIns="0" tIns="0" rIns="0" bIns="0" rtlCol="0">
                          <a:prstTxWarp prst="textNoShape">
                            <a:avLst/>
                          </a:prstTxWarp>
                          <a:noAutofit/>
                        </wps:bodyPr>
                      </wps:wsp>
                      <pic:pic>
                        <pic:nvPicPr>
                          <pic:cNvPr id="13" name="Image 13"/>
                          <pic:cNvPicPr/>
                        </pic:nvPicPr>
                        <pic:blipFill>
                          <a:blip r:embed="rId11" cstate="print"/>
                          <a:stretch>
                            <a:fillRect/>
                          </a:stretch>
                        </pic:blipFill>
                        <pic:spPr>
                          <a:xfrm>
                            <a:off x="202721" y="1638105"/>
                            <a:ext cx="447919" cy="401606"/>
                          </a:xfrm>
                          <a:prstGeom prst="rect">
                            <a:avLst/>
                          </a:prstGeom>
                        </pic:spPr>
                      </pic:pic>
                      <wps:wsp>
                        <wps:cNvPr id="14" name="Graphic 14"/>
                        <wps:cNvSpPr/>
                        <wps:spPr>
                          <a:xfrm>
                            <a:off x="646781" y="179649"/>
                            <a:ext cx="3141980" cy="1513840"/>
                          </a:xfrm>
                          <a:custGeom>
                            <a:avLst/>
                            <a:gdLst/>
                            <a:ahLst/>
                            <a:cxnLst/>
                            <a:rect l="l" t="t" r="r" b="b"/>
                            <a:pathLst>
                              <a:path w="3141980" h="1513840">
                                <a:moveTo>
                                  <a:pt x="0" y="1513802"/>
                                </a:moveTo>
                                <a:lnTo>
                                  <a:pt x="62432" y="1149190"/>
                                </a:lnTo>
                              </a:path>
                              <a:path w="3141980" h="1513840">
                                <a:moveTo>
                                  <a:pt x="62432" y="1149190"/>
                                </a:moveTo>
                                <a:lnTo>
                                  <a:pt x="125178" y="1004711"/>
                                </a:lnTo>
                              </a:path>
                              <a:path w="3141980" h="1513840">
                                <a:moveTo>
                                  <a:pt x="125178" y="1004711"/>
                                </a:moveTo>
                                <a:lnTo>
                                  <a:pt x="188563" y="1103202"/>
                                </a:lnTo>
                              </a:path>
                              <a:path w="3141980" h="1513840">
                                <a:moveTo>
                                  <a:pt x="188563" y="1103202"/>
                                </a:moveTo>
                                <a:lnTo>
                                  <a:pt x="251322" y="893974"/>
                                </a:lnTo>
                              </a:path>
                              <a:path w="3141980" h="1513840">
                                <a:moveTo>
                                  <a:pt x="251322" y="893974"/>
                                </a:moveTo>
                                <a:lnTo>
                                  <a:pt x="313741" y="1016045"/>
                                </a:lnTo>
                              </a:path>
                              <a:path w="3141980" h="1513840">
                                <a:moveTo>
                                  <a:pt x="313741" y="1016045"/>
                                </a:moveTo>
                                <a:lnTo>
                                  <a:pt x="377453" y="1011485"/>
                                </a:lnTo>
                              </a:path>
                              <a:path w="3141980" h="1513840">
                                <a:moveTo>
                                  <a:pt x="377453" y="1011485"/>
                                </a:moveTo>
                                <a:lnTo>
                                  <a:pt x="439885" y="1060731"/>
                                </a:lnTo>
                              </a:path>
                              <a:path w="3141980" h="1513840">
                                <a:moveTo>
                                  <a:pt x="439885" y="1060731"/>
                                </a:moveTo>
                                <a:lnTo>
                                  <a:pt x="502566" y="1108673"/>
                                </a:lnTo>
                              </a:path>
                              <a:path w="3141980" h="1513840">
                                <a:moveTo>
                                  <a:pt x="502566" y="1108673"/>
                                </a:moveTo>
                                <a:lnTo>
                                  <a:pt x="565064" y="1042752"/>
                                </a:lnTo>
                              </a:path>
                              <a:path w="3141980" h="1513840">
                                <a:moveTo>
                                  <a:pt x="565064" y="1042752"/>
                                </a:moveTo>
                                <a:lnTo>
                                  <a:pt x="628736" y="1037280"/>
                                </a:lnTo>
                              </a:path>
                              <a:path w="3141980" h="1513840">
                                <a:moveTo>
                                  <a:pt x="628736" y="1037280"/>
                                </a:moveTo>
                                <a:lnTo>
                                  <a:pt x="691234" y="928758"/>
                                </a:lnTo>
                              </a:path>
                              <a:path w="3141980" h="1513840">
                                <a:moveTo>
                                  <a:pt x="691234" y="928758"/>
                                </a:moveTo>
                                <a:lnTo>
                                  <a:pt x="753992" y="847985"/>
                                </a:lnTo>
                              </a:path>
                              <a:path w="3141980" h="1513840">
                                <a:moveTo>
                                  <a:pt x="753992" y="847985"/>
                                </a:moveTo>
                                <a:lnTo>
                                  <a:pt x="816360" y="834827"/>
                                </a:lnTo>
                              </a:path>
                              <a:path w="3141980" h="1513840">
                                <a:moveTo>
                                  <a:pt x="816360" y="834827"/>
                                </a:moveTo>
                                <a:lnTo>
                                  <a:pt x="880032" y="787796"/>
                                </a:lnTo>
                              </a:path>
                              <a:path w="3141980" h="1513840">
                                <a:moveTo>
                                  <a:pt x="880032" y="787796"/>
                                </a:moveTo>
                                <a:lnTo>
                                  <a:pt x="942530" y="785582"/>
                                </a:lnTo>
                              </a:path>
                              <a:path w="3141980" h="1513840">
                                <a:moveTo>
                                  <a:pt x="942530" y="785582"/>
                                </a:moveTo>
                                <a:lnTo>
                                  <a:pt x="1005289" y="725132"/>
                                </a:lnTo>
                              </a:path>
                              <a:path w="3141980" h="1513840">
                                <a:moveTo>
                                  <a:pt x="1005289" y="725132"/>
                                </a:moveTo>
                                <a:lnTo>
                                  <a:pt x="1067656" y="581825"/>
                                </a:lnTo>
                              </a:path>
                              <a:path w="3141980" h="1513840">
                                <a:moveTo>
                                  <a:pt x="1067656" y="581825"/>
                                </a:moveTo>
                                <a:lnTo>
                                  <a:pt x="1131328" y="426142"/>
                                </a:lnTo>
                              </a:path>
                              <a:path w="3141980" h="1513840">
                                <a:moveTo>
                                  <a:pt x="1131328" y="426142"/>
                                </a:moveTo>
                                <a:lnTo>
                                  <a:pt x="1193826" y="409336"/>
                                </a:lnTo>
                              </a:path>
                              <a:path w="3141980" h="1513840">
                                <a:moveTo>
                                  <a:pt x="1193826" y="409336"/>
                                </a:moveTo>
                                <a:lnTo>
                                  <a:pt x="1256585" y="572836"/>
                                </a:lnTo>
                              </a:path>
                              <a:path w="3141980" h="1513840">
                                <a:moveTo>
                                  <a:pt x="1256585" y="572836"/>
                                </a:moveTo>
                                <a:lnTo>
                                  <a:pt x="1319996" y="469916"/>
                                </a:lnTo>
                              </a:path>
                              <a:path w="3141980" h="1513840">
                                <a:moveTo>
                                  <a:pt x="1319996" y="469916"/>
                                </a:moveTo>
                                <a:lnTo>
                                  <a:pt x="1382755" y="417413"/>
                                </a:lnTo>
                              </a:path>
                              <a:path w="3141980" h="1513840">
                                <a:moveTo>
                                  <a:pt x="1382755" y="417413"/>
                                </a:moveTo>
                                <a:lnTo>
                                  <a:pt x="1445122" y="502355"/>
                                </a:lnTo>
                              </a:path>
                              <a:path w="3141980" h="1513840">
                                <a:moveTo>
                                  <a:pt x="1445122" y="502355"/>
                                </a:moveTo>
                                <a:lnTo>
                                  <a:pt x="1507881" y="434219"/>
                                </a:lnTo>
                              </a:path>
                              <a:path w="3141980" h="1513840">
                                <a:moveTo>
                                  <a:pt x="1507881" y="434219"/>
                                </a:moveTo>
                                <a:lnTo>
                                  <a:pt x="1571292" y="410639"/>
                                </a:lnTo>
                              </a:path>
                              <a:path w="3141980" h="1513840">
                                <a:moveTo>
                                  <a:pt x="1571292" y="410639"/>
                                </a:moveTo>
                                <a:lnTo>
                                  <a:pt x="1634051" y="246227"/>
                                </a:lnTo>
                              </a:path>
                              <a:path w="3141980" h="1513840">
                                <a:moveTo>
                                  <a:pt x="1634051" y="246227"/>
                                </a:moveTo>
                                <a:lnTo>
                                  <a:pt x="1696418" y="341200"/>
                                </a:lnTo>
                              </a:path>
                              <a:path w="3141980" h="1513840">
                                <a:moveTo>
                                  <a:pt x="1696418" y="341200"/>
                                </a:moveTo>
                                <a:lnTo>
                                  <a:pt x="1759177" y="348887"/>
                                </a:lnTo>
                              </a:path>
                              <a:path w="3141980" h="1513840">
                                <a:moveTo>
                                  <a:pt x="1759177" y="348887"/>
                                </a:moveTo>
                                <a:lnTo>
                                  <a:pt x="1822588" y="368168"/>
                                </a:lnTo>
                              </a:path>
                              <a:path w="3141980" h="1513840">
                                <a:moveTo>
                                  <a:pt x="1822588" y="368168"/>
                                </a:moveTo>
                                <a:lnTo>
                                  <a:pt x="1885347" y="323482"/>
                                </a:lnTo>
                              </a:path>
                              <a:path w="3141980" h="1513840">
                                <a:moveTo>
                                  <a:pt x="1885347" y="323482"/>
                                </a:moveTo>
                                <a:lnTo>
                                  <a:pt x="1947715" y="671327"/>
                                </a:lnTo>
                              </a:path>
                              <a:path w="3141980" h="1513840">
                                <a:moveTo>
                                  <a:pt x="1947715" y="671327"/>
                                </a:moveTo>
                                <a:lnTo>
                                  <a:pt x="2010213" y="601888"/>
                                </a:lnTo>
                              </a:path>
                              <a:path w="3141980" h="1513840">
                                <a:moveTo>
                                  <a:pt x="2010213" y="601888"/>
                                </a:moveTo>
                                <a:lnTo>
                                  <a:pt x="2073885" y="384974"/>
                                </a:lnTo>
                              </a:path>
                              <a:path w="3141980" h="1513840">
                                <a:moveTo>
                                  <a:pt x="2073885" y="384974"/>
                                </a:moveTo>
                                <a:lnTo>
                                  <a:pt x="2136643" y="335728"/>
                                </a:lnTo>
                              </a:path>
                              <a:path w="3141980" h="1513840">
                                <a:moveTo>
                                  <a:pt x="2136643" y="335728"/>
                                </a:moveTo>
                                <a:lnTo>
                                  <a:pt x="2199011" y="259385"/>
                                </a:lnTo>
                              </a:path>
                              <a:path w="3141980" h="1513840">
                                <a:moveTo>
                                  <a:pt x="2199011" y="259385"/>
                                </a:moveTo>
                                <a:lnTo>
                                  <a:pt x="2262813" y="445423"/>
                                </a:lnTo>
                              </a:path>
                              <a:path w="3141980" h="1513840">
                                <a:moveTo>
                                  <a:pt x="2262813" y="445423"/>
                                </a:moveTo>
                                <a:lnTo>
                                  <a:pt x="2325181" y="397220"/>
                                </a:lnTo>
                              </a:path>
                              <a:path w="3141980" h="1513840">
                                <a:moveTo>
                                  <a:pt x="2325181" y="397220"/>
                                </a:moveTo>
                                <a:lnTo>
                                  <a:pt x="2387940" y="341200"/>
                                </a:lnTo>
                              </a:path>
                              <a:path w="3141980" h="1513840">
                                <a:moveTo>
                                  <a:pt x="2387940" y="341200"/>
                                </a:moveTo>
                                <a:lnTo>
                                  <a:pt x="2450438" y="363738"/>
                                </a:lnTo>
                              </a:path>
                              <a:path w="3141980" h="1513840">
                                <a:moveTo>
                                  <a:pt x="2450438" y="363738"/>
                                </a:moveTo>
                                <a:lnTo>
                                  <a:pt x="2514110" y="398132"/>
                                </a:lnTo>
                              </a:path>
                              <a:path w="3141980" h="1513840">
                                <a:moveTo>
                                  <a:pt x="2514110" y="398132"/>
                                </a:moveTo>
                                <a:lnTo>
                                  <a:pt x="2576477" y="398132"/>
                                </a:lnTo>
                              </a:path>
                              <a:path w="3141980" h="1513840">
                                <a:moveTo>
                                  <a:pt x="2576477" y="398132"/>
                                </a:moveTo>
                                <a:lnTo>
                                  <a:pt x="2639236" y="348887"/>
                                </a:lnTo>
                              </a:path>
                              <a:path w="3141980" h="1513840">
                                <a:moveTo>
                                  <a:pt x="2639236" y="348887"/>
                                </a:moveTo>
                                <a:lnTo>
                                  <a:pt x="2701734" y="327651"/>
                                </a:lnTo>
                              </a:path>
                              <a:path w="3141980" h="1513840">
                                <a:moveTo>
                                  <a:pt x="2701734" y="327651"/>
                                </a:moveTo>
                                <a:lnTo>
                                  <a:pt x="2765406" y="404906"/>
                                </a:lnTo>
                              </a:path>
                              <a:path w="3141980" h="1513840">
                                <a:moveTo>
                                  <a:pt x="2765406" y="404906"/>
                                </a:moveTo>
                                <a:lnTo>
                                  <a:pt x="2827773" y="239452"/>
                                </a:lnTo>
                              </a:path>
                              <a:path w="3141980" h="1513840">
                                <a:moveTo>
                                  <a:pt x="2827773" y="239452"/>
                                </a:moveTo>
                                <a:lnTo>
                                  <a:pt x="2890532" y="99533"/>
                                </a:lnTo>
                              </a:path>
                              <a:path w="3141980" h="1513840">
                                <a:moveTo>
                                  <a:pt x="2890532" y="99533"/>
                                </a:moveTo>
                                <a:lnTo>
                                  <a:pt x="2953030" y="78297"/>
                                </a:lnTo>
                              </a:path>
                              <a:path w="3141980" h="1513840">
                                <a:moveTo>
                                  <a:pt x="2953030" y="78297"/>
                                </a:moveTo>
                                <a:lnTo>
                                  <a:pt x="3016702" y="0"/>
                                </a:lnTo>
                              </a:path>
                              <a:path w="3141980" h="1513840">
                                <a:moveTo>
                                  <a:pt x="3016702" y="0"/>
                                </a:moveTo>
                                <a:lnTo>
                                  <a:pt x="3079200" y="250786"/>
                                </a:lnTo>
                              </a:path>
                              <a:path w="3141980" h="1513840">
                                <a:moveTo>
                                  <a:pt x="3079200" y="250786"/>
                                </a:moveTo>
                                <a:lnTo>
                                  <a:pt x="3141828" y="285180"/>
                                </a:lnTo>
                              </a:path>
                            </a:pathLst>
                          </a:custGeom>
                          <a:ln w="7716">
                            <a:solidFill>
                              <a:srgbClr val="0000FF"/>
                            </a:solidFill>
                            <a:prstDash val="solid"/>
                          </a:ln>
                        </wps:spPr>
                        <wps:bodyPr wrap="square" lIns="0" tIns="0" rIns="0" bIns="0" rtlCol="0">
                          <a:prstTxWarp prst="textNoShape">
                            <a:avLst/>
                          </a:prstTxWarp>
                          <a:noAutofit/>
                        </wps:bodyPr>
                      </wps:wsp>
                      <wps:wsp>
                        <wps:cNvPr id="15" name="Graphic 15"/>
                        <wps:cNvSpPr/>
                        <wps:spPr>
                          <a:xfrm>
                            <a:off x="47949" y="2731"/>
                            <a:ext cx="3773170" cy="2268220"/>
                          </a:xfrm>
                          <a:custGeom>
                            <a:avLst/>
                            <a:gdLst/>
                            <a:ahLst/>
                            <a:cxnLst/>
                            <a:rect l="l" t="t" r="r" b="b"/>
                            <a:pathLst>
                              <a:path w="3773170" h="2268220">
                                <a:moveTo>
                                  <a:pt x="0" y="0"/>
                                </a:moveTo>
                                <a:lnTo>
                                  <a:pt x="0" y="2268039"/>
                                </a:lnTo>
                              </a:path>
                              <a:path w="3773170" h="2268220">
                                <a:moveTo>
                                  <a:pt x="0" y="2268039"/>
                                </a:moveTo>
                                <a:lnTo>
                                  <a:pt x="3772887" y="2268039"/>
                                </a:lnTo>
                              </a:path>
                              <a:path w="3773170" h="2268220">
                                <a:moveTo>
                                  <a:pt x="3772887" y="2268039"/>
                                </a:moveTo>
                                <a:lnTo>
                                  <a:pt x="3772887" y="0"/>
                                </a:lnTo>
                              </a:path>
                              <a:path w="3773170" h="2268220">
                                <a:moveTo>
                                  <a:pt x="3772887" y="0"/>
                                </a:moveTo>
                                <a:lnTo>
                                  <a:pt x="0" y="0"/>
                                </a:lnTo>
                              </a:path>
                            </a:pathLst>
                          </a:custGeom>
                          <a:ln w="54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28363pt;margin-top:13.622817pt;width:301.1pt;height:183pt;mso-position-horizontal-relative:page;mso-position-vertical-relative:paragraph;z-index:15732224" id="docshapegroup5" coordorigin="3455,272" coordsize="6022,3660">
                <v:shape style="position:absolute;left:3530;top:276;width:5942;height:3572" id="docshape6" coordorigin="3530,277" coordsize="5942,3572" path="m3530,277l3530,3848m3530,3848l9472,3848m9472,3848l9472,277m9472,277l3530,277e" filled="false" stroked="true" strokeweight=".430409pt" strokecolor="#000000">
                  <v:path arrowok="t"/>
                  <v:stroke dashstyle="solid"/>
                </v:shape>
                <v:shape style="position:absolute;left:3454;top:282;width:6016;height:3650" id="docshape7" coordorigin="3455,282" coordsize="6016,3650" path="m3523,3845l3455,3845m3523,3251l3455,3251m3523,2658l3455,2658m3523,2064l3455,2064m3523,1470l3455,1470m3523,876l3455,876m3523,282l3455,282m3532,3856l3532,3895m3632,3856l3632,3895m3731,3856l3731,3895m3830,3856l3830,3895m3928,3856l3928,3895m4028,3856l4028,3895m4127,3856l4127,3895m4225,3856l4225,3895m4325,3856l4325,3895m4424,3856l4424,3895m4522,3856l4522,3895m4621,3856l4621,3895m4721,3856l4721,3895m4820,3856l4820,3895m4918,3856l4918,3895m5016,3856l5016,3895m5117,3856l5117,3895m5215,3856l5215,3895m5314,3856l5314,3895m5412,3856l5412,3895m5512,3856l5512,3895m5611,3856l5611,3895m5710,3856l5710,3895m5810,3856l5810,3895m5908,3856l5908,3895m6007,3856l6007,3895m6105,3856l6105,3895m6206,3856l6206,3895m6304,3856l6304,3895m6402,3856l6402,3895m6501,3856l6501,3895m6601,3856l6601,3895m6700,3856l6700,3895m6798,3856l6798,3895m6897,3856l6897,3895m6997,3856l6997,3895m7096,3856l7096,3895m7194,3856l7194,3895m7294,3856l7294,3895m7393,3856l7393,3895m7491,3856l7491,3895m7590,3856l7590,3895m7690,3856l7690,3895m7789,3856l7789,3895m7887,3856l7887,3895m7985,3856l7985,3895m8086,3856l8086,3895m8184,3856l8184,3895m8283,3856l8283,3895m8381,3856l8381,3895m8481,3856l8481,3895m8580,3856l8580,3895m8679,3856l8679,3895m8779,3856l8779,3895m8877,3856l8877,3895m8976,3856l8976,3895m9074,3856l9074,3895m9175,3856l9175,3895m9273,3856l9273,3895m9371,3856l9371,3895m9470,3856l9470,3895m3532,3856l3532,3932m3830,3856l3830,3932m4127,3856l4127,3932m4424,3856l4424,3932m4721,3856l4721,3932m5016,3856l5016,3932m5314,3856l5314,3932m5611,3856l5611,3932m5908,3856l5908,3932m6206,3856l6206,3932m6501,3856l6501,3932m6798,3856l6798,3932m7096,3856l7096,3932m7393,3856l7393,3932m7690,3856l7690,3932m7985,3856l7985,3932m8283,3856l8283,3932m8580,3856l8580,3932m8877,3856l8877,3932m9175,3856l9175,3932m9470,3856l9470,3932m3532,3856l3532,3932m4721,3856l4721,3932m5908,3856l5908,3932m7096,3856l7096,3932m8283,3856l8283,3932m9470,3856l9470,3932e" filled="false" stroked="true" strokeweight=".354452pt" strokecolor="#000000">
                  <v:path arrowok="t"/>
                  <v:stroke dashstyle="solid"/>
                </v:shape>
                <v:shape style="position:absolute;left:3583;top:1838;width:197;height:1641" id="docshape8" coordorigin="3583,1838" coordsize="197,1641" path="m3583,1838l3682,2753m3682,2753l3780,3479e" filled="false" stroked="true" strokeweight=".60763pt" strokecolor="#0000ff">
                  <v:path arrowok="t"/>
                  <v:stroke dashstyle="solid"/>
                </v:shape>
                <v:shape style="position:absolute;left:3773;top:2852;width:706;height:633" type="#_x0000_t75" id="docshape9" stroked="false">
                  <v:imagedata r:id="rId11" o:title=""/>
                </v:shape>
                <v:shape style="position:absolute;left:4473;top:555;width:4948;height:2384" id="docshape10" coordorigin="4473,555" coordsize="4948,2384" path="m4473,2939l4571,2365m4571,2365l4670,2138m4670,2138l4770,2293m4770,2293l4869,1963m4869,1963l4967,2155m4967,2155l5068,2148m5068,2148l5166,2226m5166,2226l5265,2301m5265,2301l5363,2197m5363,2197l5463,2189m5463,2189l5562,2018m5562,2018l5661,1891m5661,1891l5759,1870m5759,1870l5859,1796m5859,1796l5957,1793m5957,1793l6056,1697m6056,1697l6154,1472m6154,1472l6255,1226m6255,1226l6353,1200m6353,1200l6452,1457m6452,1457l6552,1295m6552,1295l6651,1213m6651,1213l6749,1346m6749,1346l6848,1239m6848,1239l6948,1202m6948,1202l7046,943m7046,943l7145,1093m7145,1093l7243,1105m7243,1105l7343,1135m7343,1135l7442,1065m7442,1065l7540,1613m7540,1613l7639,1503m7639,1503l7739,1162m7739,1162l7838,1084m7838,1084l7936,964m7936,964l8037,1257m8037,1257l8135,1181m8135,1181l8234,1093m8234,1093l8332,1128m8332,1128l8432,1182m8432,1182l8531,1182m8531,1182l8629,1105m8629,1105l8728,1071m8728,1071l8828,1193m8828,1193l8926,932m8926,932l9025,712m9025,712l9124,679m9124,679l9224,555m9224,555l9322,950m9322,950l9421,1004e" filled="false" stroked="true" strokeweight=".60763pt" strokecolor="#0000ff">
                  <v:path arrowok="t"/>
                  <v:stroke dashstyle="solid"/>
                </v:shape>
                <v:shape style="position:absolute;left:3530;top:276;width:5942;height:3572" id="docshape11" coordorigin="3530,277" coordsize="5942,3572" path="m3530,277l3530,3848m3530,3848l9472,3848m9472,3848l9472,277m9472,277l3530,277e" filled="false" stroked="true" strokeweight=".430409pt" strokecolor="#000000">
                  <v:path arrowok="t"/>
                  <v:stroke dashstyle="solid"/>
                </v:shape>
                <w10:wrap type="none"/>
              </v:group>
            </w:pict>
          </mc:Fallback>
        </mc:AlternateContent>
      </w:r>
      <w:r>
        <w:rPr>
          <w:rFonts w:ascii="Arial MT"/>
          <w:spacing w:val="-5"/>
          <w:w w:val="105"/>
          <w:sz w:val="16"/>
        </w:rPr>
        <w:t>240</w:t>
      </w:r>
    </w:p>
    <w:p>
      <w:pPr>
        <w:pStyle w:val="BodyText"/>
        <w:rPr>
          <w:rFonts w:ascii="Arial MT"/>
          <w:sz w:val="16"/>
        </w:rPr>
      </w:pPr>
    </w:p>
    <w:p>
      <w:pPr>
        <w:pStyle w:val="BodyText"/>
        <w:spacing w:before="41"/>
        <w:rPr>
          <w:rFonts w:ascii="Arial MT"/>
          <w:sz w:val="16"/>
        </w:rPr>
      </w:pPr>
    </w:p>
    <w:p>
      <w:pPr>
        <w:spacing w:before="0"/>
        <w:ind w:left="1710" w:right="0" w:firstLine="0"/>
        <w:jc w:val="left"/>
        <w:rPr>
          <w:rFonts w:ascii="Arial MT"/>
          <w:sz w:val="16"/>
        </w:rPr>
      </w:pPr>
      <w:r>
        <w:rPr>
          <w:rFonts w:ascii="Arial MT"/>
          <w:spacing w:val="-5"/>
          <w:w w:val="105"/>
          <w:sz w:val="16"/>
        </w:rPr>
        <w:t>220</w:t>
      </w:r>
    </w:p>
    <w:p>
      <w:pPr>
        <w:pStyle w:val="BodyText"/>
        <w:rPr>
          <w:rFonts w:ascii="Arial MT"/>
          <w:sz w:val="16"/>
        </w:rPr>
      </w:pPr>
    </w:p>
    <w:p>
      <w:pPr>
        <w:pStyle w:val="BodyText"/>
        <w:spacing w:before="42"/>
        <w:rPr>
          <w:rFonts w:ascii="Arial MT"/>
          <w:sz w:val="16"/>
        </w:rPr>
      </w:pPr>
    </w:p>
    <w:p>
      <w:pPr>
        <w:spacing w:before="0"/>
        <w:ind w:left="1710" w:right="0" w:firstLine="0"/>
        <w:jc w:val="left"/>
        <w:rPr>
          <w:rFonts w:ascii="Arial MT"/>
          <w:sz w:val="16"/>
        </w:rPr>
      </w:pPr>
      <w:r>
        <w:rPr>
          <w:rFonts w:ascii="Arial MT"/>
          <w:spacing w:val="-5"/>
          <w:w w:val="105"/>
          <w:sz w:val="16"/>
        </w:rPr>
        <w:t>200</w:t>
      </w:r>
    </w:p>
    <w:p>
      <w:pPr>
        <w:pStyle w:val="BodyText"/>
        <w:rPr>
          <w:rFonts w:ascii="Arial MT"/>
          <w:sz w:val="16"/>
        </w:rPr>
      </w:pPr>
    </w:p>
    <w:p>
      <w:pPr>
        <w:pStyle w:val="BodyText"/>
        <w:spacing w:before="42"/>
        <w:rPr>
          <w:rFonts w:ascii="Arial MT"/>
          <w:sz w:val="16"/>
        </w:rPr>
      </w:pPr>
    </w:p>
    <w:p>
      <w:pPr>
        <w:spacing w:before="0"/>
        <w:ind w:left="1710" w:right="0" w:firstLine="0"/>
        <w:jc w:val="left"/>
        <w:rPr>
          <w:rFonts w:ascii="Arial MT"/>
          <w:sz w:val="16"/>
        </w:rPr>
      </w:pPr>
      <w:r>
        <w:rPr>
          <w:rFonts w:ascii="Arial MT"/>
          <w:spacing w:val="-5"/>
          <w:w w:val="105"/>
          <w:sz w:val="16"/>
        </w:rPr>
        <w:t>180</w:t>
      </w:r>
    </w:p>
    <w:p>
      <w:pPr>
        <w:pStyle w:val="BodyText"/>
        <w:rPr>
          <w:rFonts w:ascii="Arial MT"/>
          <w:sz w:val="16"/>
        </w:rPr>
      </w:pPr>
    </w:p>
    <w:p>
      <w:pPr>
        <w:pStyle w:val="BodyText"/>
        <w:spacing w:before="42"/>
        <w:rPr>
          <w:rFonts w:ascii="Arial MT"/>
          <w:sz w:val="16"/>
        </w:rPr>
      </w:pPr>
    </w:p>
    <w:p>
      <w:pPr>
        <w:spacing w:before="0"/>
        <w:ind w:left="1710" w:right="0" w:firstLine="0"/>
        <w:jc w:val="left"/>
        <w:rPr>
          <w:rFonts w:ascii="Arial MT"/>
          <w:sz w:val="16"/>
        </w:rPr>
      </w:pPr>
      <w:r>
        <w:rPr>
          <w:rFonts w:ascii="Arial MT"/>
          <w:spacing w:val="-5"/>
          <w:w w:val="105"/>
          <w:sz w:val="16"/>
        </w:rPr>
        <w:t>160</w:t>
      </w:r>
    </w:p>
    <w:p>
      <w:pPr>
        <w:pStyle w:val="BodyText"/>
        <w:rPr>
          <w:rFonts w:ascii="Arial MT"/>
          <w:sz w:val="16"/>
        </w:rPr>
      </w:pPr>
    </w:p>
    <w:p>
      <w:pPr>
        <w:pStyle w:val="BodyText"/>
        <w:spacing w:before="41"/>
        <w:rPr>
          <w:rFonts w:ascii="Arial MT"/>
          <w:sz w:val="16"/>
        </w:rPr>
      </w:pPr>
    </w:p>
    <w:p>
      <w:pPr>
        <w:spacing w:before="0"/>
        <w:ind w:left="1710" w:right="0" w:firstLine="0"/>
        <w:jc w:val="left"/>
        <w:rPr>
          <w:rFonts w:ascii="Arial MT"/>
          <w:sz w:val="16"/>
        </w:rPr>
      </w:pPr>
      <w:r>
        <w:rPr>
          <w:rFonts w:ascii="Arial MT"/>
          <w:spacing w:val="-5"/>
          <w:w w:val="105"/>
          <w:sz w:val="16"/>
        </w:rPr>
        <w:t>140</w:t>
      </w:r>
    </w:p>
    <w:p>
      <w:pPr>
        <w:pStyle w:val="BodyText"/>
        <w:rPr>
          <w:rFonts w:ascii="Arial MT"/>
          <w:sz w:val="16"/>
        </w:rPr>
      </w:pPr>
    </w:p>
    <w:p>
      <w:pPr>
        <w:pStyle w:val="BodyText"/>
        <w:spacing w:before="42"/>
        <w:rPr>
          <w:rFonts w:ascii="Arial MT"/>
          <w:sz w:val="16"/>
        </w:rPr>
      </w:pPr>
    </w:p>
    <w:p>
      <w:pPr>
        <w:spacing w:before="0"/>
        <w:ind w:left="1710" w:right="0" w:firstLine="0"/>
        <w:jc w:val="left"/>
        <w:rPr>
          <w:rFonts w:ascii="Arial MT"/>
          <w:sz w:val="16"/>
        </w:rPr>
      </w:pPr>
      <w:r>
        <w:rPr>
          <w:rFonts w:ascii="Arial MT"/>
          <w:spacing w:val="-5"/>
          <w:w w:val="105"/>
          <w:sz w:val="16"/>
        </w:rPr>
        <w:t>120</w:t>
      </w:r>
    </w:p>
    <w:p>
      <w:pPr>
        <w:tabs>
          <w:tab w:pos="2522" w:val="left" w:leader="none"/>
          <w:tab w:pos="3432" w:val="left" w:leader="none"/>
          <w:tab w:pos="3710" w:val="left" w:leader="none"/>
          <w:tab w:pos="4621" w:val="left" w:leader="none"/>
          <w:tab w:pos="4897" w:val="left" w:leader="none"/>
          <w:tab w:pos="5808" w:val="left" w:leader="none"/>
          <w:tab w:pos="6086" w:val="left" w:leader="none"/>
          <w:tab w:pos="6995" w:val="left" w:leader="none"/>
          <w:tab w:pos="7273" w:val="left" w:leader="none"/>
          <w:tab w:pos="7645" w:val="right" w:leader="none"/>
        </w:tabs>
        <w:spacing w:line="420" w:lineRule="auto" w:before="51"/>
        <w:ind w:left="2525" w:right="1240" w:hanging="280"/>
        <w:jc w:val="left"/>
        <w:rPr>
          <w:rFonts w:ascii="Arial MT"/>
          <w:sz w:val="16"/>
        </w:rPr>
      </w:pPr>
      <w:r>
        <w:rPr>
          <w:rFonts w:ascii="Arial MT"/>
          <w:spacing w:val="-10"/>
          <w:w w:val="105"/>
          <w:sz w:val="16"/>
        </w:rPr>
        <w:t>I</w:t>
      </w:r>
      <w:r>
        <w:rPr>
          <w:rFonts w:ascii="Arial MT"/>
          <w:sz w:val="16"/>
        </w:rPr>
        <w:tab/>
      </w:r>
      <w:r>
        <w:rPr>
          <w:rFonts w:ascii="Arial MT"/>
          <w:w w:val="105"/>
          <w:sz w:val="16"/>
        </w:rPr>
        <w:t>II</w:t>
      </w:r>
      <w:r>
        <w:rPr>
          <w:rFonts w:ascii="Arial MT"/>
          <w:spacing w:val="80"/>
          <w:w w:val="105"/>
          <w:sz w:val="16"/>
        </w:rPr>
        <w:t> </w:t>
      </w:r>
      <w:r>
        <w:rPr>
          <w:rFonts w:ascii="Arial MT"/>
          <w:w w:val="105"/>
          <w:sz w:val="16"/>
        </w:rPr>
        <w:t>III</w:t>
      </w:r>
      <w:r>
        <w:rPr>
          <w:rFonts w:ascii="Arial MT"/>
          <w:spacing w:val="80"/>
          <w:w w:val="105"/>
          <w:sz w:val="16"/>
        </w:rPr>
        <w:t> </w:t>
      </w:r>
      <w:r>
        <w:rPr>
          <w:rFonts w:ascii="Arial MT"/>
          <w:w w:val="105"/>
          <w:sz w:val="16"/>
        </w:rPr>
        <w:t>IV</w:t>
      </w:r>
      <w:r>
        <w:rPr>
          <w:rFonts w:ascii="Arial MT"/>
          <w:sz w:val="16"/>
        </w:rPr>
        <w:tab/>
      </w:r>
      <w:r>
        <w:rPr>
          <w:rFonts w:ascii="Arial MT"/>
          <w:spacing w:val="-10"/>
          <w:w w:val="105"/>
          <w:sz w:val="16"/>
        </w:rPr>
        <w:t>I</w:t>
      </w:r>
      <w:r>
        <w:rPr>
          <w:rFonts w:ascii="Arial MT"/>
          <w:sz w:val="16"/>
        </w:rPr>
        <w:tab/>
      </w:r>
      <w:r>
        <w:rPr>
          <w:rFonts w:ascii="Arial MT"/>
          <w:w w:val="105"/>
          <w:sz w:val="16"/>
        </w:rPr>
        <w:t>II</w:t>
      </w:r>
      <w:r>
        <w:rPr>
          <w:rFonts w:ascii="Arial MT"/>
          <w:spacing w:val="80"/>
          <w:w w:val="105"/>
          <w:sz w:val="16"/>
        </w:rPr>
        <w:t> </w:t>
      </w:r>
      <w:r>
        <w:rPr>
          <w:rFonts w:ascii="Arial MT"/>
          <w:w w:val="105"/>
          <w:sz w:val="16"/>
        </w:rPr>
        <w:t>III</w:t>
      </w:r>
      <w:r>
        <w:rPr>
          <w:rFonts w:ascii="Arial MT"/>
          <w:spacing w:val="80"/>
          <w:w w:val="105"/>
          <w:sz w:val="16"/>
        </w:rPr>
        <w:t> </w:t>
      </w:r>
      <w:r>
        <w:rPr>
          <w:rFonts w:ascii="Arial MT"/>
          <w:w w:val="105"/>
          <w:sz w:val="16"/>
        </w:rPr>
        <w:t>IV</w:t>
      </w:r>
      <w:r>
        <w:rPr>
          <w:rFonts w:ascii="Arial MT"/>
          <w:sz w:val="16"/>
        </w:rPr>
        <w:tab/>
      </w:r>
      <w:r>
        <w:rPr>
          <w:rFonts w:ascii="Arial MT"/>
          <w:spacing w:val="-10"/>
          <w:w w:val="105"/>
          <w:sz w:val="16"/>
        </w:rPr>
        <w:t>I</w:t>
      </w:r>
      <w:r>
        <w:rPr>
          <w:rFonts w:ascii="Arial MT"/>
          <w:sz w:val="16"/>
        </w:rPr>
        <w:tab/>
      </w:r>
      <w:r>
        <w:rPr>
          <w:rFonts w:ascii="Arial MT"/>
          <w:w w:val="105"/>
          <w:sz w:val="16"/>
        </w:rPr>
        <w:t>II</w:t>
      </w:r>
      <w:r>
        <w:rPr>
          <w:rFonts w:ascii="Arial MT"/>
          <w:spacing w:val="80"/>
          <w:w w:val="105"/>
          <w:sz w:val="16"/>
        </w:rPr>
        <w:t> </w:t>
      </w:r>
      <w:r>
        <w:rPr>
          <w:rFonts w:ascii="Arial MT"/>
          <w:w w:val="105"/>
          <w:sz w:val="16"/>
        </w:rPr>
        <w:t>III</w:t>
      </w:r>
      <w:r>
        <w:rPr>
          <w:rFonts w:ascii="Arial MT"/>
          <w:spacing w:val="80"/>
          <w:w w:val="105"/>
          <w:sz w:val="16"/>
        </w:rPr>
        <w:t> </w:t>
      </w:r>
      <w:r>
        <w:rPr>
          <w:rFonts w:ascii="Arial MT"/>
          <w:w w:val="105"/>
          <w:sz w:val="16"/>
        </w:rPr>
        <w:t>IV</w:t>
      </w:r>
      <w:r>
        <w:rPr>
          <w:rFonts w:ascii="Arial MT"/>
          <w:sz w:val="16"/>
        </w:rPr>
        <w:tab/>
      </w:r>
      <w:r>
        <w:rPr>
          <w:rFonts w:ascii="Arial MT"/>
          <w:spacing w:val="-10"/>
          <w:w w:val="105"/>
          <w:sz w:val="16"/>
        </w:rPr>
        <w:t>I</w:t>
      </w:r>
      <w:r>
        <w:rPr>
          <w:rFonts w:ascii="Arial MT"/>
          <w:sz w:val="16"/>
        </w:rPr>
        <w:tab/>
      </w:r>
      <w:r>
        <w:rPr>
          <w:rFonts w:ascii="Arial MT"/>
          <w:w w:val="105"/>
          <w:sz w:val="16"/>
        </w:rPr>
        <w:t>II</w:t>
      </w:r>
      <w:r>
        <w:rPr>
          <w:rFonts w:ascii="Arial MT"/>
          <w:spacing w:val="80"/>
          <w:w w:val="105"/>
          <w:sz w:val="16"/>
        </w:rPr>
        <w:t> </w:t>
      </w:r>
      <w:r>
        <w:rPr>
          <w:rFonts w:ascii="Arial MT"/>
          <w:w w:val="105"/>
          <w:sz w:val="16"/>
        </w:rPr>
        <w:t>III</w:t>
      </w:r>
      <w:r>
        <w:rPr>
          <w:rFonts w:ascii="Arial MT"/>
          <w:spacing w:val="80"/>
          <w:w w:val="105"/>
          <w:sz w:val="16"/>
        </w:rPr>
        <w:t> </w:t>
      </w:r>
      <w:r>
        <w:rPr>
          <w:rFonts w:ascii="Arial MT"/>
          <w:w w:val="105"/>
          <w:sz w:val="16"/>
        </w:rPr>
        <w:t>IV</w:t>
      </w:r>
      <w:r>
        <w:rPr>
          <w:rFonts w:ascii="Arial MT"/>
          <w:sz w:val="16"/>
        </w:rPr>
        <w:tab/>
      </w:r>
      <w:r>
        <w:rPr>
          <w:rFonts w:ascii="Arial MT"/>
          <w:spacing w:val="-10"/>
          <w:w w:val="105"/>
          <w:sz w:val="16"/>
        </w:rPr>
        <w:t>I</w:t>
      </w:r>
      <w:r>
        <w:rPr>
          <w:rFonts w:ascii="Arial MT"/>
          <w:sz w:val="16"/>
        </w:rPr>
        <w:tab/>
      </w:r>
      <w:r>
        <w:rPr>
          <w:rFonts w:ascii="Arial MT"/>
          <w:w w:val="105"/>
          <w:sz w:val="16"/>
        </w:rPr>
        <w:t>II</w:t>
      </w:r>
      <w:r>
        <w:rPr>
          <w:rFonts w:ascii="Arial MT"/>
          <w:spacing w:val="80"/>
          <w:w w:val="105"/>
          <w:sz w:val="16"/>
        </w:rPr>
        <w:t> </w:t>
      </w:r>
      <w:r>
        <w:rPr>
          <w:rFonts w:ascii="Arial MT"/>
          <w:w w:val="105"/>
          <w:sz w:val="16"/>
        </w:rPr>
        <w:t>III</w:t>
      </w:r>
      <w:r>
        <w:rPr>
          <w:rFonts w:ascii="Arial MT"/>
          <w:spacing w:val="73"/>
          <w:w w:val="105"/>
          <w:sz w:val="16"/>
        </w:rPr>
        <w:t> </w:t>
      </w:r>
      <w:r>
        <w:rPr>
          <w:rFonts w:ascii="Arial MT"/>
          <w:w w:val="105"/>
          <w:sz w:val="16"/>
        </w:rPr>
        <w:t>I</w:t>
      </w:r>
      <w:r>
        <w:rPr>
          <w:rFonts w:ascii="Arial MT"/>
          <w:w w:val="105"/>
          <w:sz w:val="16"/>
        </w:rPr>
        <w:t>V</w:t>
      </w:r>
      <w:r>
        <w:rPr>
          <w:rFonts w:ascii="Arial MT"/>
          <w:w w:val="105"/>
          <w:sz w:val="16"/>
        </w:rPr>
        <w:t> </w:t>
      </w:r>
      <w:r>
        <w:rPr>
          <w:rFonts w:ascii="Arial MT"/>
          <w:spacing w:val="-4"/>
          <w:sz w:val="16"/>
        </w:rPr>
        <w:t>2020</w:t>
      </w:r>
      <w:r>
        <w:rPr>
          <w:rFonts w:ascii="Arial MT"/>
          <w:sz w:val="16"/>
        </w:rPr>
        <w:tab/>
        <w:tab/>
      </w:r>
      <w:r>
        <w:rPr>
          <w:rFonts w:ascii="Arial MT"/>
          <w:spacing w:val="-42"/>
          <w:sz w:val="16"/>
        </w:rPr>
        <w:t> </w:t>
      </w:r>
      <w:r>
        <w:rPr>
          <w:rFonts w:ascii="Arial MT"/>
          <w:spacing w:val="-2"/>
          <w:sz w:val="16"/>
        </w:rPr>
        <w:t>2021</w:t>
      </w:r>
      <w:r>
        <w:rPr>
          <w:rFonts w:ascii="Arial MT"/>
          <w:sz w:val="16"/>
        </w:rPr>
        <w:tab/>
        <w:tab/>
      </w:r>
      <w:r>
        <w:rPr>
          <w:rFonts w:ascii="Arial MT"/>
          <w:spacing w:val="-41"/>
          <w:sz w:val="16"/>
        </w:rPr>
        <w:t> </w:t>
      </w:r>
      <w:r>
        <w:rPr>
          <w:rFonts w:ascii="Arial MT"/>
          <w:spacing w:val="-2"/>
          <w:sz w:val="16"/>
        </w:rPr>
        <w:t>2022</w:t>
      </w:r>
      <w:r>
        <w:rPr>
          <w:rFonts w:ascii="Arial MT"/>
          <w:sz w:val="16"/>
        </w:rPr>
        <w:tab/>
        <w:tab/>
      </w:r>
      <w:r>
        <w:rPr>
          <w:rFonts w:ascii="Arial MT"/>
          <w:spacing w:val="-43"/>
          <w:sz w:val="16"/>
        </w:rPr>
        <w:t> </w:t>
      </w:r>
      <w:r>
        <w:rPr>
          <w:rFonts w:ascii="Arial MT"/>
          <w:spacing w:val="-4"/>
          <w:sz w:val="16"/>
        </w:rPr>
        <w:t>2023</w:t>
      </w:r>
      <w:r>
        <w:rPr>
          <w:rFonts w:ascii="Arial MT"/>
          <w:sz w:val="16"/>
        </w:rPr>
        <w:tab/>
        <w:tab/>
        <w:tab/>
      </w:r>
      <w:r>
        <w:rPr>
          <w:rFonts w:ascii="Arial MT"/>
          <w:spacing w:val="-4"/>
          <w:sz w:val="16"/>
        </w:rPr>
        <w:t>2024</w:t>
      </w:r>
    </w:p>
    <w:p>
      <w:pPr>
        <w:pStyle w:val="BodyText"/>
        <w:spacing w:line="360" w:lineRule="auto" w:before="13"/>
        <w:ind w:left="383" w:right="159" w:firstLine="359"/>
        <w:jc w:val="both"/>
      </w:pPr>
      <w:r>
        <w:rPr/>
        <w:t>Adapun perubahan harga saham pada tahun 2020-2024 disebabkan oleh dua sumber, baik isu makroekonomi maupun mikroekonomi pun terlibat. Indeks Saham Syariah Indonesia</w:t>
      </w:r>
      <w:r>
        <w:rPr>
          <w:spacing w:val="-15"/>
        </w:rPr>
        <w:t> </w:t>
      </w:r>
      <w:r>
        <w:rPr/>
        <w:t>yang</w:t>
      </w:r>
      <w:r>
        <w:rPr>
          <w:spacing w:val="-15"/>
        </w:rPr>
        <w:t> </w:t>
      </w:r>
      <w:r>
        <w:rPr/>
        <w:t>mana</w:t>
      </w:r>
      <w:r>
        <w:rPr>
          <w:spacing w:val="-15"/>
        </w:rPr>
        <w:t> </w:t>
      </w:r>
      <w:r>
        <w:rPr/>
        <w:t>termasuk</w:t>
      </w:r>
      <w:r>
        <w:rPr>
          <w:spacing w:val="-15"/>
        </w:rPr>
        <w:t> </w:t>
      </w:r>
      <w:r>
        <w:rPr/>
        <w:t>bagian</w:t>
      </w:r>
      <w:r>
        <w:rPr>
          <w:spacing w:val="-15"/>
        </w:rPr>
        <w:t> </w:t>
      </w:r>
      <w:r>
        <w:rPr/>
        <w:t>dalam</w:t>
      </w:r>
      <w:r>
        <w:rPr>
          <w:spacing w:val="-15"/>
        </w:rPr>
        <w:t> </w:t>
      </w:r>
      <w:r>
        <w:rPr/>
        <w:t>sektor</w:t>
      </w:r>
      <w:r>
        <w:rPr>
          <w:spacing w:val="-15"/>
        </w:rPr>
        <w:t> </w:t>
      </w:r>
      <w:r>
        <w:rPr/>
        <w:t>pasar</w:t>
      </w:r>
      <w:r>
        <w:rPr>
          <w:spacing w:val="-15"/>
        </w:rPr>
        <w:t> </w:t>
      </w:r>
      <w:r>
        <w:rPr/>
        <w:t>modal</w:t>
      </w:r>
      <w:r>
        <w:rPr>
          <w:spacing w:val="-15"/>
        </w:rPr>
        <w:t> </w:t>
      </w:r>
      <w:r>
        <w:rPr/>
        <w:t>dapat</w:t>
      </w:r>
      <w:r>
        <w:rPr>
          <w:spacing w:val="-15"/>
        </w:rPr>
        <w:t> </w:t>
      </w:r>
      <w:r>
        <w:rPr/>
        <w:t>mengalami</w:t>
      </w:r>
      <w:r>
        <w:rPr>
          <w:spacing w:val="-15"/>
        </w:rPr>
        <w:t> </w:t>
      </w:r>
      <w:r>
        <w:rPr/>
        <w:t>fluktuasi nilai karena sejumlah alasan. Di antara faktor-faktor yang sedikit banyak mempengaruhi profitabilitas perusahaan dalam investasi adalah perihal ekonomi makro. Dalam hal finansial keuangan, salah satu ukuran utama ekonomi suatu negara pada skala ekonomi secara global adalah kondisi pasar modalnya.</w:t>
      </w:r>
      <w:hyperlink w:history="true" w:anchor="_bookmark23">
        <w:r>
          <w:rPr>
            <w:vertAlign w:val="superscript"/>
          </w:rPr>
          <w:t>11</w:t>
        </w:r>
      </w:hyperlink>
      <w:r>
        <w:rPr>
          <w:vertAlign w:val="baseline"/>
        </w:rPr>
        <w:t> Selain itu harga saham dapat berfluktuasi karena</w:t>
      </w:r>
      <w:r>
        <w:rPr>
          <w:spacing w:val="-11"/>
          <w:vertAlign w:val="baseline"/>
        </w:rPr>
        <w:t> </w:t>
      </w:r>
      <w:r>
        <w:rPr>
          <w:vertAlign w:val="baseline"/>
        </w:rPr>
        <w:t>variabel</w:t>
      </w:r>
      <w:r>
        <w:rPr>
          <w:spacing w:val="-12"/>
          <w:vertAlign w:val="baseline"/>
        </w:rPr>
        <w:t> </w:t>
      </w:r>
      <w:r>
        <w:rPr>
          <w:vertAlign w:val="baseline"/>
        </w:rPr>
        <w:t>internal</w:t>
      </w:r>
      <w:r>
        <w:rPr>
          <w:spacing w:val="-12"/>
          <w:vertAlign w:val="baseline"/>
        </w:rPr>
        <w:t> </w:t>
      </w:r>
      <w:r>
        <w:rPr>
          <w:vertAlign w:val="baseline"/>
        </w:rPr>
        <w:t>dan</w:t>
      </w:r>
      <w:r>
        <w:rPr>
          <w:spacing w:val="-12"/>
          <w:vertAlign w:val="baseline"/>
        </w:rPr>
        <w:t> </w:t>
      </w:r>
      <w:r>
        <w:rPr>
          <w:vertAlign w:val="baseline"/>
        </w:rPr>
        <w:t>juga</w:t>
      </w:r>
      <w:r>
        <w:rPr>
          <w:spacing w:val="-13"/>
          <w:vertAlign w:val="baseline"/>
        </w:rPr>
        <w:t> </w:t>
      </w:r>
      <w:r>
        <w:rPr>
          <w:vertAlign w:val="baseline"/>
        </w:rPr>
        <w:t>perubahan</w:t>
      </w:r>
      <w:r>
        <w:rPr>
          <w:spacing w:val="-12"/>
          <w:vertAlign w:val="baseline"/>
        </w:rPr>
        <w:t> </w:t>
      </w:r>
      <w:r>
        <w:rPr>
          <w:vertAlign w:val="baseline"/>
        </w:rPr>
        <w:t>lingkungan</w:t>
      </w:r>
      <w:r>
        <w:rPr>
          <w:spacing w:val="-12"/>
          <w:vertAlign w:val="baseline"/>
        </w:rPr>
        <w:t> </w:t>
      </w:r>
      <w:r>
        <w:rPr>
          <w:vertAlign w:val="baseline"/>
        </w:rPr>
        <w:t>ekonomi</w:t>
      </w:r>
      <w:r>
        <w:rPr>
          <w:spacing w:val="-11"/>
          <w:vertAlign w:val="baseline"/>
        </w:rPr>
        <w:t> </w:t>
      </w:r>
      <w:r>
        <w:rPr>
          <w:vertAlign w:val="baseline"/>
        </w:rPr>
        <w:t>makro</w:t>
      </w:r>
      <w:r>
        <w:rPr>
          <w:spacing w:val="-10"/>
          <w:vertAlign w:val="baseline"/>
        </w:rPr>
        <w:t> </w:t>
      </w:r>
      <w:r>
        <w:rPr>
          <w:vertAlign w:val="baseline"/>
        </w:rPr>
        <w:t>baik</w:t>
      </w:r>
      <w:r>
        <w:rPr>
          <w:spacing w:val="-12"/>
          <w:vertAlign w:val="baseline"/>
        </w:rPr>
        <w:t> </w:t>
      </w:r>
      <w:r>
        <w:rPr>
          <w:vertAlign w:val="baseline"/>
        </w:rPr>
        <w:t>lokal</w:t>
      </w:r>
      <w:r>
        <w:rPr>
          <w:spacing w:val="-12"/>
          <w:vertAlign w:val="baseline"/>
        </w:rPr>
        <w:t> </w:t>
      </w:r>
      <w:r>
        <w:rPr>
          <w:vertAlign w:val="baseline"/>
        </w:rPr>
        <w:t>maupun internasional. Hal-hal yang tidak termasuk kewenangan manajemen perusahaan serta berdampak pada operasi sehari-hari adalah lingkup ekonomi makro. Adapun variabel- variabel makroekonomi yang secara eksplisit mengenai kinerja bisnis dan kemudian mempengruhi harga saham, adalah Indeks Keyakinan Konsumen, inflasi, nilai tukar, dan Indeks Produksi Industri</w:t>
      </w:r>
      <w:hyperlink w:history="true" w:anchor="_bookmark24">
        <w:r>
          <w:rPr>
            <w:vertAlign w:val="baseline"/>
          </w:rPr>
          <w:t>.</w:t>
        </w:r>
        <w:r>
          <w:rPr>
            <w:vertAlign w:val="superscript"/>
          </w:rPr>
          <w:t>12</w:t>
        </w:r>
      </w:hyperlink>
    </w:p>
    <w:p>
      <w:pPr>
        <w:pStyle w:val="BodyText"/>
        <w:rPr>
          <w:sz w:val="20"/>
        </w:rPr>
      </w:pPr>
    </w:p>
    <w:p>
      <w:pPr>
        <w:pStyle w:val="BodyText"/>
        <w:rPr>
          <w:sz w:val="20"/>
        </w:rPr>
      </w:pPr>
    </w:p>
    <w:p>
      <w:pPr>
        <w:pStyle w:val="BodyText"/>
        <w:rPr>
          <w:sz w:val="20"/>
        </w:rPr>
      </w:pPr>
    </w:p>
    <w:p>
      <w:pPr>
        <w:pStyle w:val="BodyText"/>
        <w:spacing w:before="26"/>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178297</wp:posOffset>
                </wp:positionV>
                <wp:extent cx="1829435"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4.039188pt;width:144.020pt;height:.72003pt;mso-position-horizontal-relative:page;mso-position-vertical-relative:paragraph;z-index:-15725568;mso-wrap-distance-left:0;mso-wrap-distance-right:0" id="docshape12" filled="true" fillcolor="#000000" stroked="false">
                <v:fill type="solid"/>
                <w10:wrap type="topAndBottom"/>
              </v:rect>
            </w:pict>
          </mc:Fallback>
        </mc:AlternateContent>
      </w:r>
    </w:p>
    <w:p>
      <w:pPr>
        <w:spacing w:before="101"/>
        <w:ind w:left="23" w:right="165" w:firstLine="719"/>
        <w:jc w:val="both"/>
        <w:rPr>
          <w:sz w:val="20"/>
        </w:rPr>
      </w:pPr>
      <w:bookmarkStart w:name="_bookmark22" w:id="23"/>
      <w:bookmarkEnd w:id="23"/>
      <w:r>
        <w:rPr/>
      </w:r>
      <w:r>
        <w:rPr>
          <w:sz w:val="20"/>
          <w:vertAlign w:val="superscript"/>
        </w:rPr>
        <w:t>10</w:t>
      </w:r>
      <w:r>
        <w:rPr>
          <w:sz w:val="20"/>
          <w:vertAlign w:val="baseline"/>
        </w:rPr>
        <w:t> Sunariyah, </w:t>
      </w:r>
      <w:r>
        <w:rPr>
          <w:i/>
          <w:sz w:val="20"/>
          <w:vertAlign w:val="baseline"/>
        </w:rPr>
        <w:t>Pengantar Pengetahuan Pasar Modal </w:t>
      </w:r>
      <w:r>
        <w:rPr>
          <w:sz w:val="20"/>
          <w:vertAlign w:val="baseline"/>
        </w:rPr>
        <w:t>(Yogyakarta: Akademi Manajemen Perusahaan YKPN, 2012).</w:t>
      </w:r>
    </w:p>
    <w:p>
      <w:pPr>
        <w:spacing w:before="0"/>
        <w:ind w:left="23" w:right="167" w:firstLine="719"/>
        <w:jc w:val="both"/>
        <w:rPr>
          <w:sz w:val="20"/>
        </w:rPr>
      </w:pPr>
      <w:bookmarkStart w:name="_bookmark23" w:id="24"/>
      <w:bookmarkEnd w:id="24"/>
      <w:r>
        <w:rPr/>
      </w:r>
      <w:r>
        <w:rPr>
          <w:sz w:val="20"/>
          <w:vertAlign w:val="superscript"/>
        </w:rPr>
        <w:t>11</w:t>
      </w:r>
      <w:r>
        <w:rPr>
          <w:sz w:val="20"/>
          <w:vertAlign w:val="baseline"/>
        </w:rPr>
        <w:t> Ayif Fathurrahman and Rahma Aprilia Widiastuti, ‘Determinan Indeks Saham Syariah Indonesia (Pendekatan Error Correction Model)’, </w:t>
      </w:r>
      <w:r>
        <w:rPr>
          <w:i/>
          <w:sz w:val="20"/>
          <w:vertAlign w:val="baseline"/>
        </w:rPr>
        <w:t>Islamic Banking</w:t>
      </w:r>
      <w:r>
        <w:rPr>
          <w:i/>
          <w:spacing w:val="-13"/>
          <w:sz w:val="20"/>
          <w:vertAlign w:val="baseline"/>
        </w:rPr>
        <w:t> </w:t>
      </w:r>
      <w:r>
        <w:rPr>
          <w:i/>
          <w:sz w:val="20"/>
          <w:vertAlign w:val="baseline"/>
        </w:rPr>
        <w:t>: Jurnal Pemikiran Dan Pengembangan Perbankan Syariah</w:t>
      </w:r>
      <w:r>
        <w:rPr>
          <w:sz w:val="20"/>
          <w:vertAlign w:val="baseline"/>
        </w:rPr>
        <w:t>, 7.1 (2021), 179–94 &lt;https://doi.org/10.36908/isbank.v7i1.309&gt;.</w:t>
      </w:r>
    </w:p>
    <w:p>
      <w:pPr>
        <w:spacing w:before="0"/>
        <w:ind w:left="743" w:right="0" w:firstLine="0"/>
        <w:jc w:val="both"/>
        <w:rPr>
          <w:sz w:val="20"/>
        </w:rPr>
      </w:pPr>
      <w:bookmarkStart w:name="_bookmark24" w:id="25"/>
      <w:bookmarkEnd w:id="25"/>
      <w:r>
        <w:rPr/>
      </w:r>
      <w:r>
        <w:rPr>
          <w:sz w:val="20"/>
          <w:vertAlign w:val="superscript"/>
        </w:rPr>
        <w:t>12</w:t>
      </w:r>
      <w:r>
        <w:rPr>
          <w:spacing w:val="-6"/>
          <w:sz w:val="20"/>
          <w:vertAlign w:val="baseline"/>
        </w:rPr>
        <w:t> </w:t>
      </w:r>
      <w:r>
        <w:rPr>
          <w:sz w:val="20"/>
          <w:vertAlign w:val="baseline"/>
        </w:rPr>
        <w:t>M</w:t>
      </w:r>
      <w:r>
        <w:rPr>
          <w:spacing w:val="-5"/>
          <w:sz w:val="20"/>
          <w:vertAlign w:val="baseline"/>
        </w:rPr>
        <w:t> </w:t>
      </w:r>
      <w:r>
        <w:rPr>
          <w:sz w:val="20"/>
          <w:vertAlign w:val="baseline"/>
        </w:rPr>
        <w:t>Samsul,</w:t>
      </w:r>
      <w:r>
        <w:rPr>
          <w:spacing w:val="-4"/>
          <w:sz w:val="20"/>
          <w:vertAlign w:val="baseline"/>
        </w:rPr>
        <w:t> </w:t>
      </w:r>
      <w:r>
        <w:rPr>
          <w:i/>
          <w:sz w:val="20"/>
          <w:vertAlign w:val="baseline"/>
        </w:rPr>
        <w:t>Pasar</w:t>
      </w:r>
      <w:r>
        <w:rPr>
          <w:i/>
          <w:spacing w:val="-6"/>
          <w:sz w:val="20"/>
          <w:vertAlign w:val="baseline"/>
        </w:rPr>
        <w:t> </w:t>
      </w:r>
      <w:r>
        <w:rPr>
          <w:i/>
          <w:sz w:val="20"/>
          <w:vertAlign w:val="baseline"/>
        </w:rPr>
        <w:t>Modal</w:t>
      </w:r>
      <w:r>
        <w:rPr>
          <w:i/>
          <w:spacing w:val="-6"/>
          <w:sz w:val="20"/>
          <w:vertAlign w:val="baseline"/>
        </w:rPr>
        <w:t> </w:t>
      </w:r>
      <w:r>
        <w:rPr>
          <w:i/>
          <w:sz w:val="20"/>
          <w:vertAlign w:val="baseline"/>
        </w:rPr>
        <w:t>Dan</w:t>
      </w:r>
      <w:r>
        <w:rPr>
          <w:i/>
          <w:spacing w:val="-6"/>
          <w:sz w:val="20"/>
          <w:vertAlign w:val="baseline"/>
        </w:rPr>
        <w:t> </w:t>
      </w:r>
      <w:r>
        <w:rPr>
          <w:i/>
          <w:sz w:val="20"/>
          <w:vertAlign w:val="baseline"/>
        </w:rPr>
        <w:t>Manajemen</w:t>
      </w:r>
      <w:r>
        <w:rPr>
          <w:i/>
          <w:spacing w:val="-4"/>
          <w:sz w:val="20"/>
          <w:vertAlign w:val="baseline"/>
        </w:rPr>
        <w:t> </w:t>
      </w:r>
      <w:r>
        <w:rPr>
          <w:i/>
          <w:sz w:val="20"/>
          <w:vertAlign w:val="baseline"/>
        </w:rPr>
        <w:t>Portofolio</w:t>
      </w:r>
      <w:r>
        <w:rPr>
          <w:i/>
          <w:spacing w:val="-2"/>
          <w:sz w:val="20"/>
          <w:vertAlign w:val="baseline"/>
        </w:rPr>
        <w:t> </w:t>
      </w:r>
      <w:r>
        <w:rPr>
          <w:sz w:val="20"/>
          <w:vertAlign w:val="baseline"/>
        </w:rPr>
        <w:t>(Surabaya:</w:t>
      </w:r>
      <w:r>
        <w:rPr>
          <w:spacing w:val="-5"/>
          <w:sz w:val="20"/>
          <w:vertAlign w:val="baseline"/>
        </w:rPr>
        <w:t> </w:t>
      </w:r>
      <w:r>
        <w:rPr>
          <w:sz w:val="20"/>
          <w:vertAlign w:val="baseline"/>
        </w:rPr>
        <w:t>Erlangga,</w:t>
      </w:r>
      <w:r>
        <w:rPr>
          <w:spacing w:val="-4"/>
          <w:sz w:val="20"/>
          <w:vertAlign w:val="baseline"/>
        </w:rPr>
        <w:t> </w:t>
      </w:r>
      <w:r>
        <w:rPr>
          <w:spacing w:val="-2"/>
          <w:sz w:val="20"/>
          <w:vertAlign w:val="baseline"/>
        </w:rPr>
        <w:t>2014).</w:t>
      </w:r>
    </w:p>
    <w:p>
      <w:pPr>
        <w:spacing w:after="0"/>
        <w:jc w:val="both"/>
        <w:rPr>
          <w:sz w:val="20"/>
        </w:rPr>
        <w:sectPr>
          <w:pgSz w:w="11910" w:h="16840"/>
          <w:pgMar w:header="0" w:footer="1000" w:top="1360" w:bottom="1200" w:left="1417" w:right="1275"/>
        </w:sectPr>
      </w:pPr>
    </w:p>
    <w:p>
      <w:pPr>
        <w:pStyle w:val="BodyText"/>
        <w:spacing w:line="360" w:lineRule="auto" w:before="60"/>
        <w:ind w:left="383" w:right="159" w:firstLine="359"/>
        <w:jc w:val="both"/>
      </w:pPr>
      <w:r>
        <w:rPr/>
        <w:t>Perspektif</w:t>
      </w:r>
      <w:r>
        <w:rPr>
          <w:spacing w:val="-9"/>
        </w:rPr>
        <w:t> </w:t>
      </w:r>
      <w:r>
        <w:rPr/>
        <w:t>atau</w:t>
      </w:r>
      <w:r>
        <w:rPr>
          <w:spacing w:val="-9"/>
        </w:rPr>
        <w:t> </w:t>
      </w:r>
      <w:r>
        <w:rPr/>
        <w:t>opini</w:t>
      </w:r>
      <w:r>
        <w:rPr>
          <w:spacing w:val="-8"/>
        </w:rPr>
        <w:t> </w:t>
      </w:r>
      <w:r>
        <w:rPr/>
        <w:t>investor</w:t>
      </w:r>
      <w:r>
        <w:rPr>
          <w:spacing w:val="-9"/>
        </w:rPr>
        <w:t> </w:t>
      </w:r>
      <w:r>
        <w:rPr/>
        <w:t>mengenai</w:t>
      </w:r>
      <w:r>
        <w:rPr>
          <w:spacing w:val="-8"/>
        </w:rPr>
        <w:t> </w:t>
      </w:r>
      <w:r>
        <w:rPr/>
        <w:t>harga</w:t>
      </w:r>
      <w:r>
        <w:rPr>
          <w:spacing w:val="-10"/>
        </w:rPr>
        <w:t> </w:t>
      </w:r>
      <w:r>
        <w:rPr/>
        <w:t>saham</w:t>
      </w:r>
      <w:r>
        <w:rPr>
          <w:spacing w:val="-8"/>
        </w:rPr>
        <w:t> </w:t>
      </w:r>
      <w:r>
        <w:rPr/>
        <w:t>di</w:t>
      </w:r>
      <w:r>
        <w:rPr>
          <w:spacing w:val="-8"/>
        </w:rPr>
        <w:t> </w:t>
      </w:r>
      <w:r>
        <w:rPr/>
        <w:t>pasar</w:t>
      </w:r>
      <w:r>
        <w:rPr>
          <w:spacing w:val="-9"/>
        </w:rPr>
        <w:t> </w:t>
      </w:r>
      <w:r>
        <w:rPr/>
        <w:t>dikenal</w:t>
      </w:r>
      <w:r>
        <w:rPr>
          <w:spacing w:val="-8"/>
        </w:rPr>
        <w:t> </w:t>
      </w:r>
      <w:r>
        <w:rPr/>
        <w:t>sebagai</w:t>
      </w:r>
      <w:r>
        <w:rPr>
          <w:spacing w:val="-8"/>
        </w:rPr>
        <w:t> </w:t>
      </w:r>
      <w:r>
        <w:rPr/>
        <w:t>sentimen investor. Keyakinan investor terhadap pendapatan di waktu mendatang yang tidak didukung oleh bukti kuat</w:t>
      </w:r>
      <w:r>
        <w:rPr>
          <w:spacing w:val="-1"/>
        </w:rPr>
        <w:t> </w:t>
      </w:r>
      <w:r>
        <w:rPr/>
        <w:t>adalah salah satu sentimen yang dapat memengaruhi nilai pasar. Indeks</w:t>
      </w:r>
      <w:r>
        <w:rPr>
          <w:spacing w:val="-15"/>
        </w:rPr>
        <w:t> </w:t>
      </w:r>
      <w:r>
        <w:rPr/>
        <w:t>keyakinan</w:t>
      </w:r>
      <w:r>
        <w:rPr>
          <w:spacing w:val="-15"/>
        </w:rPr>
        <w:t> </w:t>
      </w:r>
      <w:r>
        <w:rPr/>
        <w:t>konsumen</w:t>
      </w:r>
      <w:r>
        <w:rPr>
          <w:spacing w:val="-15"/>
        </w:rPr>
        <w:t> </w:t>
      </w:r>
      <w:r>
        <w:rPr/>
        <w:t>mengacu</w:t>
      </w:r>
      <w:r>
        <w:rPr>
          <w:spacing w:val="-15"/>
        </w:rPr>
        <w:t> </w:t>
      </w:r>
      <w:r>
        <w:rPr/>
        <w:t>pada</w:t>
      </w:r>
      <w:r>
        <w:rPr>
          <w:spacing w:val="-15"/>
        </w:rPr>
        <w:t> </w:t>
      </w:r>
      <w:r>
        <w:rPr/>
        <w:t>tingkat</w:t>
      </w:r>
      <w:r>
        <w:rPr>
          <w:spacing w:val="-15"/>
        </w:rPr>
        <w:t> </w:t>
      </w:r>
      <w:r>
        <w:rPr/>
        <w:t>kepastian</w:t>
      </w:r>
      <w:r>
        <w:rPr>
          <w:spacing w:val="-15"/>
        </w:rPr>
        <w:t> </w:t>
      </w:r>
      <w:r>
        <w:rPr/>
        <w:t>mereka</w:t>
      </w:r>
      <w:r>
        <w:rPr>
          <w:spacing w:val="-15"/>
        </w:rPr>
        <w:t> </w:t>
      </w:r>
      <w:r>
        <w:rPr/>
        <w:t>atas</w:t>
      </w:r>
      <w:r>
        <w:rPr>
          <w:spacing w:val="-15"/>
        </w:rPr>
        <w:t> </w:t>
      </w:r>
      <w:r>
        <w:rPr/>
        <w:t>keadaan</w:t>
      </w:r>
      <w:r>
        <w:rPr>
          <w:spacing w:val="-15"/>
        </w:rPr>
        <w:t> </w:t>
      </w:r>
      <w:r>
        <w:rPr/>
        <w:t>ekonomi suatu</w:t>
      </w:r>
      <w:r>
        <w:rPr>
          <w:spacing w:val="-1"/>
        </w:rPr>
        <w:t> </w:t>
      </w:r>
      <w:r>
        <w:rPr/>
        <w:t>negara. Tingkat</w:t>
      </w:r>
      <w:r>
        <w:rPr>
          <w:spacing w:val="-1"/>
        </w:rPr>
        <w:t> </w:t>
      </w:r>
      <w:r>
        <w:rPr/>
        <w:t>keyakinan</w:t>
      </w:r>
      <w:r>
        <w:rPr>
          <w:spacing w:val="-1"/>
        </w:rPr>
        <w:t> </w:t>
      </w:r>
      <w:r>
        <w:rPr/>
        <w:t>tersebut</w:t>
      </w:r>
      <w:r>
        <w:rPr>
          <w:spacing w:val="-1"/>
        </w:rPr>
        <w:t> </w:t>
      </w:r>
      <w:r>
        <w:rPr/>
        <w:t>diketahui</w:t>
      </w:r>
      <w:r>
        <w:rPr>
          <w:spacing w:val="-1"/>
        </w:rPr>
        <w:t> </w:t>
      </w:r>
      <w:r>
        <w:rPr/>
        <w:t>dengan menggunakan data</w:t>
      </w:r>
      <w:r>
        <w:rPr>
          <w:spacing w:val="-1"/>
        </w:rPr>
        <w:t> </w:t>
      </w:r>
      <w:r>
        <w:rPr/>
        <w:t>indeks dari indeks keyakinan konsumen.</w:t>
      </w:r>
      <w:hyperlink w:history="true" w:anchor="_bookmark25">
        <w:r>
          <w:rPr>
            <w:vertAlign w:val="superscript"/>
          </w:rPr>
          <w:t>13</w:t>
        </w:r>
      </w:hyperlink>
      <w:r>
        <w:rPr>
          <w:vertAlign w:val="baseline"/>
        </w:rPr>
        <w:t> Nilai IKK dihitung sebagai rata-rata dari dua komponen utama: Indeks Kondisi Ekonomi Saat Ini (IKE) dan Indeks Ekspektasi Konsumen (IEK). Ekspektasi konsumen terhadap kondisi ekonomi di masa depan tercermin dalam IEK, sedangkan penilaian mereka yang menggambarkan kondisi ekonomi saat ini termuat pada IEK.</w:t>
      </w:r>
      <w:r>
        <w:rPr>
          <w:spacing w:val="-7"/>
          <w:vertAlign w:val="baseline"/>
        </w:rPr>
        <w:t> </w:t>
      </w:r>
      <w:r>
        <w:rPr>
          <w:vertAlign w:val="baseline"/>
        </w:rPr>
        <w:t>Singkatnya,</w:t>
      </w:r>
      <w:r>
        <w:rPr>
          <w:spacing w:val="-4"/>
          <w:vertAlign w:val="baseline"/>
        </w:rPr>
        <w:t> </w:t>
      </w:r>
      <w:r>
        <w:rPr>
          <w:vertAlign w:val="baseline"/>
        </w:rPr>
        <w:t>Indeks</w:t>
      </w:r>
      <w:r>
        <w:rPr>
          <w:spacing w:val="-5"/>
          <w:vertAlign w:val="baseline"/>
        </w:rPr>
        <w:t> </w:t>
      </w:r>
      <w:r>
        <w:rPr>
          <w:vertAlign w:val="baseline"/>
        </w:rPr>
        <w:t>Keyakinan</w:t>
      </w:r>
      <w:r>
        <w:rPr>
          <w:spacing w:val="-4"/>
          <w:vertAlign w:val="baseline"/>
        </w:rPr>
        <w:t> </w:t>
      </w:r>
      <w:r>
        <w:rPr>
          <w:vertAlign w:val="baseline"/>
        </w:rPr>
        <w:t>Konsumen</w:t>
      </w:r>
      <w:r>
        <w:rPr>
          <w:spacing w:val="-7"/>
          <w:vertAlign w:val="baseline"/>
        </w:rPr>
        <w:t> </w:t>
      </w:r>
      <w:r>
        <w:rPr>
          <w:vertAlign w:val="baseline"/>
        </w:rPr>
        <w:t>adalah</w:t>
      </w:r>
      <w:r>
        <w:rPr>
          <w:spacing w:val="-7"/>
          <w:vertAlign w:val="baseline"/>
        </w:rPr>
        <w:t> </w:t>
      </w:r>
      <w:r>
        <w:rPr>
          <w:vertAlign w:val="baseline"/>
        </w:rPr>
        <w:t>instrumen</w:t>
      </w:r>
      <w:r>
        <w:rPr>
          <w:spacing w:val="-7"/>
          <w:vertAlign w:val="baseline"/>
        </w:rPr>
        <w:t> </w:t>
      </w:r>
      <w:r>
        <w:rPr>
          <w:vertAlign w:val="baseline"/>
        </w:rPr>
        <w:t>penting</w:t>
      </w:r>
      <w:r>
        <w:rPr>
          <w:spacing w:val="-7"/>
          <w:vertAlign w:val="baseline"/>
        </w:rPr>
        <w:t> </w:t>
      </w:r>
      <w:r>
        <w:rPr>
          <w:vertAlign w:val="baseline"/>
        </w:rPr>
        <w:t>untuk</w:t>
      </w:r>
      <w:r>
        <w:rPr>
          <w:spacing w:val="-6"/>
          <w:vertAlign w:val="baseline"/>
        </w:rPr>
        <w:t> </w:t>
      </w:r>
      <w:r>
        <w:rPr>
          <w:vertAlign w:val="baseline"/>
        </w:rPr>
        <w:t>mengukur perasaan</w:t>
      </w:r>
      <w:r>
        <w:rPr>
          <w:spacing w:val="-3"/>
          <w:vertAlign w:val="baseline"/>
        </w:rPr>
        <w:t> </w:t>
      </w:r>
      <w:r>
        <w:rPr>
          <w:vertAlign w:val="baseline"/>
        </w:rPr>
        <w:t>masyarakat</w:t>
      </w:r>
      <w:r>
        <w:rPr>
          <w:spacing w:val="-3"/>
          <w:vertAlign w:val="baseline"/>
        </w:rPr>
        <w:t> </w:t>
      </w:r>
      <w:r>
        <w:rPr>
          <w:vertAlign w:val="baseline"/>
        </w:rPr>
        <w:t>tentang</w:t>
      </w:r>
      <w:r>
        <w:rPr>
          <w:spacing w:val="-3"/>
          <w:vertAlign w:val="baseline"/>
        </w:rPr>
        <w:t> </w:t>
      </w:r>
      <w:r>
        <w:rPr>
          <w:vertAlign w:val="baseline"/>
        </w:rPr>
        <w:t>kondisi</w:t>
      </w:r>
      <w:r>
        <w:rPr>
          <w:spacing w:val="-3"/>
          <w:vertAlign w:val="baseline"/>
        </w:rPr>
        <w:t> </w:t>
      </w:r>
      <w:r>
        <w:rPr>
          <w:vertAlign w:val="baseline"/>
        </w:rPr>
        <w:t>ekonomi</w:t>
      </w:r>
      <w:r>
        <w:rPr>
          <w:spacing w:val="-3"/>
          <w:vertAlign w:val="baseline"/>
        </w:rPr>
        <w:t> </w:t>
      </w:r>
      <w:r>
        <w:rPr>
          <w:vertAlign w:val="baseline"/>
        </w:rPr>
        <w:t>saat</w:t>
      </w:r>
      <w:r>
        <w:rPr>
          <w:spacing w:val="-3"/>
          <w:vertAlign w:val="baseline"/>
        </w:rPr>
        <w:t> </w:t>
      </w:r>
      <w:r>
        <w:rPr>
          <w:vertAlign w:val="baseline"/>
        </w:rPr>
        <w:t>ini</w:t>
      </w:r>
      <w:r>
        <w:rPr>
          <w:spacing w:val="-3"/>
          <w:vertAlign w:val="baseline"/>
        </w:rPr>
        <w:t> </w:t>
      </w:r>
      <w:r>
        <w:rPr>
          <w:vertAlign w:val="baseline"/>
        </w:rPr>
        <w:t>dan</w:t>
      </w:r>
      <w:r>
        <w:rPr>
          <w:spacing w:val="-3"/>
          <w:vertAlign w:val="baseline"/>
        </w:rPr>
        <w:t> </w:t>
      </w:r>
      <w:r>
        <w:rPr>
          <w:vertAlign w:val="baseline"/>
        </w:rPr>
        <w:t>di</w:t>
      </w:r>
      <w:r>
        <w:rPr>
          <w:spacing w:val="-3"/>
          <w:vertAlign w:val="baseline"/>
        </w:rPr>
        <w:t> </w:t>
      </w:r>
      <w:r>
        <w:rPr>
          <w:vertAlign w:val="baseline"/>
        </w:rPr>
        <w:t>masa</w:t>
      </w:r>
      <w:r>
        <w:rPr>
          <w:spacing w:val="-5"/>
          <w:vertAlign w:val="baseline"/>
        </w:rPr>
        <w:t> </w:t>
      </w:r>
      <w:r>
        <w:rPr>
          <w:vertAlign w:val="baseline"/>
        </w:rPr>
        <w:t>depan.</w:t>
      </w:r>
      <w:r>
        <w:rPr>
          <w:spacing w:val="-2"/>
          <w:vertAlign w:val="baseline"/>
        </w:rPr>
        <w:t> </w:t>
      </w:r>
      <w:r>
        <w:rPr>
          <w:vertAlign w:val="baseline"/>
        </w:rPr>
        <w:t>Investor</w:t>
      </w:r>
      <w:r>
        <w:rPr>
          <w:spacing w:val="-3"/>
          <w:vertAlign w:val="baseline"/>
        </w:rPr>
        <w:t> </w:t>
      </w:r>
      <w:r>
        <w:rPr>
          <w:vertAlign w:val="baseline"/>
        </w:rPr>
        <w:t>disebut optimis jika indeks berada di angka lebih dari 100 dan pesimis jika indeks di bawah 100. Hal ini menunjukkan bagaimana persepsi investor, baik optimis maupun pesimis, dapat menyebabkan nilai aset menyimpang secara signifikan dari nilai dasarnya.</w:t>
      </w:r>
      <w:hyperlink w:history="true" w:anchor="_bookmark26">
        <w:r>
          <w:rPr>
            <w:vertAlign w:val="superscript"/>
          </w:rPr>
          <w:t>14</w:t>
        </w:r>
      </w:hyperlink>
    </w:p>
    <w:p>
      <w:pPr>
        <w:pStyle w:val="Heading2"/>
        <w:spacing w:before="2"/>
        <w:ind w:left="580"/>
        <w:jc w:val="center"/>
      </w:pPr>
      <w:r>
        <w:rPr/>
        <w:t>Grafik</w:t>
      </w:r>
      <w:r>
        <w:rPr>
          <w:spacing w:val="-5"/>
        </w:rPr>
        <w:t> 1.2</w:t>
      </w:r>
    </w:p>
    <w:p>
      <w:pPr>
        <w:spacing w:before="137"/>
        <w:ind w:left="579" w:right="0" w:firstLine="0"/>
        <w:jc w:val="center"/>
        <w:rPr>
          <w:b/>
          <w:sz w:val="24"/>
        </w:rPr>
      </w:pPr>
      <w:r>
        <w:rPr>
          <w:b/>
          <w:sz w:val="24"/>
        </w:rPr>
        <w:t>Indeks</w:t>
      </w:r>
      <w:r>
        <w:rPr>
          <w:b/>
          <w:spacing w:val="-4"/>
          <w:sz w:val="24"/>
        </w:rPr>
        <w:t> </w:t>
      </w:r>
      <w:r>
        <w:rPr>
          <w:b/>
          <w:sz w:val="24"/>
        </w:rPr>
        <w:t>Keyakinan</w:t>
      </w:r>
      <w:r>
        <w:rPr>
          <w:b/>
          <w:spacing w:val="-2"/>
          <w:sz w:val="24"/>
        </w:rPr>
        <w:t> Konsumen</w:t>
      </w:r>
    </w:p>
    <w:p>
      <w:pPr>
        <w:spacing w:before="144"/>
        <w:ind w:left="2185" w:right="0" w:firstLine="0"/>
        <w:jc w:val="left"/>
        <w:rPr>
          <w:rFonts w:ascii="Arial MT"/>
          <w:sz w:val="15"/>
        </w:rPr>
      </w:pPr>
      <w:r>
        <w:rPr>
          <w:rFonts w:ascii="Arial MT"/>
          <w:sz w:val="15"/>
        </w:rPr>
        <mc:AlternateContent>
          <mc:Choice Requires="wps">
            <w:drawing>
              <wp:anchor distT="0" distB="0" distL="0" distR="0" allowOverlap="1" layoutInCell="1" locked="0" behindDoc="0" simplePos="0" relativeHeight="15732736">
                <wp:simplePos x="0" y="0"/>
                <wp:positionH relativeFrom="page">
                  <wp:posOffset>2485302</wp:posOffset>
                </wp:positionH>
                <wp:positionV relativeFrom="paragraph">
                  <wp:posOffset>168539</wp:posOffset>
                </wp:positionV>
                <wp:extent cx="3641090" cy="2210435"/>
                <wp:effectExtent l="0" t="0" r="0" b="0"/>
                <wp:wrapNone/>
                <wp:docPr id="17" name="Group 17"/>
                <wp:cNvGraphicFramePr>
                  <a:graphicFrameLocks/>
                </wp:cNvGraphicFramePr>
                <a:graphic>
                  <a:graphicData uri="http://schemas.microsoft.com/office/word/2010/wordprocessingGroup">
                    <wpg:wgp>
                      <wpg:cNvPr id="17" name="Group 17"/>
                      <wpg:cNvGrpSpPr/>
                      <wpg:grpSpPr>
                        <a:xfrm>
                          <a:off x="0" y="0"/>
                          <a:ext cx="3641090" cy="2210435"/>
                          <a:chExt cx="3641090" cy="2210435"/>
                        </a:xfrm>
                      </wpg:grpSpPr>
                      <wps:wsp>
                        <wps:cNvPr id="18" name="Graphic 18"/>
                        <wps:cNvSpPr/>
                        <wps:spPr>
                          <a:xfrm>
                            <a:off x="45656" y="2597"/>
                            <a:ext cx="3592829" cy="2157730"/>
                          </a:xfrm>
                          <a:custGeom>
                            <a:avLst/>
                            <a:gdLst/>
                            <a:ahLst/>
                            <a:cxnLst/>
                            <a:rect l="l" t="t" r="r" b="b"/>
                            <a:pathLst>
                              <a:path w="3592829" h="2157730">
                                <a:moveTo>
                                  <a:pt x="0" y="0"/>
                                </a:moveTo>
                                <a:lnTo>
                                  <a:pt x="0" y="2157335"/>
                                </a:lnTo>
                              </a:path>
                              <a:path w="3592829" h="2157730">
                                <a:moveTo>
                                  <a:pt x="0" y="2157335"/>
                                </a:moveTo>
                                <a:lnTo>
                                  <a:pt x="3592443" y="2157335"/>
                                </a:lnTo>
                              </a:path>
                              <a:path w="3592829" h="2157730">
                                <a:moveTo>
                                  <a:pt x="3592443" y="2157335"/>
                                </a:moveTo>
                                <a:lnTo>
                                  <a:pt x="3592443" y="0"/>
                                </a:lnTo>
                              </a:path>
                              <a:path w="3592829" h="2157730">
                                <a:moveTo>
                                  <a:pt x="3592443" y="0"/>
                                </a:moveTo>
                                <a:lnTo>
                                  <a:pt x="0" y="0"/>
                                </a:lnTo>
                              </a:path>
                            </a:pathLst>
                          </a:custGeom>
                          <a:ln w="5202">
                            <a:solidFill>
                              <a:srgbClr val="000000"/>
                            </a:solidFill>
                            <a:prstDash val="solid"/>
                          </a:ln>
                        </wps:spPr>
                        <wps:bodyPr wrap="square" lIns="0" tIns="0" rIns="0" bIns="0" rtlCol="0">
                          <a:prstTxWarp prst="textNoShape">
                            <a:avLst/>
                          </a:prstTxWarp>
                          <a:noAutofit/>
                        </wps:bodyPr>
                      </wps:wsp>
                      <wps:wsp>
                        <wps:cNvPr id="19" name="Graphic 19"/>
                        <wps:cNvSpPr/>
                        <wps:spPr>
                          <a:xfrm>
                            <a:off x="0" y="5943"/>
                            <a:ext cx="3637279" cy="2204720"/>
                          </a:xfrm>
                          <a:custGeom>
                            <a:avLst/>
                            <a:gdLst/>
                            <a:ahLst/>
                            <a:cxnLst/>
                            <a:rect l="l" t="t" r="r" b="b"/>
                            <a:pathLst>
                              <a:path w="3637279" h="2204720">
                                <a:moveTo>
                                  <a:pt x="41668" y="2151845"/>
                                </a:moveTo>
                                <a:lnTo>
                                  <a:pt x="0" y="2151845"/>
                                </a:lnTo>
                              </a:path>
                              <a:path w="3637279" h="2204720">
                                <a:moveTo>
                                  <a:pt x="41668" y="1793406"/>
                                </a:moveTo>
                                <a:lnTo>
                                  <a:pt x="0" y="1793406"/>
                                </a:lnTo>
                              </a:path>
                              <a:path w="3637279" h="2204720">
                                <a:moveTo>
                                  <a:pt x="41668" y="1434671"/>
                                </a:moveTo>
                                <a:lnTo>
                                  <a:pt x="0" y="1434671"/>
                                </a:lnTo>
                              </a:path>
                              <a:path w="3637279" h="2204720">
                                <a:moveTo>
                                  <a:pt x="41668" y="1075873"/>
                                </a:moveTo>
                                <a:lnTo>
                                  <a:pt x="0" y="1075873"/>
                                </a:lnTo>
                              </a:path>
                              <a:path w="3637279" h="2204720">
                                <a:moveTo>
                                  <a:pt x="41668" y="717124"/>
                                </a:moveTo>
                                <a:lnTo>
                                  <a:pt x="0" y="717124"/>
                                </a:lnTo>
                              </a:path>
                              <a:path w="3637279" h="2204720">
                                <a:moveTo>
                                  <a:pt x="41668" y="358500"/>
                                </a:moveTo>
                                <a:lnTo>
                                  <a:pt x="0" y="358500"/>
                                </a:lnTo>
                              </a:path>
                              <a:path w="3637279" h="2204720">
                                <a:moveTo>
                                  <a:pt x="41668" y="0"/>
                                </a:moveTo>
                                <a:lnTo>
                                  <a:pt x="0" y="0"/>
                                </a:lnTo>
                              </a:path>
                              <a:path w="3637279" h="2204720">
                                <a:moveTo>
                                  <a:pt x="46874" y="2158276"/>
                                </a:moveTo>
                                <a:lnTo>
                                  <a:pt x="46874" y="2181846"/>
                                </a:lnTo>
                              </a:path>
                              <a:path w="3637279" h="2204720">
                                <a:moveTo>
                                  <a:pt x="107550" y="2158276"/>
                                </a:moveTo>
                                <a:lnTo>
                                  <a:pt x="107550" y="2181846"/>
                                </a:lnTo>
                              </a:path>
                              <a:path w="3637279" h="2204720">
                                <a:moveTo>
                                  <a:pt x="166984" y="2158276"/>
                                </a:moveTo>
                                <a:lnTo>
                                  <a:pt x="166984" y="2181846"/>
                                </a:lnTo>
                              </a:path>
                              <a:path w="3637279" h="2204720">
                                <a:moveTo>
                                  <a:pt x="226729" y="2158276"/>
                                </a:moveTo>
                                <a:lnTo>
                                  <a:pt x="226729" y="2181846"/>
                                </a:lnTo>
                              </a:path>
                              <a:path w="3637279" h="2204720">
                                <a:moveTo>
                                  <a:pt x="286176" y="2158276"/>
                                </a:moveTo>
                                <a:lnTo>
                                  <a:pt x="286176" y="2181846"/>
                                </a:lnTo>
                              </a:path>
                              <a:path w="3637279" h="2204720">
                                <a:moveTo>
                                  <a:pt x="346840" y="2158276"/>
                                </a:moveTo>
                                <a:lnTo>
                                  <a:pt x="346840" y="2181846"/>
                                </a:lnTo>
                              </a:path>
                              <a:path w="3637279" h="2204720">
                                <a:moveTo>
                                  <a:pt x="406274" y="2158276"/>
                                </a:moveTo>
                                <a:lnTo>
                                  <a:pt x="406274" y="2181846"/>
                                </a:lnTo>
                              </a:path>
                              <a:path w="3637279" h="2204720">
                                <a:moveTo>
                                  <a:pt x="465721" y="2158276"/>
                                </a:moveTo>
                                <a:lnTo>
                                  <a:pt x="465721" y="2181846"/>
                                </a:lnTo>
                              </a:path>
                              <a:path w="3637279" h="2204720">
                                <a:moveTo>
                                  <a:pt x="526385" y="2158276"/>
                                </a:moveTo>
                                <a:lnTo>
                                  <a:pt x="526385" y="2181846"/>
                                </a:lnTo>
                              </a:path>
                              <a:path w="3637279" h="2204720">
                                <a:moveTo>
                                  <a:pt x="586130" y="2158276"/>
                                </a:moveTo>
                                <a:lnTo>
                                  <a:pt x="586130" y="2181846"/>
                                </a:lnTo>
                              </a:path>
                              <a:path w="3637279" h="2204720">
                                <a:moveTo>
                                  <a:pt x="645577" y="2158276"/>
                                </a:moveTo>
                                <a:lnTo>
                                  <a:pt x="645577" y="2181846"/>
                                </a:lnTo>
                              </a:path>
                              <a:path w="3637279" h="2204720">
                                <a:moveTo>
                                  <a:pt x="705011" y="2158276"/>
                                </a:moveTo>
                                <a:lnTo>
                                  <a:pt x="705011" y="2181846"/>
                                </a:lnTo>
                              </a:path>
                              <a:path w="3637279" h="2204720">
                                <a:moveTo>
                                  <a:pt x="765675" y="2158276"/>
                                </a:moveTo>
                                <a:lnTo>
                                  <a:pt x="765675" y="2181846"/>
                                </a:lnTo>
                              </a:path>
                              <a:path w="3637279" h="2204720">
                                <a:moveTo>
                                  <a:pt x="825420" y="2158276"/>
                                </a:moveTo>
                                <a:lnTo>
                                  <a:pt x="825420" y="2181846"/>
                                </a:lnTo>
                              </a:path>
                              <a:path w="3637279" h="2204720">
                                <a:moveTo>
                                  <a:pt x="884867" y="2158276"/>
                                </a:moveTo>
                                <a:lnTo>
                                  <a:pt x="884867" y="2181846"/>
                                </a:lnTo>
                              </a:path>
                              <a:path w="3637279" h="2204720">
                                <a:moveTo>
                                  <a:pt x="944301" y="2158276"/>
                                </a:moveTo>
                                <a:lnTo>
                                  <a:pt x="944301" y="2181846"/>
                                </a:lnTo>
                              </a:path>
                              <a:path w="3637279" h="2204720">
                                <a:moveTo>
                                  <a:pt x="1004965" y="2158276"/>
                                </a:moveTo>
                                <a:lnTo>
                                  <a:pt x="1004965" y="2181846"/>
                                </a:lnTo>
                              </a:path>
                              <a:path w="3637279" h="2204720">
                                <a:moveTo>
                                  <a:pt x="1064685" y="2158276"/>
                                </a:moveTo>
                                <a:lnTo>
                                  <a:pt x="1064685" y="2181846"/>
                                </a:lnTo>
                              </a:path>
                              <a:path w="3637279" h="2204720">
                                <a:moveTo>
                                  <a:pt x="1124194" y="2158276"/>
                                </a:moveTo>
                                <a:lnTo>
                                  <a:pt x="1124194" y="2181846"/>
                                </a:lnTo>
                              </a:path>
                              <a:path w="3637279" h="2204720">
                                <a:moveTo>
                                  <a:pt x="1183579" y="2158276"/>
                                </a:moveTo>
                                <a:lnTo>
                                  <a:pt x="1183579" y="2181846"/>
                                </a:lnTo>
                              </a:path>
                              <a:path w="3637279" h="2204720">
                                <a:moveTo>
                                  <a:pt x="1244206" y="2158276"/>
                                </a:moveTo>
                                <a:lnTo>
                                  <a:pt x="1244206" y="2181846"/>
                                </a:lnTo>
                              </a:path>
                              <a:path w="3637279" h="2204720">
                                <a:moveTo>
                                  <a:pt x="1303963" y="2158276"/>
                                </a:moveTo>
                                <a:lnTo>
                                  <a:pt x="1303963" y="2181846"/>
                                </a:lnTo>
                              </a:path>
                              <a:path w="3637279" h="2204720">
                                <a:moveTo>
                                  <a:pt x="1363472" y="2158276"/>
                                </a:moveTo>
                                <a:lnTo>
                                  <a:pt x="1363472" y="2181846"/>
                                </a:lnTo>
                              </a:path>
                              <a:path w="3637279" h="2204720">
                                <a:moveTo>
                                  <a:pt x="1424098" y="2158276"/>
                                </a:moveTo>
                                <a:lnTo>
                                  <a:pt x="1424098" y="2181846"/>
                                </a:lnTo>
                              </a:path>
                              <a:path w="3637279" h="2204720">
                                <a:moveTo>
                                  <a:pt x="1483607" y="2158276"/>
                                </a:moveTo>
                                <a:lnTo>
                                  <a:pt x="1483607" y="2181846"/>
                                </a:lnTo>
                              </a:path>
                              <a:path w="3637279" h="2204720">
                                <a:moveTo>
                                  <a:pt x="1542992" y="2158276"/>
                                </a:moveTo>
                                <a:lnTo>
                                  <a:pt x="1542992" y="2181846"/>
                                </a:lnTo>
                              </a:path>
                              <a:path w="3637279" h="2204720">
                                <a:moveTo>
                                  <a:pt x="1602749" y="2158276"/>
                                </a:moveTo>
                                <a:lnTo>
                                  <a:pt x="1602749" y="2181846"/>
                                </a:lnTo>
                              </a:path>
                              <a:path w="3637279" h="2204720">
                                <a:moveTo>
                                  <a:pt x="1663376" y="2158276"/>
                                </a:moveTo>
                                <a:lnTo>
                                  <a:pt x="1663376" y="2181846"/>
                                </a:lnTo>
                              </a:path>
                              <a:path w="3637279" h="2204720">
                                <a:moveTo>
                                  <a:pt x="1722885" y="2158276"/>
                                </a:moveTo>
                                <a:lnTo>
                                  <a:pt x="1722885" y="2181846"/>
                                </a:lnTo>
                              </a:path>
                              <a:path w="3637279" h="2204720">
                                <a:moveTo>
                                  <a:pt x="1782269" y="2158276"/>
                                </a:moveTo>
                                <a:lnTo>
                                  <a:pt x="1782269" y="2181846"/>
                                </a:lnTo>
                              </a:path>
                              <a:path w="3637279" h="2204720">
                                <a:moveTo>
                                  <a:pt x="1842027" y="2158276"/>
                                </a:moveTo>
                                <a:lnTo>
                                  <a:pt x="1842027" y="2181846"/>
                                </a:lnTo>
                              </a:path>
                              <a:path w="3637279" h="2204720">
                                <a:moveTo>
                                  <a:pt x="1902654" y="2158276"/>
                                </a:moveTo>
                                <a:lnTo>
                                  <a:pt x="1902654" y="2181846"/>
                                </a:lnTo>
                              </a:path>
                              <a:path w="3637279" h="2204720">
                                <a:moveTo>
                                  <a:pt x="1962162" y="2158276"/>
                                </a:moveTo>
                                <a:lnTo>
                                  <a:pt x="1962162" y="2181846"/>
                                </a:lnTo>
                              </a:path>
                              <a:path w="3637279" h="2204720">
                                <a:moveTo>
                                  <a:pt x="2021547" y="2158276"/>
                                </a:moveTo>
                                <a:lnTo>
                                  <a:pt x="2021547" y="2181846"/>
                                </a:lnTo>
                              </a:path>
                              <a:path w="3637279" h="2204720">
                                <a:moveTo>
                                  <a:pt x="2081304" y="2158276"/>
                                </a:moveTo>
                                <a:lnTo>
                                  <a:pt x="2081304" y="2181846"/>
                                </a:lnTo>
                              </a:path>
                              <a:path w="3637279" h="2204720">
                                <a:moveTo>
                                  <a:pt x="2142055" y="2158276"/>
                                </a:moveTo>
                                <a:lnTo>
                                  <a:pt x="2142055" y="2181846"/>
                                </a:lnTo>
                              </a:path>
                              <a:path w="3637279" h="2204720">
                                <a:moveTo>
                                  <a:pt x="2201440" y="2158276"/>
                                </a:moveTo>
                                <a:lnTo>
                                  <a:pt x="2201440" y="2181846"/>
                                </a:lnTo>
                              </a:path>
                              <a:path w="3637279" h="2204720">
                                <a:moveTo>
                                  <a:pt x="2260825" y="2158276"/>
                                </a:moveTo>
                                <a:lnTo>
                                  <a:pt x="2260825" y="2181846"/>
                                </a:lnTo>
                              </a:path>
                              <a:path w="3637279" h="2204720">
                                <a:moveTo>
                                  <a:pt x="2321576" y="2158276"/>
                                </a:moveTo>
                                <a:lnTo>
                                  <a:pt x="2321576" y="2181846"/>
                                </a:lnTo>
                              </a:path>
                              <a:path w="3637279" h="2204720">
                                <a:moveTo>
                                  <a:pt x="2381333" y="2158276"/>
                                </a:moveTo>
                                <a:lnTo>
                                  <a:pt x="2381333" y="2181846"/>
                                </a:lnTo>
                              </a:path>
                              <a:path w="3637279" h="2204720">
                                <a:moveTo>
                                  <a:pt x="2440718" y="2158276"/>
                                </a:moveTo>
                                <a:lnTo>
                                  <a:pt x="2440718" y="2181846"/>
                                </a:lnTo>
                              </a:path>
                              <a:path w="3637279" h="2204720">
                                <a:moveTo>
                                  <a:pt x="2500226" y="2158276"/>
                                </a:moveTo>
                                <a:lnTo>
                                  <a:pt x="2500226" y="2181846"/>
                                </a:lnTo>
                              </a:path>
                              <a:path w="3637279" h="2204720">
                                <a:moveTo>
                                  <a:pt x="2560853" y="2158276"/>
                                </a:moveTo>
                                <a:lnTo>
                                  <a:pt x="2560853" y="2181846"/>
                                </a:lnTo>
                              </a:path>
                              <a:path w="3637279" h="2204720">
                                <a:moveTo>
                                  <a:pt x="2620611" y="2158276"/>
                                </a:moveTo>
                                <a:lnTo>
                                  <a:pt x="2620611" y="2181846"/>
                                </a:lnTo>
                              </a:path>
                              <a:path w="3637279" h="2204720">
                                <a:moveTo>
                                  <a:pt x="2679995" y="2158276"/>
                                </a:moveTo>
                                <a:lnTo>
                                  <a:pt x="2679995" y="2181846"/>
                                </a:lnTo>
                              </a:path>
                              <a:path w="3637279" h="2204720">
                                <a:moveTo>
                                  <a:pt x="2739504" y="2158276"/>
                                </a:moveTo>
                                <a:lnTo>
                                  <a:pt x="2739504" y="2181846"/>
                                </a:lnTo>
                              </a:path>
                              <a:path w="3637279" h="2204720">
                                <a:moveTo>
                                  <a:pt x="2800131" y="2158276"/>
                                </a:moveTo>
                                <a:lnTo>
                                  <a:pt x="2800131" y="2181846"/>
                                </a:lnTo>
                              </a:path>
                              <a:path w="3637279" h="2204720">
                                <a:moveTo>
                                  <a:pt x="2859515" y="2158276"/>
                                </a:moveTo>
                                <a:lnTo>
                                  <a:pt x="2859515" y="2181846"/>
                                </a:lnTo>
                              </a:path>
                              <a:path w="3637279" h="2204720">
                                <a:moveTo>
                                  <a:pt x="2919273" y="2158276"/>
                                </a:moveTo>
                                <a:lnTo>
                                  <a:pt x="2919273" y="2181846"/>
                                </a:lnTo>
                              </a:path>
                              <a:path w="3637279" h="2204720">
                                <a:moveTo>
                                  <a:pt x="2978781" y="2158276"/>
                                </a:moveTo>
                                <a:lnTo>
                                  <a:pt x="2978781" y="2181846"/>
                                </a:lnTo>
                              </a:path>
                              <a:path w="3637279" h="2204720">
                                <a:moveTo>
                                  <a:pt x="3039408" y="2158276"/>
                                </a:moveTo>
                                <a:lnTo>
                                  <a:pt x="3039408" y="2181846"/>
                                </a:lnTo>
                              </a:path>
                              <a:path w="3637279" h="2204720">
                                <a:moveTo>
                                  <a:pt x="3098917" y="2158276"/>
                                </a:moveTo>
                                <a:lnTo>
                                  <a:pt x="3098917" y="2181846"/>
                                </a:lnTo>
                              </a:path>
                              <a:path w="3637279" h="2204720">
                                <a:moveTo>
                                  <a:pt x="3158550" y="2158276"/>
                                </a:moveTo>
                                <a:lnTo>
                                  <a:pt x="3158550" y="2181846"/>
                                </a:lnTo>
                              </a:path>
                              <a:path w="3637279" h="2204720">
                                <a:moveTo>
                                  <a:pt x="3219301" y="2158276"/>
                                </a:moveTo>
                                <a:lnTo>
                                  <a:pt x="3219301" y="2181846"/>
                                </a:lnTo>
                              </a:path>
                              <a:path w="3637279" h="2204720">
                                <a:moveTo>
                                  <a:pt x="3278686" y="2158276"/>
                                </a:moveTo>
                                <a:lnTo>
                                  <a:pt x="3278686" y="2181846"/>
                                </a:lnTo>
                              </a:path>
                              <a:path w="3637279" h="2204720">
                                <a:moveTo>
                                  <a:pt x="3338195" y="2158276"/>
                                </a:moveTo>
                                <a:lnTo>
                                  <a:pt x="3338195" y="2181846"/>
                                </a:lnTo>
                              </a:path>
                              <a:path w="3637279" h="2204720">
                                <a:moveTo>
                                  <a:pt x="3397952" y="2158276"/>
                                </a:moveTo>
                                <a:lnTo>
                                  <a:pt x="3397952" y="2181846"/>
                                </a:lnTo>
                              </a:path>
                              <a:path w="3637279" h="2204720">
                                <a:moveTo>
                                  <a:pt x="3458579" y="2158276"/>
                                </a:moveTo>
                                <a:lnTo>
                                  <a:pt x="3458579" y="2181846"/>
                                </a:lnTo>
                              </a:path>
                              <a:path w="3637279" h="2204720">
                                <a:moveTo>
                                  <a:pt x="3517963" y="2158276"/>
                                </a:moveTo>
                                <a:lnTo>
                                  <a:pt x="3517963" y="2181846"/>
                                </a:lnTo>
                              </a:path>
                              <a:path w="3637279" h="2204720">
                                <a:moveTo>
                                  <a:pt x="3577472" y="2158276"/>
                                </a:moveTo>
                                <a:lnTo>
                                  <a:pt x="3577472" y="2181846"/>
                                </a:lnTo>
                              </a:path>
                              <a:path w="3637279" h="2204720">
                                <a:moveTo>
                                  <a:pt x="3637230" y="2158276"/>
                                </a:moveTo>
                                <a:lnTo>
                                  <a:pt x="3637230" y="2181846"/>
                                </a:lnTo>
                              </a:path>
                              <a:path w="3637279" h="2204720">
                                <a:moveTo>
                                  <a:pt x="46874" y="2158276"/>
                                </a:moveTo>
                                <a:lnTo>
                                  <a:pt x="46874" y="2204189"/>
                                </a:lnTo>
                              </a:path>
                              <a:path w="3637279" h="2204720">
                                <a:moveTo>
                                  <a:pt x="226729" y="2158276"/>
                                </a:moveTo>
                                <a:lnTo>
                                  <a:pt x="226729" y="2204189"/>
                                </a:lnTo>
                              </a:path>
                              <a:path w="3637279" h="2204720">
                                <a:moveTo>
                                  <a:pt x="406274" y="2158276"/>
                                </a:moveTo>
                                <a:lnTo>
                                  <a:pt x="406274" y="2204189"/>
                                </a:lnTo>
                              </a:path>
                              <a:path w="3637279" h="2204720">
                                <a:moveTo>
                                  <a:pt x="586130" y="2158276"/>
                                </a:moveTo>
                                <a:lnTo>
                                  <a:pt x="586130" y="2204189"/>
                                </a:lnTo>
                              </a:path>
                              <a:path w="3637279" h="2204720">
                                <a:moveTo>
                                  <a:pt x="765675" y="2158276"/>
                                </a:moveTo>
                                <a:lnTo>
                                  <a:pt x="765675" y="2204189"/>
                                </a:lnTo>
                              </a:path>
                              <a:path w="3637279" h="2204720">
                                <a:moveTo>
                                  <a:pt x="944301" y="2158276"/>
                                </a:moveTo>
                                <a:lnTo>
                                  <a:pt x="944301" y="2204189"/>
                                </a:lnTo>
                              </a:path>
                              <a:path w="3637279" h="2204720">
                                <a:moveTo>
                                  <a:pt x="1124194" y="2158276"/>
                                </a:moveTo>
                                <a:lnTo>
                                  <a:pt x="1124194" y="2204189"/>
                                </a:lnTo>
                              </a:path>
                              <a:path w="3637279" h="2204720">
                                <a:moveTo>
                                  <a:pt x="1303963" y="2158276"/>
                                </a:moveTo>
                                <a:lnTo>
                                  <a:pt x="1303963" y="2204189"/>
                                </a:lnTo>
                              </a:path>
                              <a:path w="3637279" h="2204720">
                                <a:moveTo>
                                  <a:pt x="1483607" y="2158276"/>
                                </a:moveTo>
                                <a:lnTo>
                                  <a:pt x="1483607" y="2204189"/>
                                </a:lnTo>
                              </a:path>
                              <a:path w="3637279" h="2204720">
                                <a:moveTo>
                                  <a:pt x="1663376" y="2158276"/>
                                </a:moveTo>
                                <a:lnTo>
                                  <a:pt x="1663376" y="2204189"/>
                                </a:lnTo>
                              </a:path>
                              <a:path w="3637279" h="2204720">
                                <a:moveTo>
                                  <a:pt x="1842027" y="2158276"/>
                                </a:moveTo>
                                <a:lnTo>
                                  <a:pt x="1842027" y="2204189"/>
                                </a:lnTo>
                              </a:path>
                              <a:path w="3637279" h="2204720">
                                <a:moveTo>
                                  <a:pt x="2021547" y="2158276"/>
                                </a:moveTo>
                                <a:lnTo>
                                  <a:pt x="2021547" y="2204189"/>
                                </a:lnTo>
                              </a:path>
                              <a:path w="3637279" h="2204720">
                                <a:moveTo>
                                  <a:pt x="2201440" y="2158276"/>
                                </a:moveTo>
                                <a:lnTo>
                                  <a:pt x="2201440" y="2204189"/>
                                </a:lnTo>
                              </a:path>
                              <a:path w="3637279" h="2204720">
                                <a:moveTo>
                                  <a:pt x="2381333" y="2158276"/>
                                </a:moveTo>
                                <a:lnTo>
                                  <a:pt x="2381333" y="2204189"/>
                                </a:lnTo>
                              </a:path>
                              <a:path w="3637279" h="2204720">
                                <a:moveTo>
                                  <a:pt x="2560853" y="2158276"/>
                                </a:moveTo>
                                <a:lnTo>
                                  <a:pt x="2560853" y="2204189"/>
                                </a:lnTo>
                              </a:path>
                              <a:path w="3637279" h="2204720">
                                <a:moveTo>
                                  <a:pt x="2739504" y="2158276"/>
                                </a:moveTo>
                                <a:lnTo>
                                  <a:pt x="2739504" y="2204189"/>
                                </a:lnTo>
                              </a:path>
                              <a:path w="3637279" h="2204720">
                                <a:moveTo>
                                  <a:pt x="2919273" y="2158276"/>
                                </a:moveTo>
                                <a:lnTo>
                                  <a:pt x="2919273" y="2204189"/>
                                </a:lnTo>
                              </a:path>
                              <a:path w="3637279" h="2204720">
                                <a:moveTo>
                                  <a:pt x="3098917" y="2158276"/>
                                </a:moveTo>
                                <a:lnTo>
                                  <a:pt x="3098917" y="2204189"/>
                                </a:lnTo>
                              </a:path>
                              <a:path w="3637279" h="2204720">
                                <a:moveTo>
                                  <a:pt x="3278686" y="2158276"/>
                                </a:moveTo>
                                <a:lnTo>
                                  <a:pt x="3278686" y="2204189"/>
                                </a:lnTo>
                              </a:path>
                              <a:path w="3637279" h="2204720">
                                <a:moveTo>
                                  <a:pt x="3458579" y="2158276"/>
                                </a:moveTo>
                                <a:lnTo>
                                  <a:pt x="3458579" y="2204189"/>
                                </a:lnTo>
                              </a:path>
                              <a:path w="3637279" h="2204720">
                                <a:moveTo>
                                  <a:pt x="3637230" y="2158276"/>
                                </a:moveTo>
                                <a:lnTo>
                                  <a:pt x="3637230" y="2204189"/>
                                </a:lnTo>
                              </a:path>
                              <a:path w="3637279" h="2204720">
                                <a:moveTo>
                                  <a:pt x="46874" y="2158276"/>
                                </a:moveTo>
                                <a:lnTo>
                                  <a:pt x="46874" y="2204189"/>
                                </a:lnTo>
                              </a:path>
                              <a:path w="3637279" h="2204720">
                                <a:moveTo>
                                  <a:pt x="765675" y="2158276"/>
                                </a:moveTo>
                                <a:lnTo>
                                  <a:pt x="765675" y="2204189"/>
                                </a:lnTo>
                              </a:path>
                              <a:path w="3637279" h="2204720">
                                <a:moveTo>
                                  <a:pt x="1483607" y="2158276"/>
                                </a:moveTo>
                                <a:lnTo>
                                  <a:pt x="1483607" y="2204189"/>
                                </a:lnTo>
                              </a:path>
                              <a:path w="3637279" h="2204720">
                                <a:moveTo>
                                  <a:pt x="2201440" y="2158276"/>
                                </a:moveTo>
                                <a:lnTo>
                                  <a:pt x="2201440" y="2204189"/>
                                </a:lnTo>
                              </a:path>
                              <a:path w="3637279" h="2204720">
                                <a:moveTo>
                                  <a:pt x="2919273" y="2158276"/>
                                </a:moveTo>
                                <a:lnTo>
                                  <a:pt x="2919273" y="2204189"/>
                                </a:lnTo>
                              </a:path>
                              <a:path w="3637279" h="2204720">
                                <a:moveTo>
                                  <a:pt x="3637230" y="2158276"/>
                                </a:moveTo>
                                <a:lnTo>
                                  <a:pt x="3637230" y="2204189"/>
                                </a:lnTo>
                              </a:path>
                            </a:pathLst>
                          </a:custGeom>
                          <a:ln w="4284">
                            <a:solidFill>
                              <a:srgbClr val="000000"/>
                            </a:solidFill>
                            <a:prstDash val="solid"/>
                          </a:ln>
                        </wps:spPr>
                        <wps:bodyPr wrap="square" lIns="0" tIns="0" rIns="0" bIns="0" rtlCol="0">
                          <a:prstTxWarp prst="textNoShape">
                            <a:avLst/>
                          </a:prstTxWarp>
                          <a:noAutofit/>
                        </wps:bodyPr>
                      </wps:wsp>
                      <wps:wsp>
                        <wps:cNvPr id="20" name="Graphic 20"/>
                        <wps:cNvSpPr/>
                        <wps:spPr>
                          <a:xfrm>
                            <a:off x="77821" y="302855"/>
                            <a:ext cx="1256030" cy="1592580"/>
                          </a:xfrm>
                          <a:custGeom>
                            <a:avLst/>
                            <a:gdLst/>
                            <a:ahLst/>
                            <a:cxnLst/>
                            <a:rect l="l" t="t" r="r" b="b"/>
                            <a:pathLst>
                              <a:path w="1256030" h="1592580">
                                <a:moveTo>
                                  <a:pt x="0" y="0"/>
                                </a:moveTo>
                                <a:lnTo>
                                  <a:pt x="59446" y="143623"/>
                                </a:lnTo>
                              </a:path>
                              <a:path w="1256030" h="1592580">
                                <a:moveTo>
                                  <a:pt x="59446" y="143623"/>
                                </a:moveTo>
                                <a:lnTo>
                                  <a:pt x="118880" y="283157"/>
                                </a:lnTo>
                              </a:path>
                              <a:path w="1256030" h="1592580">
                                <a:moveTo>
                                  <a:pt x="118880" y="283157"/>
                                </a:moveTo>
                                <a:lnTo>
                                  <a:pt x="178625" y="1323861"/>
                                </a:lnTo>
                              </a:path>
                              <a:path w="1256030" h="1592580">
                                <a:moveTo>
                                  <a:pt x="178625" y="1323861"/>
                                </a:moveTo>
                                <a:lnTo>
                                  <a:pt x="239302" y="1575159"/>
                                </a:lnTo>
                              </a:path>
                              <a:path w="1256030" h="1592580">
                                <a:moveTo>
                                  <a:pt x="239302" y="1575159"/>
                                </a:moveTo>
                                <a:lnTo>
                                  <a:pt x="298736" y="1359067"/>
                                </a:lnTo>
                              </a:path>
                              <a:path w="1256030" h="1592580">
                                <a:moveTo>
                                  <a:pt x="298736" y="1359067"/>
                                </a:moveTo>
                                <a:lnTo>
                                  <a:pt x="358183" y="1273971"/>
                                </a:lnTo>
                              </a:path>
                              <a:path w="1256030" h="1592580">
                                <a:moveTo>
                                  <a:pt x="358183" y="1273971"/>
                                </a:moveTo>
                                <a:lnTo>
                                  <a:pt x="417928" y="1248258"/>
                                </a:lnTo>
                              </a:path>
                              <a:path w="1256030" h="1592580">
                                <a:moveTo>
                                  <a:pt x="417928" y="1248258"/>
                                </a:moveTo>
                                <a:lnTo>
                                  <a:pt x="478281" y="1374061"/>
                                </a:lnTo>
                              </a:path>
                              <a:path w="1256030" h="1592580">
                                <a:moveTo>
                                  <a:pt x="478281" y="1374061"/>
                                </a:moveTo>
                                <a:lnTo>
                                  <a:pt x="538026" y="1531390"/>
                                </a:lnTo>
                              </a:path>
                              <a:path w="1256030" h="1592580">
                                <a:moveTo>
                                  <a:pt x="538026" y="1531390"/>
                                </a:moveTo>
                                <a:lnTo>
                                  <a:pt x="597473" y="1065216"/>
                                </a:lnTo>
                              </a:path>
                              <a:path w="1256030" h="1592580">
                                <a:moveTo>
                                  <a:pt x="597473" y="1065216"/>
                                </a:moveTo>
                                <a:lnTo>
                                  <a:pt x="657218" y="903624"/>
                                </a:lnTo>
                              </a:path>
                              <a:path w="1256030" h="1592580">
                                <a:moveTo>
                                  <a:pt x="657218" y="903624"/>
                                </a:moveTo>
                                <a:lnTo>
                                  <a:pt x="717571" y="1319574"/>
                                </a:lnTo>
                              </a:path>
                              <a:path w="1256030" h="1592580">
                                <a:moveTo>
                                  <a:pt x="717571" y="1319574"/>
                                </a:moveTo>
                                <a:lnTo>
                                  <a:pt x="777329" y="1287739"/>
                                </a:lnTo>
                              </a:path>
                              <a:path w="1256030" h="1592580">
                                <a:moveTo>
                                  <a:pt x="777329" y="1287739"/>
                                </a:moveTo>
                                <a:lnTo>
                                  <a:pt x="836763" y="1015313"/>
                                </a:lnTo>
                              </a:path>
                              <a:path w="1256030" h="1592580">
                                <a:moveTo>
                                  <a:pt x="836763" y="1015313"/>
                                </a:moveTo>
                                <a:lnTo>
                                  <a:pt x="897427" y="724807"/>
                                </a:lnTo>
                              </a:path>
                              <a:path w="1256030" h="1592580">
                                <a:moveTo>
                                  <a:pt x="897427" y="724807"/>
                                </a:moveTo>
                                <a:lnTo>
                                  <a:pt x="956874" y="620467"/>
                                </a:lnTo>
                              </a:path>
                              <a:path w="1256030" h="1592580">
                                <a:moveTo>
                                  <a:pt x="956874" y="620467"/>
                                </a:moveTo>
                                <a:lnTo>
                                  <a:pt x="1016556" y="513028"/>
                                </a:lnTo>
                              </a:path>
                              <a:path w="1256030" h="1592580">
                                <a:moveTo>
                                  <a:pt x="1016556" y="513028"/>
                                </a:moveTo>
                                <a:lnTo>
                                  <a:pt x="1076065" y="1488848"/>
                                </a:lnTo>
                              </a:path>
                              <a:path w="1256030" h="1592580">
                                <a:moveTo>
                                  <a:pt x="1076065" y="1488848"/>
                                </a:moveTo>
                                <a:lnTo>
                                  <a:pt x="1136692" y="1592309"/>
                                </a:lnTo>
                              </a:path>
                              <a:path w="1256030" h="1592580">
                                <a:moveTo>
                                  <a:pt x="1136692" y="1592309"/>
                                </a:moveTo>
                                <a:lnTo>
                                  <a:pt x="1196201" y="939685"/>
                                </a:lnTo>
                              </a:path>
                              <a:path w="1256030" h="1592580">
                                <a:moveTo>
                                  <a:pt x="1196201" y="939685"/>
                                </a:moveTo>
                                <a:lnTo>
                                  <a:pt x="1255958" y="297779"/>
                                </a:lnTo>
                              </a:path>
                            </a:pathLst>
                          </a:custGeom>
                          <a:ln w="7344">
                            <a:solidFill>
                              <a:srgbClr val="0000FF"/>
                            </a:solidFill>
                            <a:prstDash val="solid"/>
                          </a:ln>
                        </wps:spPr>
                        <wps:bodyPr wrap="square" lIns="0" tIns="0" rIns="0" bIns="0" rtlCol="0">
                          <a:prstTxWarp prst="textNoShape">
                            <a:avLst/>
                          </a:prstTxWarp>
                          <a:noAutofit/>
                        </wps:bodyPr>
                      </wps:wsp>
                      <pic:pic>
                        <pic:nvPicPr>
                          <pic:cNvPr id="21" name="Image 21"/>
                          <pic:cNvPicPr/>
                        </pic:nvPicPr>
                        <pic:blipFill>
                          <a:blip r:embed="rId12" cstate="print"/>
                          <a:stretch>
                            <a:fillRect/>
                          </a:stretch>
                        </pic:blipFill>
                        <pic:spPr>
                          <a:xfrm>
                            <a:off x="1330103" y="374770"/>
                            <a:ext cx="366637" cy="315909"/>
                          </a:xfrm>
                          <a:prstGeom prst="rect">
                            <a:avLst/>
                          </a:prstGeom>
                        </pic:spPr>
                      </pic:pic>
                      <wps:wsp>
                        <wps:cNvPr id="22" name="Graphic 22"/>
                        <wps:cNvSpPr/>
                        <wps:spPr>
                          <a:xfrm>
                            <a:off x="1693068" y="45102"/>
                            <a:ext cx="1914525" cy="566420"/>
                          </a:xfrm>
                          <a:custGeom>
                            <a:avLst/>
                            <a:gdLst/>
                            <a:ahLst/>
                            <a:cxnLst/>
                            <a:rect l="l" t="t" r="r" b="b"/>
                            <a:pathLst>
                              <a:path w="1914525" h="566420">
                                <a:moveTo>
                                  <a:pt x="0" y="566314"/>
                                </a:moveTo>
                                <a:lnTo>
                                  <a:pt x="59508" y="0"/>
                                </a:lnTo>
                              </a:path>
                              <a:path w="1914525" h="566420">
                                <a:moveTo>
                                  <a:pt x="59508" y="0"/>
                                </a:moveTo>
                                <a:lnTo>
                                  <a:pt x="119266" y="24536"/>
                                </a:lnTo>
                              </a:path>
                              <a:path w="1914525" h="566420">
                                <a:moveTo>
                                  <a:pt x="119266" y="24536"/>
                                </a:moveTo>
                                <a:lnTo>
                                  <a:pt x="179644" y="204467"/>
                                </a:lnTo>
                              </a:path>
                              <a:path w="1914525" h="566420">
                                <a:moveTo>
                                  <a:pt x="179644" y="204467"/>
                                </a:moveTo>
                                <a:lnTo>
                                  <a:pt x="239401" y="150314"/>
                                </a:lnTo>
                              </a:path>
                              <a:path w="1914525" h="566420">
                                <a:moveTo>
                                  <a:pt x="239401" y="150314"/>
                                </a:moveTo>
                                <a:lnTo>
                                  <a:pt x="298786" y="419345"/>
                                </a:lnTo>
                              </a:path>
                              <a:path w="1914525" h="566420">
                                <a:moveTo>
                                  <a:pt x="298786" y="419345"/>
                                </a:moveTo>
                                <a:lnTo>
                                  <a:pt x="358543" y="307693"/>
                                </a:lnTo>
                              </a:path>
                              <a:path w="1914525" h="566420">
                                <a:moveTo>
                                  <a:pt x="358543" y="307693"/>
                                </a:moveTo>
                                <a:lnTo>
                                  <a:pt x="418922" y="351437"/>
                                </a:lnTo>
                              </a:path>
                              <a:path w="1914525" h="566420">
                                <a:moveTo>
                                  <a:pt x="418922" y="351437"/>
                                </a:moveTo>
                                <a:lnTo>
                                  <a:pt x="478679" y="322687"/>
                                </a:lnTo>
                              </a:path>
                              <a:path w="1914525" h="566420">
                                <a:moveTo>
                                  <a:pt x="478679" y="322687"/>
                                </a:moveTo>
                                <a:lnTo>
                                  <a:pt x="538063" y="210911"/>
                                </a:lnTo>
                              </a:path>
                              <a:path w="1914525" h="566420">
                                <a:moveTo>
                                  <a:pt x="538063" y="210911"/>
                                </a:moveTo>
                                <a:lnTo>
                                  <a:pt x="597821" y="233217"/>
                                </a:lnTo>
                              </a:path>
                              <a:path w="1914525" h="566420">
                                <a:moveTo>
                                  <a:pt x="597821" y="233217"/>
                                </a:moveTo>
                                <a:lnTo>
                                  <a:pt x="658199" y="200254"/>
                                </a:lnTo>
                              </a:path>
                              <a:path w="1914525" h="566420">
                                <a:moveTo>
                                  <a:pt x="658199" y="200254"/>
                                </a:moveTo>
                                <a:lnTo>
                                  <a:pt x="717956" y="100127"/>
                                </a:lnTo>
                              </a:path>
                              <a:path w="1914525" h="566420">
                                <a:moveTo>
                                  <a:pt x="717956" y="100127"/>
                                </a:moveTo>
                                <a:lnTo>
                                  <a:pt x="777341" y="21438"/>
                                </a:lnTo>
                              </a:path>
                              <a:path w="1914525" h="566420">
                                <a:moveTo>
                                  <a:pt x="777341" y="21438"/>
                                </a:moveTo>
                                <a:lnTo>
                                  <a:pt x="836850" y="63942"/>
                                </a:lnTo>
                              </a:path>
                              <a:path w="1914525" h="566420">
                                <a:moveTo>
                                  <a:pt x="836850" y="63942"/>
                                </a:moveTo>
                                <a:lnTo>
                                  <a:pt x="897477" y="193810"/>
                                </a:lnTo>
                              </a:path>
                              <a:path w="1914525" h="566420">
                                <a:moveTo>
                                  <a:pt x="897477" y="193810"/>
                                </a:moveTo>
                                <a:lnTo>
                                  <a:pt x="957234" y="132222"/>
                                </a:lnTo>
                              </a:path>
                              <a:path w="1914525" h="566420">
                                <a:moveTo>
                                  <a:pt x="957234" y="132222"/>
                                </a:moveTo>
                                <a:lnTo>
                                  <a:pt x="1016619" y="257753"/>
                                </a:lnTo>
                              </a:path>
                              <a:path w="1914525" h="566420">
                                <a:moveTo>
                                  <a:pt x="1016619" y="257753"/>
                                </a:moveTo>
                                <a:lnTo>
                                  <a:pt x="1077370" y="165061"/>
                                </a:lnTo>
                              </a:path>
                              <a:path w="1914525" h="566420">
                                <a:moveTo>
                                  <a:pt x="1077370" y="165061"/>
                                </a:moveTo>
                                <a:lnTo>
                                  <a:pt x="1136754" y="189473"/>
                                </a:lnTo>
                              </a:path>
                              <a:path w="1914525" h="566420">
                                <a:moveTo>
                                  <a:pt x="1136754" y="189473"/>
                                </a:moveTo>
                                <a:lnTo>
                                  <a:pt x="1196512" y="182162"/>
                                </a:lnTo>
                              </a:path>
                              <a:path w="1914525" h="566420">
                                <a:moveTo>
                                  <a:pt x="1196512" y="182162"/>
                                </a:moveTo>
                                <a:lnTo>
                                  <a:pt x="1256020" y="139657"/>
                                </a:lnTo>
                              </a:path>
                              <a:path w="1914525" h="566420">
                                <a:moveTo>
                                  <a:pt x="1256020" y="139657"/>
                                </a:moveTo>
                                <a:lnTo>
                                  <a:pt x="1316647" y="207565"/>
                                </a:lnTo>
                              </a:path>
                              <a:path w="1914525" h="566420">
                                <a:moveTo>
                                  <a:pt x="1316647" y="207565"/>
                                </a:moveTo>
                                <a:lnTo>
                                  <a:pt x="1376032" y="182162"/>
                                </a:lnTo>
                              </a:path>
                              <a:path w="1914525" h="566420">
                                <a:moveTo>
                                  <a:pt x="1376032" y="182162"/>
                                </a:moveTo>
                                <a:lnTo>
                                  <a:pt x="1435789" y="42628"/>
                                </a:lnTo>
                              </a:path>
                              <a:path w="1914525" h="566420">
                                <a:moveTo>
                                  <a:pt x="1435789" y="42628"/>
                                </a:moveTo>
                                <a:lnTo>
                                  <a:pt x="1495298" y="132222"/>
                                </a:lnTo>
                              </a:path>
                              <a:path w="1914525" h="566420">
                                <a:moveTo>
                                  <a:pt x="1495298" y="132222"/>
                                </a:moveTo>
                                <a:lnTo>
                                  <a:pt x="1555925" y="200254"/>
                                </a:lnTo>
                              </a:path>
                              <a:path w="1914525" h="566420">
                                <a:moveTo>
                                  <a:pt x="1555925" y="200254"/>
                                </a:moveTo>
                                <a:lnTo>
                                  <a:pt x="1615309" y="197156"/>
                                </a:lnTo>
                              </a:path>
                              <a:path w="1914525" h="566420">
                                <a:moveTo>
                                  <a:pt x="1615309" y="197156"/>
                                </a:moveTo>
                                <a:lnTo>
                                  <a:pt x="1675067" y="160724"/>
                                </a:lnTo>
                              </a:path>
                              <a:path w="1914525" h="566420">
                                <a:moveTo>
                                  <a:pt x="1675067" y="160724"/>
                                </a:moveTo>
                                <a:lnTo>
                                  <a:pt x="1734575" y="193810"/>
                                </a:lnTo>
                              </a:path>
                              <a:path w="1914525" h="566420">
                                <a:moveTo>
                                  <a:pt x="1734575" y="193810"/>
                                </a:moveTo>
                                <a:lnTo>
                                  <a:pt x="1795202" y="278819"/>
                                </a:lnTo>
                              </a:path>
                              <a:path w="1914525" h="566420">
                                <a:moveTo>
                                  <a:pt x="1795202" y="278819"/>
                                </a:moveTo>
                                <a:lnTo>
                                  <a:pt x="1854711" y="107810"/>
                                </a:lnTo>
                              </a:path>
                              <a:path w="1914525" h="566420">
                                <a:moveTo>
                                  <a:pt x="1854711" y="107810"/>
                                </a:moveTo>
                                <a:lnTo>
                                  <a:pt x="1914344" y="42628"/>
                                </a:lnTo>
                              </a:path>
                            </a:pathLst>
                          </a:custGeom>
                          <a:ln w="7344">
                            <a:solidFill>
                              <a:srgbClr val="0000FF"/>
                            </a:solidFill>
                            <a:prstDash val="solid"/>
                          </a:ln>
                        </wps:spPr>
                        <wps:bodyPr wrap="square" lIns="0" tIns="0" rIns="0" bIns="0" rtlCol="0">
                          <a:prstTxWarp prst="textNoShape">
                            <a:avLst/>
                          </a:prstTxWarp>
                          <a:noAutofit/>
                        </wps:bodyPr>
                      </wps:wsp>
                      <wps:wsp>
                        <wps:cNvPr id="23" name="Graphic 23"/>
                        <wps:cNvSpPr/>
                        <wps:spPr>
                          <a:xfrm>
                            <a:off x="45656" y="2597"/>
                            <a:ext cx="3592829" cy="2157730"/>
                          </a:xfrm>
                          <a:custGeom>
                            <a:avLst/>
                            <a:gdLst/>
                            <a:ahLst/>
                            <a:cxnLst/>
                            <a:rect l="l" t="t" r="r" b="b"/>
                            <a:pathLst>
                              <a:path w="3592829" h="2157730">
                                <a:moveTo>
                                  <a:pt x="0" y="0"/>
                                </a:moveTo>
                                <a:lnTo>
                                  <a:pt x="0" y="2157335"/>
                                </a:lnTo>
                              </a:path>
                              <a:path w="3592829" h="2157730">
                                <a:moveTo>
                                  <a:pt x="0" y="2157335"/>
                                </a:moveTo>
                                <a:lnTo>
                                  <a:pt x="3592443" y="2157335"/>
                                </a:lnTo>
                              </a:path>
                              <a:path w="3592829" h="2157730">
                                <a:moveTo>
                                  <a:pt x="3592443" y="2157335"/>
                                </a:moveTo>
                                <a:lnTo>
                                  <a:pt x="3592443" y="0"/>
                                </a:lnTo>
                              </a:path>
                              <a:path w="3592829" h="2157730">
                                <a:moveTo>
                                  <a:pt x="3592443" y="0"/>
                                </a:moveTo>
                                <a:lnTo>
                                  <a:pt x="0" y="0"/>
                                </a:lnTo>
                              </a:path>
                            </a:pathLst>
                          </a:custGeom>
                          <a:ln w="520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69313pt;margin-top:13.270833pt;width:286.7pt;height:174.05pt;mso-position-horizontal-relative:page;mso-position-vertical-relative:paragraph;z-index:15732736" id="docshapegroup13" coordorigin="3914,265" coordsize="5734,3481">
                <v:shape style="position:absolute;left:3985;top:269;width:5658;height:3398" id="docshape14" coordorigin="3986,270" coordsize="5658,3398" path="m3986,270l3986,3667m3986,3667l9643,3667m9643,3667l9643,270m9643,270l3986,270e" filled="false" stroked="true" strokeweight=".409613pt" strokecolor="#000000">
                  <v:path arrowok="t"/>
                  <v:stroke dashstyle="solid"/>
                </v:shape>
                <v:shape style="position:absolute;left:3913;top:274;width:5728;height:3472" id="docshape15" coordorigin="3914,275" coordsize="5728,3472" path="m3979,3664l3914,3664m3979,3099l3914,3099m3979,2534l3914,2534m3979,1969l3914,1969m3979,1404l3914,1404m3979,839l3914,839m3979,275l3914,275m3988,3674l3988,3711m4083,3674l4083,3711m4177,3674l4177,3711m4271,3674l4271,3711m4365,3674l4365,3711m4460,3674l4460,3711m4554,3674l4554,3711m4647,3674l4647,3711m4743,3674l4743,3711m4837,3674l4837,3711m4931,3674l4931,3711m5024,3674l5024,3711m5120,3674l5120,3711m5214,3674l5214,3711m5307,3674l5307,3711m5401,3674l5401,3711m5496,3674l5496,3711m5591,3674l5591,3711m5684,3674l5684,3711m5778,3674l5778,3711m5873,3674l5873,3711m5967,3674l5967,3711m6061,3674l6061,3711m6157,3674l6157,3711m6250,3674l6250,3711m6344,3674l6344,3711m6438,3674l6438,3711m6533,3674l6533,3711m6627,3674l6627,3711m6721,3674l6721,3711m6815,3674l6815,3711m6910,3674l6910,3711m7004,3674l7004,3711m7097,3674l7097,3711m7192,3674l7192,3711m7287,3674l7287,3711m7381,3674l7381,3711m7474,3674l7474,3711m7570,3674l7570,3711m7664,3674l7664,3711m7758,3674l7758,3711m7851,3674l7851,3711m7947,3674l7947,3711m8041,3674l8041,3711m8134,3674l8134,3711m8228,3674l8228,3711m8324,3674l8324,3711m8417,3674l8417,3711m8511,3674l8511,3711m8605,3674l8605,3711m8700,3674l8700,3711m8794,3674l8794,3711m8888,3674l8888,3711m8984,3674l8984,3711m9077,3674l9077,3711m9171,3674l9171,3711m9265,3674l9265,3711m9360,3674l9360,3711m9454,3674l9454,3711m9548,3674l9548,3711m9642,3674l9642,3711m3988,3674l3988,3746m4271,3674l4271,3746m4554,3674l4554,3746m4837,3674l4837,3746m5120,3674l5120,3746m5401,3674l5401,3746m5684,3674l5684,3746m5967,3674l5967,3746m6250,3674l6250,3746m6533,3674l6533,3746m6815,3674l6815,3746m7097,3674l7097,3746m7381,3674l7381,3746m7664,3674l7664,3746m7947,3674l7947,3746m8228,3674l8228,3746m8511,3674l8511,3746m8794,3674l8794,3746m9077,3674l9077,3746m9360,3674l9360,3746m9642,3674l9642,3746m3988,3674l3988,3746m5120,3674l5120,3746m6250,3674l6250,3746m7381,3674l7381,3746m8511,3674l8511,3746m9642,3674l9642,3746e" filled="false" stroked="true" strokeweight=".337325pt" strokecolor="#000000">
                  <v:path arrowok="t"/>
                  <v:stroke dashstyle="solid"/>
                </v:shape>
                <v:shape style="position:absolute;left:4036;top:742;width:1978;height:2508" id="docshape16" coordorigin="4036,742" coordsize="1978,2508" path="m4036,742l4130,969m4130,969l4224,1188m4224,1188l4318,2827m4318,2827l4413,3223m4413,3223l4507,2883m4507,2883l4600,2749m4600,2749l4695,2708m4695,2708l4790,2906m4790,2906l4884,3154m4884,3154l4977,2420m4977,2420l5071,2165m5071,2165l5166,2820m5166,2820l5261,2770m5261,2770l5354,2341m5354,2341l5450,1884m5450,1884l5543,1719m5543,1719l5637,1550m5637,1550l5731,3087m5731,3087l5826,3250m5826,3250l5920,2222m5920,2222l6014,1211e" filled="false" stroked="true" strokeweight=".578271pt" strokecolor="#0000ff">
                  <v:path arrowok="t"/>
                  <v:stroke dashstyle="solid"/>
                </v:shape>
                <v:shape style="position:absolute;left:6008;top:855;width:578;height:498" type="#_x0000_t75" id="docshape17" stroked="false">
                  <v:imagedata r:id="rId12" o:title=""/>
                </v:shape>
                <v:shape style="position:absolute;left:6580;top:336;width:3015;height:892" id="docshape18" coordorigin="6580,336" coordsize="3015,892" path="m6580,1228l6674,336m6674,336l6768,375m6768,375l6863,658m6863,658l6957,573m6957,573l7051,997m7051,997l7145,821m7145,821l7240,890m7240,890l7334,845m7334,845l7427,669m7427,669l7522,704m7522,704l7617,652m7617,652l7711,494m7711,494l7804,370m7804,370l7898,437m7898,437l7993,642m7993,642l8088,545m8088,545l8181,742m8181,742l8277,596m8277,596l8370,635m8370,635l8464,623m8464,623l8558,556m8558,556l8654,663m8654,663l8747,623m8747,623l8841,404m8841,404l8935,545m8935,545l9030,652m9030,652l9124,647m9124,647l9218,590m9218,590l9312,642m9312,642l9407,776m9407,776l9501,506m9501,506l9595,404e" filled="false" stroked="true" strokeweight=".578271pt" strokecolor="#0000ff">
                  <v:path arrowok="t"/>
                  <v:stroke dashstyle="solid"/>
                </v:shape>
                <v:shape style="position:absolute;left:3985;top:269;width:5658;height:3398" id="docshape19" coordorigin="3986,270" coordsize="5658,3398" path="m3986,270l3986,3667m3986,3667l9643,3667m9643,3667l9643,270m9643,270l3986,270e" filled="false" stroked="true" strokeweight=".409613pt" strokecolor="#000000">
                  <v:path arrowok="t"/>
                  <v:stroke dashstyle="solid"/>
                </v:shape>
                <w10:wrap type="none"/>
              </v:group>
            </w:pict>
          </mc:Fallback>
        </mc:AlternateContent>
      </w:r>
      <w:r>
        <w:rPr>
          <w:rFonts w:ascii="Arial MT"/>
          <w:spacing w:val="-5"/>
          <w:w w:val="105"/>
          <w:sz w:val="15"/>
        </w:rPr>
        <w:t>130</w:t>
      </w:r>
    </w:p>
    <w:p>
      <w:pPr>
        <w:pStyle w:val="BodyText"/>
        <w:rPr>
          <w:rFonts w:ascii="Arial MT"/>
          <w:sz w:val="15"/>
        </w:rPr>
      </w:pPr>
    </w:p>
    <w:p>
      <w:pPr>
        <w:pStyle w:val="BodyText"/>
        <w:spacing w:before="47"/>
        <w:rPr>
          <w:rFonts w:ascii="Arial MT"/>
          <w:sz w:val="15"/>
        </w:rPr>
      </w:pPr>
    </w:p>
    <w:p>
      <w:pPr>
        <w:spacing w:before="0"/>
        <w:ind w:left="2185" w:right="0" w:firstLine="0"/>
        <w:jc w:val="left"/>
        <w:rPr>
          <w:rFonts w:ascii="Arial MT"/>
          <w:sz w:val="15"/>
        </w:rPr>
      </w:pPr>
      <w:r>
        <w:rPr>
          <w:rFonts w:ascii="Arial MT"/>
          <w:spacing w:val="-5"/>
          <w:w w:val="105"/>
          <w:sz w:val="15"/>
        </w:rPr>
        <w:t>120</w:t>
      </w:r>
    </w:p>
    <w:p>
      <w:pPr>
        <w:pStyle w:val="BodyText"/>
        <w:rPr>
          <w:rFonts w:ascii="Arial MT"/>
          <w:sz w:val="15"/>
        </w:rPr>
      </w:pPr>
    </w:p>
    <w:p>
      <w:pPr>
        <w:pStyle w:val="BodyText"/>
        <w:spacing w:before="47"/>
        <w:rPr>
          <w:rFonts w:ascii="Arial MT"/>
          <w:sz w:val="15"/>
        </w:rPr>
      </w:pPr>
    </w:p>
    <w:p>
      <w:pPr>
        <w:spacing w:before="0"/>
        <w:ind w:left="2185" w:right="0" w:firstLine="0"/>
        <w:jc w:val="left"/>
        <w:rPr>
          <w:rFonts w:ascii="Arial MT"/>
          <w:sz w:val="15"/>
        </w:rPr>
      </w:pPr>
      <w:r>
        <w:rPr>
          <w:rFonts w:ascii="Arial MT"/>
          <w:spacing w:val="-5"/>
          <w:w w:val="105"/>
          <w:sz w:val="15"/>
        </w:rPr>
        <w:t>110</w:t>
      </w:r>
    </w:p>
    <w:p>
      <w:pPr>
        <w:pStyle w:val="BodyText"/>
        <w:rPr>
          <w:rFonts w:ascii="Arial MT"/>
          <w:sz w:val="15"/>
        </w:rPr>
      </w:pPr>
    </w:p>
    <w:p>
      <w:pPr>
        <w:pStyle w:val="BodyText"/>
        <w:spacing w:before="48"/>
        <w:rPr>
          <w:rFonts w:ascii="Arial MT"/>
          <w:sz w:val="15"/>
        </w:rPr>
      </w:pPr>
    </w:p>
    <w:p>
      <w:pPr>
        <w:spacing w:before="0"/>
        <w:ind w:left="2185" w:right="0" w:firstLine="0"/>
        <w:jc w:val="left"/>
        <w:rPr>
          <w:rFonts w:ascii="Arial MT"/>
          <w:sz w:val="15"/>
        </w:rPr>
      </w:pPr>
      <w:r>
        <w:rPr>
          <w:rFonts w:ascii="Arial MT"/>
          <w:spacing w:val="-5"/>
          <w:w w:val="105"/>
          <w:sz w:val="15"/>
        </w:rPr>
        <w:t>100</w:t>
      </w:r>
    </w:p>
    <w:p>
      <w:pPr>
        <w:pStyle w:val="BodyText"/>
        <w:rPr>
          <w:rFonts w:ascii="Arial MT"/>
          <w:sz w:val="15"/>
        </w:rPr>
      </w:pPr>
    </w:p>
    <w:p>
      <w:pPr>
        <w:pStyle w:val="BodyText"/>
        <w:spacing w:before="47"/>
        <w:rPr>
          <w:rFonts w:ascii="Arial MT"/>
          <w:sz w:val="15"/>
        </w:rPr>
      </w:pPr>
    </w:p>
    <w:p>
      <w:pPr>
        <w:spacing w:before="0"/>
        <w:ind w:left="2274" w:right="0" w:firstLine="0"/>
        <w:jc w:val="left"/>
        <w:rPr>
          <w:rFonts w:ascii="Arial MT"/>
          <w:sz w:val="15"/>
        </w:rPr>
      </w:pPr>
      <w:r>
        <w:rPr>
          <w:rFonts w:ascii="Arial MT"/>
          <w:spacing w:val="-5"/>
          <w:w w:val="105"/>
          <w:sz w:val="15"/>
        </w:rPr>
        <w:t>90</w:t>
      </w:r>
    </w:p>
    <w:p>
      <w:pPr>
        <w:pStyle w:val="BodyText"/>
        <w:rPr>
          <w:rFonts w:ascii="Arial MT"/>
          <w:sz w:val="15"/>
        </w:rPr>
      </w:pPr>
    </w:p>
    <w:p>
      <w:pPr>
        <w:pStyle w:val="BodyText"/>
        <w:spacing w:before="47"/>
        <w:rPr>
          <w:rFonts w:ascii="Arial MT"/>
          <w:sz w:val="15"/>
        </w:rPr>
      </w:pPr>
    </w:p>
    <w:p>
      <w:pPr>
        <w:spacing w:before="0"/>
        <w:ind w:left="2274" w:right="0" w:firstLine="0"/>
        <w:jc w:val="left"/>
        <w:rPr>
          <w:rFonts w:ascii="Arial MT"/>
          <w:sz w:val="15"/>
        </w:rPr>
      </w:pPr>
      <w:r>
        <w:rPr>
          <w:rFonts w:ascii="Arial MT"/>
          <w:spacing w:val="-5"/>
          <w:w w:val="105"/>
          <w:sz w:val="15"/>
        </w:rPr>
        <w:t>80</w:t>
      </w:r>
    </w:p>
    <w:p>
      <w:pPr>
        <w:pStyle w:val="BodyText"/>
        <w:rPr>
          <w:rFonts w:ascii="Arial MT"/>
          <w:sz w:val="15"/>
        </w:rPr>
      </w:pPr>
    </w:p>
    <w:p>
      <w:pPr>
        <w:pStyle w:val="BodyText"/>
        <w:spacing w:before="48"/>
        <w:rPr>
          <w:rFonts w:ascii="Arial MT"/>
          <w:sz w:val="15"/>
        </w:rPr>
      </w:pPr>
    </w:p>
    <w:p>
      <w:pPr>
        <w:spacing w:before="0"/>
        <w:ind w:left="2274" w:right="0" w:firstLine="0"/>
        <w:jc w:val="left"/>
        <w:rPr>
          <w:rFonts w:ascii="Arial MT"/>
          <w:sz w:val="15"/>
        </w:rPr>
      </w:pPr>
      <w:r>
        <w:rPr>
          <w:rFonts w:ascii="Arial MT"/>
          <w:spacing w:val="-5"/>
          <w:w w:val="105"/>
          <w:sz w:val="15"/>
        </w:rPr>
        <w:t>70</w:t>
      </w:r>
    </w:p>
    <w:p>
      <w:pPr>
        <w:tabs>
          <w:tab w:pos="2959" w:val="left" w:leader="none"/>
          <w:tab w:pos="4089" w:val="left" w:leader="none"/>
          <w:tab w:pos="5220" w:val="left" w:leader="none"/>
          <w:tab w:pos="6351" w:val="left" w:leader="none"/>
          <w:tab w:pos="7482" w:val="left" w:leader="none"/>
          <w:tab w:pos="7836" w:val="right" w:leader="none"/>
        </w:tabs>
        <w:spacing w:line="427" w:lineRule="auto" w:before="51"/>
        <w:ind w:left="2961" w:right="1065" w:hanging="267"/>
        <w:jc w:val="left"/>
        <w:rPr>
          <w:rFonts w:ascii="Arial MT"/>
          <w:sz w:val="15"/>
        </w:rPr>
      </w:pPr>
      <w:r>
        <w:rPr>
          <w:rFonts w:ascii="Arial MT"/>
          <w:spacing w:val="-10"/>
          <w:w w:val="105"/>
          <w:sz w:val="15"/>
        </w:rPr>
        <w:t>I</w:t>
      </w:r>
      <w:r>
        <w:rPr>
          <w:rFonts w:ascii="Arial MT"/>
          <w:sz w:val="15"/>
        </w:rPr>
        <w:tab/>
      </w:r>
      <w:r>
        <w:rPr>
          <w:rFonts w:ascii="Arial MT"/>
          <w:w w:val="105"/>
          <w:sz w:val="15"/>
        </w:rPr>
        <w:t>II</w:t>
      </w:r>
      <w:r>
        <w:rPr>
          <w:rFonts w:ascii="Arial MT"/>
          <w:spacing w:val="80"/>
          <w:w w:val="105"/>
          <w:sz w:val="15"/>
        </w:rPr>
        <w:t> </w:t>
      </w:r>
      <w:r>
        <w:rPr>
          <w:rFonts w:ascii="Arial MT"/>
          <w:w w:val="105"/>
          <w:sz w:val="15"/>
        </w:rPr>
        <w:t>III</w:t>
      </w:r>
      <w:r>
        <w:rPr>
          <w:rFonts w:ascii="Arial MT"/>
          <w:spacing w:val="80"/>
          <w:w w:val="105"/>
          <w:sz w:val="15"/>
        </w:rPr>
        <w:t> </w:t>
      </w:r>
      <w:r>
        <w:rPr>
          <w:rFonts w:ascii="Arial MT"/>
          <w:w w:val="105"/>
          <w:sz w:val="15"/>
        </w:rPr>
        <w:t>IV</w:t>
      </w:r>
      <w:r>
        <w:rPr>
          <w:rFonts w:ascii="Arial MT"/>
          <w:spacing w:val="80"/>
          <w:w w:val="150"/>
          <w:sz w:val="15"/>
        </w:rPr>
        <w:t> </w:t>
      </w:r>
      <w:r>
        <w:rPr>
          <w:rFonts w:ascii="Arial MT"/>
          <w:w w:val="105"/>
          <w:sz w:val="15"/>
        </w:rPr>
        <w:t>I</w:t>
      </w:r>
      <w:r>
        <w:rPr>
          <w:rFonts w:ascii="Arial MT"/>
          <w:sz w:val="15"/>
        </w:rPr>
        <w:tab/>
      </w:r>
      <w:r>
        <w:rPr>
          <w:rFonts w:ascii="Arial MT"/>
          <w:w w:val="105"/>
          <w:sz w:val="15"/>
        </w:rPr>
        <w:t>II</w:t>
      </w:r>
      <w:r>
        <w:rPr>
          <w:rFonts w:ascii="Arial MT"/>
          <w:spacing w:val="80"/>
          <w:w w:val="105"/>
          <w:sz w:val="15"/>
        </w:rPr>
        <w:t> </w:t>
      </w:r>
      <w:r>
        <w:rPr>
          <w:rFonts w:ascii="Arial MT"/>
          <w:w w:val="105"/>
          <w:sz w:val="15"/>
        </w:rPr>
        <w:t>III</w:t>
      </w:r>
      <w:r>
        <w:rPr>
          <w:rFonts w:ascii="Arial MT"/>
          <w:spacing w:val="80"/>
          <w:w w:val="105"/>
          <w:sz w:val="15"/>
        </w:rPr>
        <w:t> </w:t>
      </w:r>
      <w:r>
        <w:rPr>
          <w:rFonts w:ascii="Arial MT"/>
          <w:w w:val="105"/>
          <w:sz w:val="15"/>
        </w:rPr>
        <w:t>IV</w:t>
      </w:r>
      <w:r>
        <w:rPr>
          <w:rFonts w:ascii="Arial MT"/>
          <w:spacing w:val="80"/>
          <w:w w:val="150"/>
          <w:sz w:val="15"/>
        </w:rPr>
        <w:t> </w:t>
      </w:r>
      <w:r>
        <w:rPr>
          <w:rFonts w:ascii="Arial MT"/>
          <w:w w:val="105"/>
          <w:sz w:val="15"/>
        </w:rPr>
        <w:t>I</w:t>
      </w:r>
      <w:r>
        <w:rPr>
          <w:rFonts w:ascii="Arial MT"/>
          <w:sz w:val="15"/>
        </w:rPr>
        <w:tab/>
      </w:r>
      <w:r>
        <w:rPr>
          <w:rFonts w:ascii="Arial MT"/>
          <w:w w:val="105"/>
          <w:sz w:val="15"/>
        </w:rPr>
        <w:t>II</w:t>
      </w:r>
      <w:r>
        <w:rPr>
          <w:rFonts w:ascii="Arial MT"/>
          <w:spacing w:val="80"/>
          <w:w w:val="105"/>
          <w:sz w:val="15"/>
        </w:rPr>
        <w:t> </w:t>
      </w:r>
      <w:r>
        <w:rPr>
          <w:rFonts w:ascii="Arial MT"/>
          <w:w w:val="105"/>
          <w:sz w:val="15"/>
        </w:rPr>
        <w:t>III</w:t>
      </w:r>
      <w:r>
        <w:rPr>
          <w:rFonts w:ascii="Arial MT"/>
          <w:spacing w:val="80"/>
          <w:w w:val="105"/>
          <w:sz w:val="15"/>
        </w:rPr>
        <w:t> </w:t>
      </w:r>
      <w:r>
        <w:rPr>
          <w:rFonts w:ascii="Arial MT"/>
          <w:w w:val="105"/>
          <w:sz w:val="15"/>
        </w:rPr>
        <w:t>IV</w:t>
      </w:r>
      <w:r>
        <w:rPr>
          <w:rFonts w:ascii="Arial MT"/>
          <w:spacing w:val="80"/>
          <w:w w:val="150"/>
          <w:sz w:val="15"/>
        </w:rPr>
        <w:t> </w:t>
      </w:r>
      <w:r>
        <w:rPr>
          <w:rFonts w:ascii="Arial MT"/>
          <w:w w:val="105"/>
          <w:sz w:val="15"/>
        </w:rPr>
        <w:t>I</w:t>
      </w:r>
      <w:r>
        <w:rPr>
          <w:rFonts w:ascii="Arial MT"/>
          <w:sz w:val="15"/>
        </w:rPr>
        <w:tab/>
      </w:r>
      <w:r>
        <w:rPr>
          <w:rFonts w:ascii="Arial MT"/>
          <w:w w:val="105"/>
          <w:sz w:val="15"/>
        </w:rPr>
        <w:t>II</w:t>
      </w:r>
      <w:r>
        <w:rPr>
          <w:rFonts w:ascii="Arial MT"/>
          <w:spacing w:val="80"/>
          <w:w w:val="105"/>
          <w:sz w:val="15"/>
        </w:rPr>
        <w:t> </w:t>
      </w:r>
      <w:r>
        <w:rPr>
          <w:rFonts w:ascii="Arial MT"/>
          <w:w w:val="105"/>
          <w:sz w:val="15"/>
        </w:rPr>
        <w:t>III</w:t>
      </w:r>
      <w:r>
        <w:rPr>
          <w:rFonts w:ascii="Arial MT"/>
          <w:spacing w:val="80"/>
          <w:w w:val="105"/>
          <w:sz w:val="15"/>
        </w:rPr>
        <w:t> </w:t>
      </w:r>
      <w:r>
        <w:rPr>
          <w:rFonts w:ascii="Arial MT"/>
          <w:w w:val="105"/>
          <w:sz w:val="15"/>
        </w:rPr>
        <w:t>IV</w:t>
      </w:r>
      <w:r>
        <w:rPr>
          <w:rFonts w:ascii="Arial MT"/>
          <w:spacing w:val="80"/>
          <w:w w:val="150"/>
          <w:sz w:val="15"/>
        </w:rPr>
        <w:t> </w:t>
      </w:r>
      <w:r>
        <w:rPr>
          <w:rFonts w:ascii="Arial MT"/>
          <w:w w:val="105"/>
          <w:sz w:val="15"/>
        </w:rPr>
        <w:t>I</w:t>
      </w:r>
      <w:r>
        <w:rPr>
          <w:rFonts w:ascii="Arial MT"/>
          <w:sz w:val="15"/>
        </w:rPr>
        <w:tab/>
      </w:r>
      <w:r>
        <w:rPr>
          <w:rFonts w:ascii="Arial MT"/>
          <w:w w:val="105"/>
          <w:sz w:val="15"/>
        </w:rPr>
        <w:t>II</w:t>
      </w:r>
      <w:r>
        <w:rPr>
          <w:rFonts w:ascii="Arial MT"/>
          <w:spacing w:val="80"/>
          <w:w w:val="105"/>
          <w:sz w:val="15"/>
        </w:rPr>
        <w:t> </w:t>
      </w:r>
      <w:r>
        <w:rPr>
          <w:rFonts w:ascii="Arial MT"/>
          <w:w w:val="105"/>
          <w:sz w:val="15"/>
        </w:rPr>
        <w:t>III</w:t>
      </w:r>
      <w:r>
        <w:rPr>
          <w:rFonts w:ascii="Arial MT"/>
          <w:spacing w:val="72"/>
          <w:w w:val="105"/>
          <w:sz w:val="15"/>
        </w:rPr>
        <w:t> </w:t>
      </w:r>
      <w:r>
        <w:rPr>
          <w:rFonts w:ascii="Arial MT"/>
          <w:w w:val="105"/>
          <w:sz w:val="15"/>
        </w:rPr>
        <w:t>I</w:t>
      </w:r>
      <w:r>
        <w:rPr>
          <w:rFonts w:ascii="Arial MT"/>
          <w:w w:val="105"/>
          <w:sz w:val="15"/>
        </w:rPr>
        <w:t>V</w:t>
      </w:r>
      <w:r>
        <w:rPr>
          <w:rFonts w:ascii="Arial MT"/>
          <w:w w:val="105"/>
          <w:sz w:val="15"/>
        </w:rPr>
        <w:t> </w:t>
      </w:r>
      <w:r>
        <w:rPr>
          <w:rFonts w:ascii="Arial MT"/>
          <w:spacing w:val="-4"/>
          <w:sz w:val="15"/>
        </w:rPr>
        <w:t>2020</w:t>
      </w:r>
      <w:r>
        <w:rPr>
          <w:rFonts w:ascii="Arial MT"/>
          <w:sz w:val="15"/>
        </w:rPr>
        <w:tab/>
      </w:r>
      <w:r>
        <w:rPr>
          <w:rFonts w:ascii="Arial MT"/>
          <w:spacing w:val="-39"/>
          <w:sz w:val="15"/>
        </w:rPr>
        <w:t> </w:t>
      </w:r>
      <w:r>
        <w:rPr>
          <w:rFonts w:ascii="Arial MT"/>
          <w:spacing w:val="-2"/>
          <w:sz w:val="15"/>
        </w:rPr>
        <w:t>2021</w:t>
      </w:r>
      <w:r>
        <w:rPr>
          <w:rFonts w:ascii="Arial MT"/>
          <w:sz w:val="15"/>
        </w:rPr>
        <w:tab/>
      </w:r>
      <w:r>
        <w:rPr>
          <w:rFonts w:ascii="Arial MT"/>
          <w:spacing w:val="-39"/>
          <w:sz w:val="15"/>
        </w:rPr>
        <w:t> </w:t>
      </w:r>
      <w:r>
        <w:rPr>
          <w:rFonts w:ascii="Arial MT"/>
          <w:spacing w:val="-2"/>
          <w:sz w:val="15"/>
        </w:rPr>
        <w:t>2022</w:t>
      </w:r>
      <w:r>
        <w:rPr>
          <w:rFonts w:ascii="Arial MT"/>
          <w:sz w:val="15"/>
        </w:rPr>
        <w:tab/>
      </w:r>
      <w:r>
        <w:rPr>
          <w:rFonts w:ascii="Arial MT"/>
          <w:spacing w:val="-42"/>
          <w:sz w:val="15"/>
        </w:rPr>
        <w:t> </w:t>
      </w:r>
      <w:r>
        <w:rPr>
          <w:rFonts w:ascii="Arial MT"/>
          <w:spacing w:val="-4"/>
          <w:sz w:val="15"/>
        </w:rPr>
        <w:t>2023</w:t>
      </w:r>
      <w:r>
        <w:rPr>
          <w:rFonts w:ascii="Arial MT"/>
          <w:sz w:val="15"/>
        </w:rPr>
        <w:tab/>
        <w:tab/>
      </w:r>
      <w:r>
        <w:rPr>
          <w:rFonts w:ascii="Arial MT"/>
          <w:spacing w:val="-4"/>
          <w:sz w:val="15"/>
        </w:rPr>
        <w:t>2024</w:t>
      </w:r>
    </w:p>
    <w:p>
      <w:pPr>
        <w:pStyle w:val="BodyText"/>
        <w:spacing w:before="15"/>
        <w:ind w:left="743"/>
        <w:jc w:val="both"/>
      </w:pPr>
      <w:r>
        <w:rPr/>
        <w:t>Sumber:</w:t>
      </w:r>
      <w:r>
        <w:rPr>
          <w:spacing w:val="-4"/>
        </w:rPr>
        <w:t> </w:t>
      </w:r>
      <w:r>
        <w:rPr/>
        <w:t>Data</w:t>
      </w:r>
      <w:r>
        <w:rPr>
          <w:spacing w:val="-1"/>
        </w:rPr>
        <w:t> </w:t>
      </w:r>
      <w:r>
        <w:rPr/>
        <w:t>diolah</w:t>
      </w:r>
      <w:r>
        <w:rPr>
          <w:spacing w:val="-1"/>
        </w:rPr>
        <w:t> </w:t>
      </w:r>
      <w:r>
        <w:rPr>
          <w:spacing w:val="-2"/>
        </w:rPr>
        <w:t>(2025)</w:t>
      </w:r>
    </w:p>
    <w:p>
      <w:pPr>
        <w:pStyle w:val="BodyText"/>
        <w:spacing w:line="360" w:lineRule="auto" w:before="137"/>
        <w:ind w:left="383" w:right="160" w:firstLine="359"/>
        <w:jc w:val="both"/>
      </w:pPr>
      <w:r>
        <w:rPr/>
        <w:t>Indeks Keyakinan Konsumen (IKK) selama tahun 2020-2024 menunjukkan arah pergerakan yang fluktuatif. Pada tahun 2021 IKK relatif optimis, walaupun pada bulan Agustus berada pada level pesimis pada level 77,3 seiring dengan kondisi ekonomi yang masih</w:t>
      </w:r>
      <w:r>
        <w:rPr>
          <w:spacing w:val="72"/>
        </w:rPr>
        <w:t> </w:t>
      </w:r>
      <w:r>
        <w:rPr/>
        <w:t>pada</w:t>
      </w:r>
      <w:r>
        <w:rPr>
          <w:spacing w:val="74"/>
        </w:rPr>
        <w:t> </w:t>
      </w:r>
      <w:r>
        <w:rPr/>
        <w:t>pembatasan</w:t>
      </w:r>
      <w:r>
        <w:rPr>
          <w:spacing w:val="77"/>
        </w:rPr>
        <w:t> </w:t>
      </w:r>
      <w:r>
        <w:rPr/>
        <w:t>akibat</w:t>
      </w:r>
      <w:r>
        <w:rPr>
          <w:spacing w:val="75"/>
        </w:rPr>
        <w:t> </w:t>
      </w:r>
      <w:r>
        <w:rPr/>
        <w:t>pandemi.</w:t>
      </w:r>
      <w:r>
        <w:rPr>
          <w:spacing w:val="75"/>
        </w:rPr>
        <w:t> </w:t>
      </w:r>
      <w:r>
        <w:rPr/>
        <w:t>Kendati</w:t>
      </w:r>
      <w:r>
        <w:rPr>
          <w:spacing w:val="75"/>
        </w:rPr>
        <w:t> </w:t>
      </w:r>
      <w:r>
        <w:rPr/>
        <w:t>demikian</w:t>
      </w:r>
      <w:r>
        <w:rPr>
          <w:spacing w:val="75"/>
        </w:rPr>
        <w:t> </w:t>
      </w:r>
      <w:r>
        <w:rPr/>
        <w:t>IKK</w:t>
      </w:r>
      <w:r>
        <w:rPr>
          <w:spacing w:val="75"/>
        </w:rPr>
        <w:t> </w:t>
      </w:r>
      <w:r>
        <w:rPr/>
        <w:t>di</w:t>
      </w:r>
      <w:r>
        <w:rPr>
          <w:spacing w:val="78"/>
        </w:rPr>
        <w:t> </w:t>
      </w:r>
      <w:r>
        <w:rPr/>
        <w:t>Indonesia</w:t>
      </w:r>
      <w:r>
        <w:rPr>
          <w:spacing w:val="75"/>
        </w:rPr>
        <w:t> </w:t>
      </w:r>
      <w:r>
        <w:rPr>
          <w:spacing w:val="-2"/>
        </w:rPr>
        <w:t>terus</w:t>
      </w:r>
    </w:p>
    <w:p>
      <w:pPr>
        <w:spacing w:before="561"/>
        <w:ind w:left="743" w:right="0" w:firstLine="0"/>
        <w:jc w:val="left"/>
        <w:rPr>
          <w:sz w:val="20"/>
        </w:rPr>
      </w:pPr>
      <w:r>
        <w:rPr>
          <w:sz w:val="20"/>
        </w:rPr>
        <mc:AlternateContent>
          <mc:Choice Requires="wps">
            <w:drawing>
              <wp:anchor distT="0" distB="0" distL="0" distR="0" allowOverlap="1" layoutInCell="1" locked="0" behindDoc="0" simplePos="0" relativeHeight="15733248">
                <wp:simplePos x="0" y="0"/>
                <wp:positionH relativeFrom="page">
                  <wp:posOffset>914704</wp:posOffset>
                </wp:positionH>
                <wp:positionV relativeFrom="paragraph">
                  <wp:posOffset>282799</wp:posOffset>
                </wp:positionV>
                <wp:extent cx="1829435" cy="9525"/>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267651pt;width:144.020pt;height:.72003pt;mso-position-horizontal-relative:page;mso-position-vertical-relative:paragraph;z-index:15733248" id="docshape20" filled="true" fillcolor="#000000" stroked="false">
                <v:fill type="solid"/>
                <w10:wrap type="none"/>
              </v:rect>
            </w:pict>
          </mc:Fallback>
        </mc:AlternateContent>
      </w:r>
      <w:bookmarkStart w:name="_bookmark25" w:id="26"/>
      <w:bookmarkEnd w:id="26"/>
      <w:r>
        <w:rPr/>
      </w:r>
      <w:r>
        <w:rPr>
          <w:sz w:val="20"/>
          <w:vertAlign w:val="superscript"/>
        </w:rPr>
        <w:t>13</w:t>
      </w:r>
      <w:r>
        <w:rPr>
          <w:spacing w:val="-4"/>
          <w:sz w:val="20"/>
          <w:vertAlign w:val="baseline"/>
        </w:rPr>
        <w:t> </w:t>
      </w:r>
      <w:r>
        <w:rPr>
          <w:i/>
          <w:sz w:val="20"/>
          <w:vertAlign w:val="baseline"/>
        </w:rPr>
        <w:t>Bank</w:t>
      </w:r>
      <w:r>
        <w:rPr>
          <w:i/>
          <w:spacing w:val="-4"/>
          <w:sz w:val="20"/>
          <w:vertAlign w:val="baseline"/>
        </w:rPr>
        <w:t> </w:t>
      </w:r>
      <w:r>
        <w:rPr>
          <w:i/>
          <w:sz w:val="20"/>
          <w:vertAlign w:val="baseline"/>
        </w:rPr>
        <w:t>Indonesia</w:t>
      </w:r>
      <w:r>
        <w:rPr>
          <w:sz w:val="20"/>
          <w:vertAlign w:val="baseline"/>
        </w:rPr>
        <w:t>,</w:t>
      </w:r>
      <w:r>
        <w:rPr>
          <w:spacing w:val="-3"/>
          <w:sz w:val="20"/>
          <w:vertAlign w:val="baseline"/>
        </w:rPr>
        <w:t> </w:t>
      </w:r>
      <w:r>
        <w:rPr>
          <w:spacing w:val="-4"/>
          <w:sz w:val="20"/>
          <w:vertAlign w:val="baseline"/>
        </w:rPr>
        <w:t>2016.</w:t>
      </w:r>
    </w:p>
    <w:p>
      <w:pPr>
        <w:spacing w:before="0"/>
        <w:ind w:left="743" w:right="0" w:firstLine="0"/>
        <w:jc w:val="left"/>
        <w:rPr>
          <w:sz w:val="20"/>
        </w:rPr>
      </w:pPr>
      <w:bookmarkStart w:name="_bookmark26" w:id="27"/>
      <w:bookmarkEnd w:id="27"/>
      <w:r>
        <w:rPr/>
      </w:r>
      <w:r>
        <w:rPr>
          <w:sz w:val="20"/>
          <w:vertAlign w:val="superscript"/>
        </w:rPr>
        <w:t>14</w:t>
      </w:r>
      <w:r>
        <w:rPr>
          <w:spacing w:val="-4"/>
          <w:sz w:val="20"/>
          <w:vertAlign w:val="baseline"/>
        </w:rPr>
        <w:t> </w:t>
      </w:r>
      <w:r>
        <w:rPr>
          <w:sz w:val="20"/>
          <w:vertAlign w:val="baseline"/>
        </w:rPr>
        <w:t>Fadhel,</w:t>
      </w:r>
      <w:r>
        <w:rPr>
          <w:spacing w:val="-4"/>
          <w:sz w:val="20"/>
          <w:vertAlign w:val="baseline"/>
        </w:rPr>
        <w:t> </w:t>
      </w:r>
      <w:r>
        <w:rPr>
          <w:sz w:val="20"/>
          <w:vertAlign w:val="baseline"/>
        </w:rPr>
        <w:t>Adrianto,</w:t>
      </w:r>
      <w:r>
        <w:rPr>
          <w:spacing w:val="-4"/>
          <w:sz w:val="20"/>
          <w:vertAlign w:val="baseline"/>
        </w:rPr>
        <w:t> </w:t>
      </w:r>
      <w:r>
        <w:rPr>
          <w:sz w:val="20"/>
          <w:vertAlign w:val="baseline"/>
        </w:rPr>
        <w:t>and</w:t>
      </w:r>
      <w:r>
        <w:rPr>
          <w:spacing w:val="-4"/>
          <w:sz w:val="20"/>
          <w:vertAlign w:val="baseline"/>
        </w:rPr>
        <w:t> </w:t>
      </w:r>
      <w:r>
        <w:rPr>
          <w:spacing w:val="-2"/>
          <w:sz w:val="20"/>
          <w:vertAlign w:val="baseline"/>
        </w:rPr>
        <w:t>Alfarisi.</w:t>
      </w:r>
    </w:p>
    <w:p>
      <w:pPr>
        <w:spacing w:after="0"/>
        <w:jc w:val="left"/>
        <w:rPr>
          <w:sz w:val="20"/>
        </w:rPr>
        <w:sectPr>
          <w:pgSz w:w="11910" w:h="16840"/>
          <w:pgMar w:header="0" w:footer="1000" w:top="1360" w:bottom="1200" w:left="1417" w:right="1275"/>
        </w:sectPr>
      </w:pPr>
    </w:p>
    <w:p>
      <w:pPr>
        <w:pStyle w:val="BodyText"/>
        <w:spacing w:line="360" w:lineRule="auto" w:before="60"/>
        <w:ind w:left="383" w:right="160"/>
        <w:jc w:val="both"/>
      </w:pPr>
      <w:r>
        <w:rPr/>
        <w:t>memberikan tanda-tanda kenaikan walaupun tetap ada turun naiknya, dan menjaga kestabilan pada level rata-rata 120 dari tahun 2022 hingga sekarang. Jika dipahami lebih dalam, IKK dapat memprediksi pola konsumsi, mengantisipasi perubahan ekonomi, dan mengambil keputusan yang lebih tepat dalam bisnis maupun kebijakan ekonomi. Artikel jurnal yang ditulis oleh Fadhel dan Alfarisi memperlihatkan bahwa variabel indeks keyakinan konsumen mempengaruhi saham syariah secara positif dan signifikan.</w:t>
      </w:r>
      <w:hyperlink w:history="true" w:anchor="_bookmark27">
        <w:r>
          <w:rPr>
            <w:vertAlign w:val="superscript"/>
          </w:rPr>
          <w:t>15</w:t>
        </w:r>
      </w:hyperlink>
      <w:r>
        <w:rPr>
          <w:vertAlign w:val="baseline"/>
        </w:rPr>
        <w:t> Akan tetapi, Handy dalam penelitiannya menyatakan bahwa indeks keyakinan konsumen berpengaruh negatif dan signifikan terhadap industri reksadana di Indonesia.</w:t>
      </w:r>
      <w:hyperlink w:history="true" w:anchor="_bookmark28">
        <w:r>
          <w:rPr>
            <w:vertAlign w:val="superscript"/>
          </w:rPr>
          <w:t>16</w:t>
        </w:r>
      </w:hyperlink>
    </w:p>
    <w:p>
      <w:pPr>
        <w:pStyle w:val="BodyText"/>
        <w:spacing w:line="360" w:lineRule="auto" w:before="1"/>
        <w:ind w:left="383" w:right="159" w:firstLine="359"/>
        <w:jc w:val="both"/>
      </w:pPr>
      <w:r>
        <w:rPr/>
        <w:t>Nilai tukar adalah model pengukuran yang menggambarkan berapa banyak unit satu mata uang yang dibutuhkan untuk membeli satu unit mata uang lainnya. Nilai tukar, atau secara sederhana disebut kurs, adalah kesepakatan nilai tukar mata uang dalam transaksi pembayaran</w:t>
      </w:r>
      <w:r>
        <w:rPr>
          <w:spacing w:val="-12"/>
        </w:rPr>
        <w:t> </w:t>
      </w:r>
      <w:r>
        <w:rPr/>
        <w:t>saat</w:t>
      </w:r>
      <w:r>
        <w:rPr>
          <w:spacing w:val="-12"/>
        </w:rPr>
        <w:t> </w:t>
      </w:r>
      <w:r>
        <w:rPr/>
        <w:t>ini</w:t>
      </w:r>
      <w:r>
        <w:rPr>
          <w:spacing w:val="-11"/>
        </w:rPr>
        <w:t> </w:t>
      </w:r>
      <w:r>
        <w:rPr/>
        <w:t>dan</w:t>
      </w:r>
      <w:r>
        <w:rPr>
          <w:spacing w:val="-10"/>
        </w:rPr>
        <w:t> </w:t>
      </w:r>
      <w:r>
        <w:rPr/>
        <w:t>di</w:t>
      </w:r>
      <w:r>
        <w:rPr>
          <w:spacing w:val="-12"/>
        </w:rPr>
        <w:t> </w:t>
      </w:r>
      <w:r>
        <w:rPr/>
        <w:t>masa</w:t>
      </w:r>
      <w:r>
        <w:rPr>
          <w:spacing w:val="-13"/>
        </w:rPr>
        <w:t> </w:t>
      </w:r>
      <w:r>
        <w:rPr/>
        <w:t>depan</w:t>
      </w:r>
      <w:r>
        <w:rPr>
          <w:spacing w:val="-10"/>
        </w:rPr>
        <w:t> </w:t>
      </w:r>
      <w:r>
        <w:rPr/>
        <w:t>antara</w:t>
      </w:r>
      <w:r>
        <w:rPr>
          <w:spacing w:val="-14"/>
        </w:rPr>
        <w:t> </w:t>
      </w:r>
      <w:r>
        <w:rPr/>
        <w:t>dua</w:t>
      </w:r>
      <w:r>
        <w:rPr>
          <w:spacing w:val="-11"/>
        </w:rPr>
        <w:t> </w:t>
      </w:r>
      <w:r>
        <w:rPr/>
        <w:t>mata</w:t>
      </w:r>
      <w:r>
        <w:rPr>
          <w:spacing w:val="-13"/>
        </w:rPr>
        <w:t> </w:t>
      </w:r>
      <w:r>
        <w:rPr/>
        <w:t>uang</w:t>
      </w:r>
      <w:r>
        <w:rPr>
          <w:spacing w:val="-12"/>
        </w:rPr>
        <w:t> </w:t>
      </w:r>
      <w:r>
        <w:rPr/>
        <w:t>dari</w:t>
      </w:r>
      <w:r>
        <w:rPr>
          <w:spacing w:val="-12"/>
        </w:rPr>
        <w:t> </w:t>
      </w:r>
      <w:r>
        <w:rPr/>
        <w:t>negara</w:t>
      </w:r>
      <w:r>
        <w:rPr>
          <w:spacing w:val="-12"/>
        </w:rPr>
        <w:t> </w:t>
      </w:r>
      <w:r>
        <w:rPr/>
        <w:t>atau</w:t>
      </w:r>
      <w:r>
        <w:rPr>
          <w:spacing w:val="-12"/>
        </w:rPr>
        <w:t> </w:t>
      </w:r>
      <w:r>
        <w:rPr/>
        <w:t>wilayah</w:t>
      </w:r>
      <w:r>
        <w:rPr>
          <w:spacing w:val="-12"/>
        </w:rPr>
        <w:t> </w:t>
      </w:r>
      <w:r>
        <w:rPr/>
        <w:t>yang berbeda.</w:t>
      </w:r>
      <w:hyperlink w:history="true" w:anchor="_bookmark29">
        <w:r>
          <w:rPr>
            <w:vertAlign w:val="superscript"/>
          </w:rPr>
          <w:t>17</w:t>
        </w:r>
      </w:hyperlink>
      <w:r>
        <w:rPr>
          <w:vertAlign w:val="baseline"/>
        </w:rPr>
        <w:t> Salah satu komponen lain yang mempengaruhi hasil perusahaan adalah nilai tukar mata uang rupiah yang fluktuatif; pergeseran ini mengindikasikan bahwa bisnis ini terekspos pada risiko nilai tukar mata uang asing. Dasar dari pendalaman riset tersebut adalah perubahan kurs mata uang yang tidak dapat diprediksi.</w:t>
      </w:r>
    </w:p>
    <w:p>
      <w:pPr>
        <w:pStyle w:val="Heading2"/>
        <w:spacing w:line="360" w:lineRule="auto" w:before="1"/>
        <w:ind w:left="3883" w:right="3301" w:firstLine="487"/>
      </w:pPr>
      <w:r>
        <w:rPr/>
        <w:t>Grafik 1.3 Nilai Tukar</w:t>
      </w:r>
      <w:r>
        <w:rPr>
          <w:spacing w:val="-1"/>
        </w:rPr>
        <w:t> </w:t>
      </w:r>
      <w:r>
        <w:rPr>
          <w:spacing w:val="-2"/>
        </w:rPr>
        <w:t>Rupiah</w:t>
      </w:r>
    </w:p>
    <w:p>
      <w:pPr>
        <w:spacing w:before="4"/>
        <w:ind w:left="1461" w:right="0" w:firstLine="0"/>
        <w:jc w:val="left"/>
        <w:rPr>
          <w:rFonts w:ascii="Arial MT"/>
          <w:sz w:val="13"/>
        </w:rPr>
      </w:pPr>
      <w:r>
        <w:rPr>
          <w:rFonts w:ascii="Arial MT"/>
          <w:sz w:val="13"/>
        </w:rPr>
        <mc:AlternateContent>
          <mc:Choice Requires="wps">
            <w:drawing>
              <wp:anchor distT="0" distB="0" distL="0" distR="0" allowOverlap="1" layoutInCell="1" locked="0" behindDoc="0" simplePos="0" relativeHeight="15734272">
                <wp:simplePos x="0" y="0"/>
                <wp:positionH relativeFrom="page">
                  <wp:posOffset>2209082</wp:posOffset>
                </wp:positionH>
                <wp:positionV relativeFrom="paragraph">
                  <wp:posOffset>69695</wp:posOffset>
                </wp:positionV>
                <wp:extent cx="4064000" cy="1912620"/>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4064000" cy="1912620"/>
                          <a:chExt cx="4064000" cy="1912620"/>
                        </a:xfrm>
                      </wpg:grpSpPr>
                      <wps:wsp>
                        <wps:cNvPr id="26" name="Graphic 26"/>
                        <wps:cNvSpPr/>
                        <wps:spPr>
                          <a:xfrm>
                            <a:off x="50995" y="2247"/>
                            <a:ext cx="4010025" cy="1866900"/>
                          </a:xfrm>
                          <a:custGeom>
                            <a:avLst/>
                            <a:gdLst/>
                            <a:ahLst/>
                            <a:cxnLst/>
                            <a:rect l="l" t="t" r="r" b="b"/>
                            <a:pathLst>
                              <a:path w="4010025" h="1866900">
                                <a:moveTo>
                                  <a:pt x="0" y="0"/>
                                </a:moveTo>
                                <a:lnTo>
                                  <a:pt x="0" y="1866556"/>
                                </a:lnTo>
                              </a:path>
                              <a:path w="4010025" h="1866900">
                                <a:moveTo>
                                  <a:pt x="0" y="1866556"/>
                                </a:moveTo>
                                <a:lnTo>
                                  <a:pt x="4009530" y="1866556"/>
                                </a:lnTo>
                              </a:path>
                              <a:path w="4010025" h="1866900">
                                <a:moveTo>
                                  <a:pt x="4009530" y="1866556"/>
                                </a:moveTo>
                                <a:lnTo>
                                  <a:pt x="4009530" y="0"/>
                                </a:lnTo>
                              </a:path>
                              <a:path w="4010025" h="1866900">
                                <a:moveTo>
                                  <a:pt x="4009530" y="0"/>
                                </a:moveTo>
                                <a:lnTo>
                                  <a:pt x="0" y="0"/>
                                </a:lnTo>
                              </a:path>
                            </a:pathLst>
                          </a:custGeom>
                          <a:ln w="5156">
                            <a:solidFill>
                              <a:srgbClr val="000000"/>
                            </a:solidFill>
                            <a:prstDash val="solid"/>
                          </a:ln>
                        </wps:spPr>
                        <wps:bodyPr wrap="square" lIns="0" tIns="0" rIns="0" bIns="0" rtlCol="0">
                          <a:prstTxWarp prst="textNoShape">
                            <a:avLst/>
                          </a:prstTxWarp>
                          <a:noAutofit/>
                        </wps:bodyPr>
                      </wps:wsp>
                      <wps:wsp>
                        <wps:cNvPr id="27" name="Graphic 27"/>
                        <wps:cNvSpPr/>
                        <wps:spPr>
                          <a:xfrm>
                            <a:off x="0" y="5142"/>
                            <a:ext cx="4059554" cy="1907539"/>
                          </a:xfrm>
                          <a:custGeom>
                            <a:avLst/>
                            <a:gdLst/>
                            <a:ahLst/>
                            <a:cxnLst/>
                            <a:rect l="l" t="t" r="r" b="b"/>
                            <a:pathLst>
                              <a:path w="4059554" h="1907539">
                                <a:moveTo>
                                  <a:pt x="46208" y="1861807"/>
                                </a:moveTo>
                                <a:lnTo>
                                  <a:pt x="0" y="1861807"/>
                                </a:lnTo>
                              </a:path>
                              <a:path w="4059554" h="1907539">
                                <a:moveTo>
                                  <a:pt x="46208" y="1595650"/>
                                </a:moveTo>
                                <a:lnTo>
                                  <a:pt x="0" y="1595650"/>
                                </a:lnTo>
                              </a:path>
                              <a:path w="4059554" h="1907539">
                                <a:moveTo>
                                  <a:pt x="46208" y="1329751"/>
                                </a:moveTo>
                                <a:lnTo>
                                  <a:pt x="0" y="1329751"/>
                                </a:lnTo>
                              </a:path>
                              <a:path w="4059554" h="1907539">
                                <a:moveTo>
                                  <a:pt x="46208" y="1063595"/>
                                </a:moveTo>
                                <a:lnTo>
                                  <a:pt x="0" y="1063595"/>
                                </a:lnTo>
                              </a:path>
                              <a:path w="4059554" h="1907539">
                                <a:moveTo>
                                  <a:pt x="46208" y="797375"/>
                                </a:moveTo>
                                <a:lnTo>
                                  <a:pt x="0" y="797375"/>
                                </a:lnTo>
                              </a:path>
                              <a:path w="4059554" h="1907539">
                                <a:moveTo>
                                  <a:pt x="46208" y="531261"/>
                                </a:moveTo>
                                <a:lnTo>
                                  <a:pt x="0" y="531261"/>
                                </a:lnTo>
                              </a:path>
                              <a:path w="4059554" h="1907539">
                                <a:moveTo>
                                  <a:pt x="46208" y="265148"/>
                                </a:moveTo>
                                <a:lnTo>
                                  <a:pt x="0" y="265148"/>
                                </a:lnTo>
                              </a:path>
                              <a:path w="4059554" h="1907539">
                                <a:moveTo>
                                  <a:pt x="46208" y="0"/>
                                </a:moveTo>
                                <a:lnTo>
                                  <a:pt x="0" y="0"/>
                                </a:lnTo>
                              </a:path>
                              <a:path w="4059554" h="1907539">
                                <a:moveTo>
                                  <a:pt x="52369" y="1867371"/>
                                </a:moveTo>
                                <a:lnTo>
                                  <a:pt x="52369" y="1887764"/>
                                </a:lnTo>
                              </a:path>
                              <a:path w="4059554" h="1907539">
                                <a:moveTo>
                                  <a:pt x="118754" y="1867371"/>
                                </a:moveTo>
                                <a:lnTo>
                                  <a:pt x="118754" y="1887764"/>
                                </a:lnTo>
                              </a:path>
                              <a:path w="4059554" h="1907539">
                                <a:moveTo>
                                  <a:pt x="185153" y="1867371"/>
                                </a:moveTo>
                                <a:lnTo>
                                  <a:pt x="185153" y="1887764"/>
                                </a:lnTo>
                              </a:path>
                              <a:path w="4059554" h="1907539">
                                <a:moveTo>
                                  <a:pt x="251538" y="1867371"/>
                                </a:moveTo>
                                <a:lnTo>
                                  <a:pt x="251538" y="1887764"/>
                                </a:lnTo>
                              </a:path>
                              <a:path w="4059554" h="1907539">
                                <a:moveTo>
                                  <a:pt x="319297" y="1867371"/>
                                </a:moveTo>
                                <a:lnTo>
                                  <a:pt x="319297" y="1887764"/>
                                </a:lnTo>
                              </a:path>
                              <a:path w="4059554" h="1907539">
                                <a:moveTo>
                                  <a:pt x="385695" y="1867371"/>
                                </a:moveTo>
                                <a:lnTo>
                                  <a:pt x="385695" y="1887764"/>
                                </a:lnTo>
                              </a:path>
                              <a:path w="4059554" h="1907539">
                                <a:moveTo>
                                  <a:pt x="452427" y="1867371"/>
                                </a:moveTo>
                                <a:lnTo>
                                  <a:pt x="452427" y="1887764"/>
                                </a:lnTo>
                              </a:path>
                              <a:path w="4059554" h="1907539">
                                <a:moveTo>
                                  <a:pt x="518812" y="1867371"/>
                                </a:moveTo>
                                <a:lnTo>
                                  <a:pt x="518812" y="1887764"/>
                                </a:lnTo>
                              </a:path>
                              <a:path w="4059554" h="1907539">
                                <a:moveTo>
                                  <a:pt x="586585" y="1867371"/>
                                </a:moveTo>
                                <a:lnTo>
                                  <a:pt x="586585" y="1887764"/>
                                </a:lnTo>
                              </a:path>
                              <a:path w="4059554" h="1907539">
                                <a:moveTo>
                                  <a:pt x="652970" y="1867371"/>
                                </a:moveTo>
                                <a:lnTo>
                                  <a:pt x="652970" y="1887764"/>
                                </a:lnTo>
                              </a:path>
                              <a:path w="4059554" h="1907539">
                                <a:moveTo>
                                  <a:pt x="719368" y="1867371"/>
                                </a:moveTo>
                                <a:lnTo>
                                  <a:pt x="719368" y="1887764"/>
                                </a:lnTo>
                              </a:path>
                              <a:path w="4059554" h="1907539">
                                <a:moveTo>
                                  <a:pt x="786100" y="1867371"/>
                                </a:moveTo>
                                <a:lnTo>
                                  <a:pt x="786100" y="1887764"/>
                                </a:lnTo>
                              </a:path>
                              <a:path w="4059554" h="1907539">
                                <a:moveTo>
                                  <a:pt x="853512" y="1867371"/>
                                </a:moveTo>
                                <a:lnTo>
                                  <a:pt x="853512" y="1887764"/>
                                </a:lnTo>
                              </a:path>
                              <a:path w="4059554" h="1907539">
                                <a:moveTo>
                                  <a:pt x="920244" y="1867371"/>
                                </a:moveTo>
                                <a:lnTo>
                                  <a:pt x="920244" y="1887764"/>
                                </a:lnTo>
                              </a:path>
                              <a:path w="4059554" h="1907539">
                                <a:moveTo>
                                  <a:pt x="986643" y="1867371"/>
                                </a:moveTo>
                                <a:lnTo>
                                  <a:pt x="986643" y="1887764"/>
                                </a:lnTo>
                              </a:path>
                              <a:path w="4059554" h="1907539">
                                <a:moveTo>
                                  <a:pt x="1053083" y="1867371"/>
                                </a:moveTo>
                                <a:lnTo>
                                  <a:pt x="1053083" y="1887764"/>
                                </a:lnTo>
                              </a:path>
                              <a:path w="4059554" h="1907539">
                                <a:moveTo>
                                  <a:pt x="1120800" y="1867371"/>
                                </a:moveTo>
                                <a:lnTo>
                                  <a:pt x="1120800" y="1887764"/>
                                </a:lnTo>
                              </a:path>
                              <a:path w="4059554" h="1907539">
                                <a:moveTo>
                                  <a:pt x="1187130" y="1867371"/>
                                </a:moveTo>
                                <a:lnTo>
                                  <a:pt x="1187130" y="1887764"/>
                                </a:lnTo>
                              </a:path>
                              <a:path w="4059554" h="1907539">
                                <a:moveTo>
                                  <a:pt x="1253875" y="1867371"/>
                                </a:moveTo>
                                <a:lnTo>
                                  <a:pt x="1253875" y="1887764"/>
                                </a:lnTo>
                              </a:path>
                              <a:path w="4059554" h="1907539">
                                <a:moveTo>
                                  <a:pt x="1320344" y="1867371"/>
                                </a:moveTo>
                                <a:lnTo>
                                  <a:pt x="1320344" y="1887764"/>
                                </a:lnTo>
                              </a:path>
                              <a:path w="4059554" h="1907539">
                                <a:moveTo>
                                  <a:pt x="1388061" y="1867371"/>
                                </a:moveTo>
                                <a:lnTo>
                                  <a:pt x="1388061" y="1887764"/>
                                </a:lnTo>
                              </a:path>
                              <a:path w="4059554" h="1907539">
                                <a:moveTo>
                                  <a:pt x="1454529" y="1867371"/>
                                </a:moveTo>
                                <a:lnTo>
                                  <a:pt x="1454529" y="1887764"/>
                                </a:lnTo>
                              </a:path>
                              <a:path w="4059554" h="1907539">
                                <a:moveTo>
                                  <a:pt x="1520858" y="1867371"/>
                                </a:moveTo>
                                <a:lnTo>
                                  <a:pt x="1520858" y="1887764"/>
                                </a:lnTo>
                              </a:path>
                              <a:path w="4059554" h="1907539">
                                <a:moveTo>
                                  <a:pt x="1587188" y="1867371"/>
                                </a:moveTo>
                                <a:lnTo>
                                  <a:pt x="1587188" y="1887764"/>
                                </a:lnTo>
                              </a:path>
                              <a:path w="4059554" h="1907539">
                                <a:moveTo>
                                  <a:pt x="1655043" y="1867371"/>
                                </a:moveTo>
                                <a:lnTo>
                                  <a:pt x="1655043" y="1887764"/>
                                </a:lnTo>
                              </a:path>
                              <a:path w="4059554" h="1907539">
                                <a:moveTo>
                                  <a:pt x="1721373" y="1867371"/>
                                </a:moveTo>
                                <a:lnTo>
                                  <a:pt x="1721373" y="1887764"/>
                                </a:lnTo>
                              </a:path>
                              <a:path w="4059554" h="1907539">
                                <a:moveTo>
                                  <a:pt x="1788119" y="1867371"/>
                                </a:moveTo>
                                <a:lnTo>
                                  <a:pt x="1788119" y="1887764"/>
                                </a:lnTo>
                              </a:path>
                              <a:path w="4059554" h="1907539">
                                <a:moveTo>
                                  <a:pt x="1854587" y="1867371"/>
                                </a:moveTo>
                                <a:lnTo>
                                  <a:pt x="1854587" y="1887764"/>
                                </a:lnTo>
                              </a:path>
                              <a:path w="4059554" h="1907539">
                                <a:moveTo>
                                  <a:pt x="1922304" y="1867371"/>
                                </a:moveTo>
                                <a:lnTo>
                                  <a:pt x="1922304" y="1887764"/>
                                </a:lnTo>
                              </a:path>
                              <a:path w="4059554" h="1907539">
                                <a:moveTo>
                                  <a:pt x="1988633" y="1867371"/>
                                </a:moveTo>
                                <a:lnTo>
                                  <a:pt x="1988633" y="1887764"/>
                                </a:lnTo>
                              </a:path>
                              <a:path w="4059554" h="1907539">
                                <a:moveTo>
                                  <a:pt x="2055101" y="1867371"/>
                                </a:moveTo>
                                <a:lnTo>
                                  <a:pt x="2055101" y="1887764"/>
                                </a:lnTo>
                              </a:path>
                              <a:path w="4059554" h="1907539">
                                <a:moveTo>
                                  <a:pt x="2121847" y="1867371"/>
                                </a:moveTo>
                                <a:lnTo>
                                  <a:pt x="2121847" y="1887764"/>
                                </a:lnTo>
                              </a:path>
                              <a:path w="4059554" h="1907539">
                                <a:moveTo>
                                  <a:pt x="2189287" y="1867371"/>
                                </a:moveTo>
                                <a:lnTo>
                                  <a:pt x="2189287" y="1887764"/>
                                </a:lnTo>
                              </a:path>
                              <a:path w="4059554" h="1907539">
                                <a:moveTo>
                                  <a:pt x="2255894" y="1867371"/>
                                </a:moveTo>
                                <a:lnTo>
                                  <a:pt x="2255894" y="1887764"/>
                                </a:lnTo>
                              </a:path>
                              <a:path w="4059554" h="1907539">
                                <a:moveTo>
                                  <a:pt x="2322362" y="1867371"/>
                                </a:moveTo>
                                <a:lnTo>
                                  <a:pt x="2322362" y="1887764"/>
                                </a:lnTo>
                              </a:path>
                              <a:path w="4059554" h="1907539">
                                <a:moveTo>
                                  <a:pt x="2388691" y="1867371"/>
                                </a:moveTo>
                                <a:lnTo>
                                  <a:pt x="2388691" y="1887764"/>
                                </a:lnTo>
                              </a:path>
                              <a:path w="4059554" h="1907539">
                                <a:moveTo>
                                  <a:pt x="2456547" y="1867371"/>
                                </a:moveTo>
                                <a:lnTo>
                                  <a:pt x="2456547" y="1887764"/>
                                </a:lnTo>
                              </a:path>
                              <a:path w="4059554" h="1907539">
                                <a:moveTo>
                                  <a:pt x="2522877" y="1867371"/>
                                </a:moveTo>
                                <a:lnTo>
                                  <a:pt x="2522877" y="1887764"/>
                                </a:lnTo>
                              </a:path>
                              <a:path w="4059554" h="1907539">
                                <a:moveTo>
                                  <a:pt x="2589622" y="1867371"/>
                                </a:moveTo>
                                <a:lnTo>
                                  <a:pt x="2589622" y="1887764"/>
                                </a:lnTo>
                              </a:path>
                              <a:path w="4059554" h="1907539">
                                <a:moveTo>
                                  <a:pt x="2655952" y="1867371"/>
                                </a:moveTo>
                                <a:lnTo>
                                  <a:pt x="2655952" y="1887764"/>
                                </a:lnTo>
                              </a:path>
                              <a:path w="4059554" h="1907539">
                                <a:moveTo>
                                  <a:pt x="2723808" y="1867371"/>
                                </a:moveTo>
                                <a:lnTo>
                                  <a:pt x="2723808" y="1887764"/>
                                </a:lnTo>
                              </a:path>
                              <a:path w="4059554" h="1907539">
                                <a:moveTo>
                                  <a:pt x="2790137" y="1867371"/>
                                </a:moveTo>
                                <a:lnTo>
                                  <a:pt x="2790137" y="1887764"/>
                                </a:lnTo>
                              </a:path>
                              <a:path w="4059554" h="1907539">
                                <a:moveTo>
                                  <a:pt x="2856605" y="1867371"/>
                                </a:moveTo>
                                <a:lnTo>
                                  <a:pt x="2856605" y="1887764"/>
                                </a:lnTo>
                              </a:path>
                              <a:path w="4059554" h="1907539">
                                <a:moveTo>
                                  <a:pt x="2922935" y="1867371"/>
                                </a:moveTo>
                                <a:lnTo>
                                  <a:pt x="2922935" y="1887764"/>
                                </a:lnTo>
                              </a:path>
                              <a:path w="4059554" h="1907539">
                                <a:moveTo>
                                  <a:pt x="2990652" y="1867371"/>
                                </a:moveTo>
                                <a:lnTo>
                                  <a:pt x="2990652" y="1887764"/>
                                </a:lnTo>
                              </a:path>
                              <a:path w="4059554" h="1907539">
                                <a:moveTo>
                                  <a:pt x="3057120" y="1867371"/>
                                </a:moveTo>
                                <a:lnTo>
                                  <a:pt x="3057120" y="1887764"/>
                                </a:lnTo>
                              </a:path>
                              <a:path w="4059554" h="1907539">
                                <a:moveTo>
                                  <a:pt x="3123866" y="1867371"/>
                                </a:moveTo>
                                <a:lnTo>
                                  <a:pt x="3123866" y="1887764"/>
                                </a:lnTo>
                              </a:path>
                              <a:path w="4059554" h="1907539">
                                <a:moveTo>
                                  <a:pt x="3190195" y="1867371"/>
                                </a:moveTo>
                                <a:lnTo>
                                  <a:pt x="3190195" y="1887764"/>
                                </a:lnTo>
                              </a:path>
                              <a:path w="4059554" h="1907539">
                                <a:moveTo>
                                  <a:pt x="3258051" y="1867371"/>
                                </a:moveTo>
                                <a:lnTo>
                                  <a:pt x="3258051" y="1887764"/>
                                </a:lnTo>
                              </a:path>
                              <a:path w="4059554" h="1907539">
                                <a:moveTo>
                                  <a:pt x="3324380" y="1867371"/>
                                </a:moveTo>
                                <a:lnTo>
                                  <a:pt x="3324380" y="1887764"/>
                                </a:lnTo>
                              </a:path>
                              <a:path w="4059554" h="1907539">
                                <a:moveTo>
                                  <a:pt x="3390710" y="1867371"/>
                                </a:moveTo>
                                <a:lnTo>
                                  <a:pt x="3390710" y="1887764"/>
                                </a:lnTo>
                              </a:path>
                              <a:path w="4059554" h="1907539">
                                <a:moveTo>
                                  <a:pt x="3457455" y="1867371"/>
                                </a:moveTo>
                                <a:lnTo>
                                  <a:pt x="3457455" y="1887764"/>
                                </a:lnTo>
                              </a:path>
                              <a:path w="4059554" h="1907539">
                                <a:moveTo>
                                  <a:pt x="3524895" y="1867371"/>
                                </a:moveTo>
                                <a:lnTo>
                                  <a:pt x="3524895" y="1887764"/>
                                </a:lnTo>
                              </a:path>
                              <a:path w="4059554" h="1907539">
                                <a:moveTo>
                                  <a:pt x="3591641" y="1867371"/>
                                </a:moveTo>
                                <a:lnTo>
                                  <a:pt x="3591641" y="1887764"/>
                                </a:lnTo>
                              </a:path>
                              <a:path w="4059554" h="1907539">
                                <a:moveTo>
                                  <a:pt x="3658109" y="1867371"/>
                                </a:moveTo>
                                <a:lnTo>
                                  <a:pt x="3658109" y="1887764"/>
                                </a:lnTo>
                              </a:path>
                              <a:path w="4059554" h="1907539">
                                <a:moveTo>
                                  <a:pt x="3724438" y="1867371"/>
                                </a:moveTo>
                                <a:lnTo>
                                  <a:pt x="3724438" y="1887764"/>
                                </a:lnTo>
                              </a:path>
                              <a:path w="4059554" h="1907539">
                                <a:moveTo>
                                  <a:pt x="3792155" y="1867371"/>
                                </a:moveTo>
                                <a:lnTo>
                                  <a:pt x="3792155" y="1887764"/>
                                </a:lnTo>
                              </a:path>
                              <a:path w="4059554" h="1907539">
                                <a:moveTo>
                                  <a:pt x="3858623" y="1867371"/>
                                </a:moveTo>
                                <a:lnTo>
                                  <a:pt x="3858623" y="1887764"/>
                                </a:lnTo>
                              </a:path>
                              <a:path w="4059554" h="1907539">
                                <a:moveTo>
                                  <a:pt x="3925369" y="1867371"/>
                                </a:moveTo>
                                <a:lnTo>
                                  <a:pt x="3925369" y="1887764"/>
                                </a:lnTo>
                              </a:path>
                              <a:path w="4059554" h="1907539">
                                <a:moveTo>
                                  <a:pt x="3991699" y="1867371"/>
                                </a:moveTo>
                                <a:lnTo>
                                  <a:pt x="3991699" y="1887764"/>
                                </a:lnTo>
                              </a:path>
                              <a:path w="4059554" h="1907539">
                                <a:moveTo>
                                  <a:pt x="4059416" y="1867371"/>
                                </a:moveTo>
                                <a:lnTo>
                                  <a:pt x="4059416" y="1887764"/>
                                </a:lnTo>
                              </a:path>
                              <a:path w="4059554" h="1907539">
                                <a:moveTo>
                                  <a:pt x="52369" y="1867371"/>
                                </a:moveTo>
                                <a:lnTo>
                                  <a:pt x="52369" y="1907095"/>
                                </a:lnTo>
                              </a:path>
                              <a:path w="4059554" h="1907539">
                                <a:moveTo>
                                  <a:pt x="251538" y="1867371"/>
                                </a:moveTo>
                                <a:lnTo>
                                  <a:pt x="251538" y="1907095"/>
                                </a:lnTo>
                              </a:path>
                              <a:path w="4059554" h="1907539">
                                <a:moveTo>
                                  <a:pt x="452427" y="1867371"/>
                                </a:moveTo>
                                <a:lnTo>
                                  <a:pt x="452427" y="1907095"/>
                                </a:lnTo>
                              </a:path>
                              <a:path w="4059554" h="1907539">
                                <a:moveTo>
                                  <a:pt x="652970" y="1867371"/>
                                </a:moveTo>
                                <a:lnTo>
                                  <a:pt x="652970" y="1907095"/>
                                </a:lnTo>
                              </a:path>
                              <a:path w="4059554" h="1907539">
                                <a:moveTo>
                                  <a:pt x="853512" y="1867371"/>
                                </a:moveTo>
                                <a:lnTo>
                                  <a:pt x="853512" y="1907095"/>
                                </a:lnTo>
                              </a:path>
                              <a:path w="4059554" h="1907539">
                                <a:moveTo>
                                  <a:pt x="1053083" y="1867371"/>
                                </a:moveTo>
                                <a:lnTo>
                                  <a:pt x="1053083" y="1907095"/>
                                </a:lnTo>
                              </a:path>
                              <a:path w="4059554" h="1907539">
                                <a:moveTo>
                                  <a:pt x="1253875" y="1867371"/>
                                </a:moveTo>
                                <a:lnTo>
                                  <a:pt x="1253875" y="1907095"/>
                                </a:lnTo>
                              </a:path>
                              <a:path w="4059554" h="1907539">
                                <a:moveTo>
                                  <a:pt x="1454529" y="1867371"/>
                                </a:moveTo>
                                <a:lnTo>
                                  <a:pt x="1454529" y="1907095"/>
                                </a:lnTo>
                              </a:path>
                              <a:path w="4059554" h="1907539">
                                <a:moveTo>
                                  <a:pt x="1655043" y="1867371"/>
                                </a:moveTo>
                                <a:lnTo>
                                  <a:pt x="1655043" y="1907095"/>
                                </a:lnTo>
                              </a:path>
                              <a:path w="4059554" h="1907539">
                                <a:moveTo>
                                  <a:pt x="1854587" y="1867371"/>
                                </a:moveTo>
                                <a:lnTo>
                                  <a:pt x="1854587" y="1907095"/>
                                </a:lnTo>
                              </a:path>
                              <a:path w="4059554" h="1907539">
                                <a:moveTo>
                                  <a:pt x="2055101" y="1867371"/>
                                </a:moveTo>
                                <a:lnTo>
                                  <a:pt x="2055101" y="1907095"/>
                                </a:lnTo>
                              </a:path>
                              <a:path w="4059554" h="1907539">
                                <a:moveTo>
                                  <a:pt x="2255894" y="1867371"/>
                                </a:moveTo>
                                <a:lnTo>
                                  <a:pt x="2255894" y="1907095"/>
                                </a:lnTo>
                              </a:path>
                              <a:path w="4059554" h="1907539">
                                <a:moveTo>
                                  <a:pt x="2456547" y="1867371"/>
                                </a:moveTo>
                                <a:lnTo>
                                  <a:pt x="2456547" y="1907095"/>
                                </a:lnTo>
                              </a:path>
                              <a:path w="4059554" h="1907539">
                                <a:moveTo>
                                  <a:pt x="2655952" y="1867371"/>
                                </a:moveTo>
                                <a:lnTo>
                                  <a:pt x="2655952" y="1907095"/>
                                </a:lnTo>
                              </a:path>
                              <a:path w="4059554" h="1907539">
                                <a:moveTo>
                                  <a:pt x="2856605" y="1867371"/>
                                </a:moveTo>
                                <a:lnTo>
                                  <a:pt x="2856605" y="1907095"/>
                                </a:lnTo>
                              </a:path>
                              <a:path w="4059554" h="1907539">
                                <a:moveTo>
                                  <a:pt x="3057120" y="1867371"/>
                                </a:moveTo>
                                <a:lnTo>
                                  <a:pt x="3057120" y="1907095"/>
                                </a:lnTo>
                              </a:path>
                              <a:path w="4059554" h="1907539">
                                <a:moveTo>
                                  <a:pt x="3258051" y="1867371"/>
                                </a:moveTo>
                                <a:lnTo>
                                  <a:pt x="3258051" y="1907095"/>
                                </a:lnTo>
                              </a:path>
                              <a:path w="4059554" h="1907539">
                                <a:moveTo>
                                  <a:pt x="3457455" y="1867371"/>
                                </a:moveTo>
                                <a:lnTo>
                                  <a:pt x="3457455" y="1907095"/>
                                </a:lnTo>
                              </a:path>
                              <a:path w="4059554" h="1907539">
                                <a:moveTo>
                                  <a:pt x="3658109" y="1867371"/>
                                </a:moveTo>
                                <a:lnTo>
                                  <a:pt x="3658109" y="1907095"/>
                                </a:lnTo>
                              </a:path>
                              <a:path w="4059554" h="1907539">
                                <a:moveTo>
                                  <a:pt x="3858623" y="1867371"/>
                                </a:moveTo>
                                <a:lnTo>
                                  <a:pt x="3858623" y="1907095"/>
                                </a:lnTo>
                              </a:path>
                              <a:path w="4059554" h="1907539">
                                <a:moveTo>
                                  <a:pt x="4059416" y="1867371"/>
                                </a:moveTo>
                                <a:lnTo>
                                  <a:pt x="4059416" y="1907095"/>
                                </a:lnTo>
                              </a:path>
                              <a:path w="4059554" h="1907539">
                                <a:moveTo>
                                  <a:pt x="52369" y="1867371"/>
                                </a:moveTo>
                                <a:lnTo>
                                  <a:pt x="52369" y="1907095"/>
                                </a:lnTo>
                              </a:path>
                              <a:path w="4059554" h="1907539">
                                <a:moveTo>
                                  <a:pt x="853512" y="1867371"/>
                                </a:moveTo>
                                <a:lnTo>
                                  <a:pt x="853512" y="1907095"/>
                                </a:lnTo>
                              </a:path>
                              <a:path w="4059554" h="1907539">
                                <a:moveTo>
                                  <a:pt x="1655043" y="1867371"/>
                                </a:moveTo>
                                <a:lnTo>
                                  <a:pt x="1655043" y="1907095"/>
                                </a:lnTo>
                              </a:path>
                              <a:path w="4059554" h="1907539">
                                <a:moveTo>
                                  <a:pt x="2456547" y="1867371"/>
                                </a:moveTo>
                                <a:lnTo>
                                  <a:pt x="2456547" y="1907095"/>
                                </a:lnTo>
                              </a:path>
                              <a:path w="4059554" h="1907539">
                                <a:moveTo>
                                  <a:pt x="3258051" y="1867371"/>
                                </a:moveTo>
                                <a:lnTo>
                                  <a:pt x="3258051" y="1907095"/>
                                </a:lnTo>
                              </a:path>
                              <a:path w="4059554" h="1907539">
                                <a:moveTo>
                                  <a:pt x="4059416" y="1867371"/>
                                </a:moveTo>
                                <a:lnTo>
                                  <a:pt x="4059416" y="1907095"/>
                                </a:lnTo>
                              </a:path>
                            </a:pathLst>
                          </a:custGeom>
                          <a:ln w="4246">
                            <a:solidFill>
                              <a:srgbClr val="000000"/>
                            </a:solidFill>
                            <a:prstDash val="solid"/>
                          </a:ln>
                        </wps:spPr>
                        <wps:bodyPr wrap="square" lIns="0" tIns="0" rIns="0" bIns="0" rtlCol="0">
                          <a:prstTxWarp prst="textNoShape">
                            <a:avLst/>
                          </a:prstTxWarp>
                          <a:noAutofit/>
                        </wps:bodyPr>
                      </wps:wsp>
                      <wps:wsp>
                        <wps:cNvPr id="28" name="Graphic 28"/>
                        <wps:cNvSpPr/>
                        <wps:spPr>
                          <a:xfrm>
                            <a:off x="85562" y="51245"/>
                            <a:ext cx="3939540" cy="1818005"/>
                          </a:xfrm>
                          <a:custGeom>
                            <a:avLst/>
                            <a:gdLst/>
                            <a:ahLst/>
                            <a:cxnLst/>
                            <a:rect l="l" t="t" r="r" b="b"/>
                            <a:pathLst>
                              <a:path w="3939540" h="1818005">
                                <a:moveTo>
                                  <a:pt x="0" y="1727517"/>
                                </a:moveTo>
                                <a:lnTo>
                                  <a:pt x="0" y="1817558"/>
                                </a:lnTo>
                              </a:path>
                              <a:path w="3939540" h="1818005">
                                <a:moveTo>
                                  <a:pt x="66398" y="1697850"/>
                                </a:moveTo>
                                <a:lnTo>
                                  <a:pt x="66398" y="1817558"/>
                                </a:lnTo>
                              </a:path>
                              <a:path w="3939540" h="1818005">
                                <a:moveTo>
                                  <a:pt x="132783" y="755024"/>
                                </a:moveTo>
                                <a:lnTo>
                                  <a:pt x="132783" y="1817558"/>
                                </a:lnTo>
                              </a:path>
                              <a:path w="3939540" h="1818005">
                                <a:moveTo>
                                  <a:pt x="199515" y="307499"/>
                                </a:moveTo>
                                <a:lnTo>
                                  <a:pt x="199515" y="1817558"/>
                                </a:lnTo>
                              </a:path>
                              <a:path w="3939540" h="1818005">
                                <a:moveTo>
                                  <a:pt x="266941" y="946514"/>
                                </a:moveTo>
                                <a:lnTo>
                                  <a:pt x="266941" y="1817558"/>
                                </a:lnTo>
                              </a:path>
                              <a:path w="3939540" h="1818005">
                                <a:moveTo>
                                  <a:pt x="333673" y="1418978"/>
                                </a:moveTo>
                                <a:lnTo>
                                  <a:pt x="333673" y="1817558"/>
                                </a:lnTo>
                              </a:path>
                              <a:path w="3939540" h="1818005">
                                <a:moveTo>
                                  <a:pt x="400058" y="1162085"/>
                                </a:moveTo>
                                <a:lnTo>
                                  <a:pt x="400058" y="1817558"/>
                                </a:lnTo>
                              </a:path>
                              <a:path w="3939540" h="1818005">
                                <a:moveTo>
                                  <a:pt x="466456" y="1067015"/>
                                </a:moveTo>
                                <a:lnTo>
                                  <a:pt x="466456" y="1817558"/>
                                </a:lnTo>
                              </a:path>
                              <a:path w="3939540" h="1818005">
                                <a:moveTo>
                                  <a:pt x="534215" y="985219"/>
                                </a:moveTo>
                                <a:lnTo>
                                  <a:pt x="534215" y="1817558"/>
                                </a:lnTo>
                              </a:path>
                              <a:path w="3939540" h="1818005">
                                <a:moveTo>
                                  <a:pt x="600600" y="1051372"/>
                                </a:moveTo>
                                <a:lnTo>
                                  <a:pt x="600600" y="1817558"/>
                                </a:lnTo>
                              </a:path>
                              <a:path w="3939540" h="1818005">
                                <a:moveTo>
                                  <a:pt x="667332" y="1392227"/>
                                </a:moveTo>
                                <a:lnTo>
                                  <a:pt x="667332" y="1817558"/>
                                </a:lnTo>
                              </a:path>
                              <a:path w="3939540" h="1818005">
                                <a:moveTo>
                                  <a:pt x="733731" y="1434599"/>
                                </a:moveTo>
                                <a:lnTo>
                                  <a:pt x="733731" y="1817558"/>
                                </a:lnTo>
                              </a:path>
                              <a:path w="3939540" h="1818005">
                                <a:moveTo>
                                  <a:pt x="801489" y="1508225"/>
                                </a:moveTo>
                                <a:lnTo>
                                  <a:pt x="801489" y="1817558"/>
                                </a:lnTo>
                              </a:path>
                              <a:path w="3939540" h="1818005">
                                <a:moveTo>
                                  <a:pt x="867888" y="1521209"/>
                                </a:moveTo>
                                <a:lnTo>
                                  <a:pt x="867888" y="1817558"/>
                                </a:lnTo>
                              </a:path>
                              <a:path w="3939540" h="1818005">
                                <a:moveTo>
                                  <a:pt x="934218" y="1271468"/>
                                </a:moveTo>
                                <a:lnTo>
                                  <a:pt x="934218" y="1817558"/>
                                </a:lnTo>
                              </a:path>
                              <a:path w="3939540" h="1818005">
                                <a:moveTo>
                                  <a:pt x="1000686" y="1178511"/>
                                </a:moveTo>
                                <a:lnTo>
                                  <a:pt x="1000686" y="1817558"/>
                                </a:lnTo>
                              </a:path>
                              <a:path w="3939540" h="1818005">
                                <a:moveTo>
                                  <a:pt x="1068403" y="1334233"/>
                                </a:moveTo>
                                <a:lnTo>
                                  <a:pt x="1068403" y="1817558"/>
                                </a:lnTo>
                              </a:path>
                              <a:path w="3939540" h="1818005">
                                <a:moveTo>
                                  <a:pt x="1134871" y="1324165"/>
                                </a:moveTo>
                                <a:lnTo>
                                  <a:pt x="1134871" y="1817558"/>
                                </a:lnTo>
                              </a:path>
                              <a:path w="3939540" h="1818005">
                                <a:moveTo>
                                  <a:pt x="1201617" y="1208960"/>
                                </a:moveTo>
                                <a:lnTo>
                                  <a:pt x="1201617" y="1817558"/>
                                </a:lnTo>
                              </a:path>
                              <a:path w="3939540" h="1818005">
                                <a:moveTo>
                                  <a:pt x="1267946" y="1284441"/>
                                </a:moveTo>
                                <a:lnTo>
                                  <a:pt x="1267946" y="1817558"/>
                                </a:lnTo>
                              </a:path>
                              <a:path w="3939540" h="1818005">
                                <a:moveTo>
                                  <a:pt x="1335663" y="1378460"/>
                                </a:moveTo>
                                <a:lnTo>
                                  <a:pt x="1335663" y="1817558"/>
                                </a:lnTo>
                              </a:path>
                              <a:path w="3939540" h="1818005">
                                <a:moveTo>
                                  <a:pt x="1402131" y="1417123"/>
                                </a:moveTo>
                                <a:lnTo>
                                  <a:pt x="1402131" y="1817558"/>
                                </a:lnTo>
                              </a:path>
                              <a:path w="3939540" h="1818005">
                                <a:moveTo>
                                  <a:pt x="1468461" y="1373689"/>
                                </a:moveTo>
                                <a:lnTo>
                                  <a:pt x="1468461" y="1817558"/>
                                </a:lnTo>
                              </a:path>
                              <a:path w="3939540" h="1818005">
                                <a:moveTo>
                                  <a:pt x="1535206" y="1330523"/>
                                </a:moveTo>
                                <a:lnTo>
                                  <a:pt x="1535206" y="1817558"/>
                                </a:lnTo>
                              </a:path>
                              <a:path w="3939540" h="1818005">
                                <a:moveTo>
                                  <a:pt x="1602646" y="1326814"/>
                                </a:moveTo>
                                <a:lnTo>
                                  <a:pt x="1602646" y="1817558"/>
                                </a:lnTo>
                              </a:path>
                              <a:path w="3939540" h="1818005">
                                <a:moveTo>
                                  <a:pt x="1669392" y="1315695"/>
                                </a:moveTo>
                                <a:lnTo>
                                  <a:pt x="1669392" y="1817558"/>
                                </a:lnTo>
                              </a:path>
                              <a:path w="3939540" h="1818005">
                                <a:moveTo>
                                  <a:pt x="1735721" y="1317550"/>
                                </a:moveTo>
                                <a:lnTo>
                                  <a:pt x="1735721" y="1817558"/>
                                </a:lnTo>
                              </a:path>
                              <a:path w="3939540" h="1818005">
                                <a:moveTo>
                                  <a:pt x="1802189" y="1303773"/>
                                </a:moveTo>
                                <a:lnTo>
                                  <a:pt x="1802189" y="1817558"/>
                                </a:lnTo>
                              </a:path>
                              <a:path w="3939540" h="1818005">
                                <a:moveTo>
                                  <a:pt x="1869906" y="1145402"/>
                                </a:moveTo>
                                <a:lnTo>
                                  <a:pt x="1869906" y="1817558"/>
                                </a:lnTo>
                              </a:path>
                              <a:path w="3939540" h="1818005">
                                <a:moveTo>
                                  <a:pt x="1936375" y="1091107"/>
                                </a:moveTo>
                                <a:lnTo>
                                  <a:pt x="1936375" y="1817558"/>
                                </a:lnTo>
                              </a:path>
                              <a:path w="3939540" h="1818005">
                                <a:moveTo>
                                  <a:pt x="2002704" y="894835"/>
                                </a:moveTo>
                                <a:lnTo>
                                  <a:pt x="2002704" y="1817558"/>
                                </a:lnTo>
                              </a:path>
                              <a:path w="3939540" h="1818005">
                                <a:moveTo>
                                  <a:pt x="2069450" y="983289"/>
                                </a:moveTo>
                                <a:lnTo>
                                  <a:pt x="2069450" y="1817558"/>
                                </a:lnTo>
                              </a:path>
                              <a:path w="3939540" h="1818005">
                                <a:moveTo>
                                  <a:pt x="2137167" y="903305"/>
                                </a:moveTo>
                                <a:lnTo>
                                  <a:pt x="2137167" y="1817558"/>
                                </a:lnTo>
                              </a:path>
                              <a:path w="3939540" h="1818005">
                                <a:moveTo>
                                  <a:pt x="2203635" y="606742"/>
                                </a:moveTo>
                                <a:lnTo>
                                  <a:pt x="2203635" y="1817558"/>
                                </a:lnTo>
                              </a:path>
                              <a:path w="3939540" h="1818005">
                                <a:moveTo>
                                  <a:pt x="2269964" y="446452"/>
                                </a:moveTo>
                                <a:lnTo>
                                  <a:pt x="2269964" y="1817558"/>
                                </a:lnTo>
                              </a:path>
                              <a:path w="3939540" h="1818005">
                                <a:moveTo>
                                  <a:pt x="2336433" y="475079"/>
                                </a:moveTo>
                                <a:lnTo>
                                  <a:pt x="2336433" y="1817558"/>
                                </a:lnTo>
                              </a:path>
                              <a:path w="3939540" h="1818005">
                                <a:moveTo>
                                  <a:pt x="2404150" y="687799"/>
                                </a:moveTo>
                                <a:lnTo>
                                  <a:pt x="2404150" y="1817558"/>
                                </a:lnTo>
                              </a:path>
                              <a:path w="3939540" h="1818005">
                                <a:moveTo>
                                  <a:pt x="2470479" y="801127"/>
                                </a:moveTo>
                                <a:lnTo>
                                  <a:pt x="2470479" y="1817558"/>
                                </a:lnTo>
                              </a:path>
                              <a:path w="3939540" h="1818005">
                                <a:moveTo>
                                  <a:pt x="2537225" y="684046"/>
                                </a:moveTo>
                                <a:lnTo>
                                  <a:pt x="2537225" y="1817558"/>
                                </a:lnTo>
                              </a:path>
                              <a:path w="3939540" h="1818005">
                                <a:moveTo>
                                  <a:pt x="2603693" y="973211"/>
                                </a:moveTo>
                                <a:lnTo>
                                  <a:pt x="2603693" y="1817558"/>
                                </a:lnTo>
                              </a:path>
                              <a:path w="3939540" h="1818005">
                                <a:moveTo>
                                  <a:pt x="2671410" y="1010094"/>
                                </a:moveTo>
                                <a:lnTo>
                                  <a:pt x="2671410" y="1817558"/>
                                </a:lnTo>
                              </a:path>
                              <a:path w="3939540" h="1818005">
                                <a:moveTo>
                                  <a:pt x="2737739" y="929788"/>
                                </a:moveTo>
                                <a:lnTo>
                                  <a:pt x="2737739" y="1817558"/>
                                </a:lnTo>
                              </a:path>
                              <a:path w="3939540" h="1818005">
                                <a:moveTo>
                                  <a:pt x="2804208" y="858060"/>
                                </a:moveTo>
                                <a:lnTo>
                                  <a:pt x="2804208" y="1817558"/>
                                </a:lnTo>
                              </a:path>
                              <a:path w="3939540" h="1818005">
                                <a:moveTo>
                                  <a:pt x="2870953" y="720821"/>
                                </a:moveTo>
                                <a:lnTo>
                                  <a:pt x="2870953" y="1817558"/>
                                </a:lnTo>
                              </a:path>
                              <a:path w="3939540" h="1818005">
                                <a:moveTo>
                                  <a:pt x="2938393" y="649093"/>
                                </a:moveTo>
                                <a:lnTo>
                                  <a:pt x="2938393" y="1817558"/>
                                </a:lnTo>
                              </a:path>
                              <a:path w="3939540" h="1818005">
                                <a:moveTo>
                                  <a:pt x="3005139" y="391128"/>
                                </a:moveTo>
                                <a:lnTo>
                                  <a:pt x="3005139" y="1817558"/>
                                </a:lnTo>
                              </a:path>
                              <a:path w="3939540" h="1818005">
                                <a:moveTo>
                                  <a:pt x="3071468" y="474007"/>
                                </a:moveTo>
                                <a:lnTo>
                                  <a:pt x="3071468" y="1817558"/>
                                </a:lnTo>
                              </a:path>
                              <a:path w="3939540" h="1818005">
                                <a:moveTo>
                                  <a:pt x="3137797" y="543162"/>
                                </a:moveTo>
                                <a:lnTo>
                                  <a:pt x="3137797" y="1817558"/>
                                </a:lnTo>
                              </a:path>
                              <a:path w="3939540" h="1818005">
                                <a:moveTo>
                                  <a:pt x="3205653" y="477760"/>
                                </a:moveTo>
                                <a:lnTo>
                                  <a:pt x="3205653" y="1817558"/>
                                </a:lnTo>
                              </a:path>
                              <a:path w="3939540" h="1818005">
                                <a:moveTo>
                                  <a:pt x="3271983" y="441949"/>
                                </a:moveTo>
                                <a:lnTo>
                                  <a:pt x="3271983" y="1817558"/>
                                </a:lnTo>
                              </a:path>
                              <a:path w="3939540" h="1818005">
                                <a:moveTo>
                                  <a:pt x="3338451" y="417075"/>
                                </a:moveTo>
                                <a:lnTo>
                                  <a:pt x="3338451" y="1817558"/>
                                </a:lnTo>
                              </a:path>
                              <a:path w="3939540" h="1818005">
                                <a:moveTo>
                                  <a:pt x="3405197" y="152784"/>
                                </a:moveTo>
                                <a:lnTo>
                                  <a:pt x="3405197" y="1817558"/>
                                </a:lnTo>
                              </a:path>
                              <a:path w="3939540" h="1818005">
                                <a:moveTo>
                                  <a:pt x="3472914" y="163613"/>
                                </a:moveTo>
                                <a:lnTo>
                                  <a:pt x="3472914" y="1817558"/>
                                </a:lnTo>
                              </a:path>
                              <a:path w="3939540" h="1818005">
                                <a:moveTo>
                                  <a:pt x="3539243" y="0"/>
                                </a:moveTo>
                                <a:lnTo>
                                  <a:pt x="3539243" y="1817558"/>
                                </a:lnTo>
                              </a:path>
                              <a:path w="3939540" h="1818005">
                                <a:moveTo>
                                  <a:pt x="3605711" y="45031"/>
                                </a:moveTo>
                                <a:lnTo>
                                  <a:pt x="3605711" y="1817558"/>
                                </a:lnTo>
                              </a:path>
                              <a:path w="3939540" h="1818005">
                                <a:moveTo>
                                  <a:pt x="3672041" y="357248"/>
                                </a:moveTo>
                                <a:lnTo>
                                  <a:pt x="3672041" y="1817558"/>
                                </a:lnTo>
                              </a:path>
                              <a:path w="3939540" h="1818005">
                                <a:moveTo>
                                  <a:pt x="3739897" y="657349"/>
                                </a:moveTo>
                                <a:lnTo>
                                  <a:pt x="3739897" y="1817558"/>
                                </a:lnTo>
                              </a:path>
                              <a:path w="3939540" h="1818005">
                                <a:moveTo>
                                  <a:pt x="3806226" y="524614"/>
                                </a:moveTo>
                                <a:lnTo>
                                  <a:pt x="3806226" y="1817558"/>
                                </a:lnTo>
                              </a:path>
                              <a:path w="3939540" h="1818005">
                                <a:moveTo>
                                  <a:pt x="3872972" y="344274"/>
                                </a:moveTo>
                                <a:lnTo>
                                  <a:pt x="3872972" y="1817558"/>
                                </a:lnTo>
                              </a:path>
                              <a:path w="3939540" h="1818005">
                                <a:moveTo>
                                  <a:pt x="3939301" y="203391"/>
                                </a:moveTo>
                                <a:lnTo>
                                  <a:pt x="3939301" y="1817558"/>
                                </a:lnTo>
                              </a:path>
                            </a:pathLst>
                          </a:custGeom>
                          <a:ln w="7279">
                            <a:solidFill>
                              <a:srgbClr val="0000FF"/>
                            </a:solidFill>
                            <a:prstDash val="solid"/>
                          </a:ln>
                        </wps:spPr>
                        <wps:bodyPr wrap="square" lIns="0" tIns="0" rIns="0" bIns="0" rtlCol="0">
                          <a:prstTxWarp prst="textNoShape">
                            <a:avLst/>
                          </a:prstTxWarp>
                          <a:noAutofit/>
                        </wps:bodyPr>
                      </wps:wsp>
                      <wps:wsp>
                        <wps:cNvPr id="29" name="Graphic 29"/>
                        <wps:cNvSpPr/>
                        <wps:spPr>
                          <a:xfrm>
                            <a:off x="50995" y="2247"/>
                            <a:ext cx="4010025" cy="1866900"/>
                          </a:xfrm>
                          <a:custGeom>
                            <a:avLst/>
                            <a:gdLst/>
                            <a:ahLst/>
                            <a:cxnLst/>
                            <a:rect l="l" t="t" r="r" b="b"/>
                            <a:pathLst>
                              <a:path w="4010025" h="1866900">
                                <a:moveTo>
                                  <a:pt x="0" y="0"/>
                                </a:moveTo>
                                <a:lnTo>
                                  <a:pt x="0" y="1866556"/>
                                </a:lnTo>
                              </a:path>
                              <a:path w="4010025" h="1866900">
                                <a:moveTo>
                                  <a:pt x="0" y="1866556"/>
                                </a:moveTo>
                                <a:lnTo>
                                  <a:pt x="4009530" y="1866556"/>
                                </a:lnTo>
                              </a:path>
                              <a:path w="4010025" h="1866900">
                                <a:moveTo>
                                  <a:pt x="4009530" y="1866556"/>
                                </a:moveTo>
                                <a:lnTo>
                                  <a:pt x="4009530" y="0"/>
                                </a:lnTo>
                              </a:path>
                              <a:path w="4010025" h="1866900">
                                <a:moveTo>
                                  <a:pt x="4009530" y="0"/>
                                </a:moveTo>
                                <a:lnTo>
                                  <a:pt x="0" y="0"/>
                                </a:lnTo>
                              </a:path>
                            </a:pathLst>
                          </a:custGeom>
                          <a:ln w="515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943527pt;margin-top:5.487818pt;width:320pt;height:150.6pt;mso-position-horizontal-relative:page;mso-position-vertical-relative:paragraph;z-index:15734272" id="docshapegroup21" coordorigin="3479,110" coordsize="6400,3012">
                <v:shape style="position:absolute;left:3559;top:113;width:6315;height:2940" id="docshape22" coordorigin="3559,113" coordsize="6315,2940" path="m3559,113l3559,3053m3559,3053l9873,3053m9873,3053l9873,113m9873,113l3559,113e" filled="false" stroked="true" strokeweight=".406025pt" strokecolor="#000000">
                  <v:path arrowok="t"/>
                  <v:stroke dashstyle="solid"/>
                </v:shape>
                <v:shape style="position:absolute;left:3478;top:117;width:6393;height:3004" id="docshape23" coordorigin="3479,118" coordsize="6393,3004" path="m3552,3050l3479,3050m3552,2631l3479,2631m3552,2212l3479,2212m3552,1793l3479,1793m3552,1374l3479,1374m3552,954l3479,954m3552,535l3479,535m3552,118l3479,118m3561,3059l3561,3091m3666,3059l3666,3091m3770,3059l3770,3091m3875,3059l3875,3091m3982,3059l3982,3091m4086,3059l4086,3091m4191,3059l4191,3091m4296,3059l4296,3091m4403,3059l4403,3091m4507,3059l4507,3091m4612,3059l4612,3091m4717,3059l4717,3091m4823,3059l4823,3091m4928,3059l4928,3091m5033,3059l5033,3091m5137,3059l5137,3091m5244,3059l5244,3091m5348,3059l5348,3091m5453,3059l5453,3091m5558,3059l5558,3091m5665,3059l5665,3091m5769,3059l5769,3091m5874,3059l5874,3091m5978,3059l5978,3091m6085,3059l6085,3091m6190,3059l6190,3091m6295,3059l6295,3091m6399,3059l6399,3091m6506,3059l6506,3091m6611,3059l6611,3091m6715,3059l6715,3091m6820,3059l6820,3091m6927,3059l6927,3091m7031,3059l7031,3091m7136,3059l7136,3091m7241,3059l7241,3091m7347,3059l7347,3091m7452,3059l7452,3091m7557,3059l7557,3091m7661,3059l7661,3091m7768,3059l7768,3091m7873,3059l7873,3091m7977,3059l7977,3091m8082,3059l8082,3091m8189,3059l8189,3091m8293,3059l8293,3091m8398,3059l8398,3091m8503,3059l8503,3091m8610,3059l8610,3091m8714,3059l8714,3091m8819,3059l8819,3091m8924,3059l8924,3091m9030,3059l9030,3091m9135,3059l9135,3091m9240,3059l9240,3091m9344,3059l9344,3091m9451,3059l9451,3091m9555,3059l9555,3091m9661,3059l9661,3091m9765,3059l9765,3091m9872,3059l9872,3091m3561,3059l3561,3121m3875,3059l3875,3121m4191,3059l4191,3121m4507,3059l4507,3121m4823,3059l4823,3121m5137,3059l5137,3121m5453,3059l5453,3121m5769,3059l5769,3121m6085,3059l6085,3121m6399,3059l6399,3121m6715,3059l6715,3121m7031,3059l7031,3121m7347,3059l7347,3121m7661,3059l7661,3121m7977,3059l7977,3121m8293,3059l8293,3121m8610,3059l8610,3121m8924,3059l8924,3121m9240,3059l9240,3121m9555,3059l9555,3121m9872,3059l9872,3121m3561,3059l3561,3121m4823,3059l4823,3121m6085,3059l6085,3121m7347,3059l7347,3121m8610,3059l8610,3121m9872,3059l9872,3121e" filled="false" stroked="true" strokeweight=".334371pt" strokecolor="#000000">
                  <v:path arrowok="t"/>
                  <v:stroke dashstyle="solid"/>
                </v:shape>
                <v:shape style="position:absolute;left:3613;top:190;width:6204;height:2863" id="docshape24" coordorigin="3614,190" coordsize="6204,2863" path="m3614,2911l3614,3053m3718,2864l3718,3053m3823,1379l3823,3053m3928,675l3928,3053m4034,1681l4034,3053m4139,2425l4139,3053m4244,2021l4244,3053m4348,1871l4348,3053m4455,1742l4455,3053m4559,1846l4559,3053m4665,2383l4665,3053m4769,2450l4769,3053m4876,2566l4876,3053m4980,2586l4980,3053m5085,2193l5085,3053m5189,2046l5189,3053m5296,2292l5296,3053m5401,2276l5401,3053m5506,2094l5506,3053m5610,2213l5610,3053m5717,2361l5717,3053m5822,2422l5822,3053m5926,2354l5926,3053m6031,2286l6031,3053m6137,2280l6137,3053m6243,2262l6243,3053m6347,2265l6347,3053m6452,2244l6452,3053m6558,1994l6558,3053m6663,1909l6663,3053m6767,1600l6767,3053m6873,1739l6873,3053m6979,1613l6979,3053m7084,1146l7084,3053m7188,894l7188,3053m7293,939l7293,3053m7400,1274l7400,3053m7504,1452l7504,3053m7609,1268l7609,3053m7714,1723l7714,3053m7821,1781l7821,3053m7925,1655l7925,3053m8030,1542l8030,3053m8135,1326l8135,3053m8241,1213l8241,3053m8346,806l8346,3053m8451,937l8451,3053m8555,1046l8555,3053m8662,943l8662,3053m8766,886l8766,3053m8871,847l8871,3053m8976,431l8976,3053m9083,448l9083,3053m9187,190l9187,3053m9292,261l9292,3053m9396,753l9396,3053m9503,1226l9503,3053m9608,1017l9608,3053m9713,733l9713,3053m9817,511l9817,3053e" filled="false" stroked="true" strokeweight=".573205pt" strokecolor="#0000ff">
                  <v:path arrowok="t"/>
                  <v:stroke dashstyle="solid"/>
                </v:shape>
                <v:shape style="position:absolute;left:3559;top:113;width:6315;height:2940" id="docshape25" coordorigin="3559,113" coordsize="6315,2940" path="m3559,113l3559,3053m3559,3053l9873,3053m9873,3053l9873,113m9873,113l3559,113e" filled="false" stroked="true" strokeweight=".406025pt" strokecolor="#000000">
                  <v:path arrowok="t"/>
                  <v:stroke dashstyle="solid"/>
                </v:shape>
                <w10:wrap type="none"/>
              </v:group>
            </w:pict>
          </mc:Fallback>
        </mc:AlternateContent>
      </w:r>
      <w:r>
        <w:rPr>
          <w:rFonts w:ascii="Arial MT"/>
          <w:spacing w:val="-2"/>
          <w:w w:val="135"/>
          <w:sz w:val="13"/>
        </w:rPr>
        <w:t>16,400</w:t>
      </w:r>
    </w:p>
    <w:p>
      <w:pPr>
        <w:pStyle w:val="BodyText"/>
        <w:spacing w:before="119"/>
        <w:rPr>
          <w:rFonts w:ascii="Arial MT"/>
          <w:sz w:val="13"/>
        </w:rPr>
      </w:pPr>
    </w:p>
    <w:p>
      <w:pPr>
        <w:spacing w:before="0"/>
        <w:ind w:left="1461" w:right="0" w:firstLine="0"/>
        <w:jc w:val="left"/>
        <w:rPr>
          <w:rFonts w:ascii="Arial MT"/>
          <w:sz w:val="13"/>
        </w:rPr>
      </w:pPr>
      <w:r>
        <w:rPr>
          <w:rFonts w:ascii="Arial MT"/>
          <w:spacing w:val="-2"/>
          <w:w w:val="135"/>
          <w:sz w:val="13"/>
        </w:rPr>
        <w:t>16,000</w:t>
      </w:r>
    </w:p>
    <w:p>
      <w:pPr>
        <w:pStyle w:val="BodyText"/>
        <w:spacing w:before="120"/>
        <w:rPr>
          <w:rFonts w:ascii="Arial MT"/>
          <w:sz w:val="13"/>
        </w:rPr>
      </w:pPr>
    </w:p>
    <w:p>
      <w:pPr>
        <w:spacing w:before="0"/>
        <w:ind w:left="1461" w:right="0" w:firstLine="0"/>
        <w:jc w:val="left"/>
        <w:rPr>
          <w:rFonts w:ascii="Arial MT"/>
          <w:sz w:val="13"/>
        </w:rPr>
      </w:pPr>
      <w:r>
        <w:rPr>
          <w:rFonts w:ascii="Arial MT"/>
          <w:spacing w:val="-2"/>
          <w:w w:val="135"/>
          <w:sz w:val="13"/>
        </w:rPr>
        <w:t>15,600</w:t>
      </w:r>
    </w:p>
    <w:p>
      <w:pPr>
        <w:pStyle w:val="BodyText"/>
        <w:spacing w:before="120"/>
        <w:rPr>
          <w:rFonts w:ascii="Arial MT"/>
          <w:sz w:val="13"/>
        </w:rPr>
      </w:pPr>
    </w:p>
    <w:p>
      <w:pPr>
        <w:spacing w:before="0"/>
        <w:ind w:left="1461" w:right="0" w:firstLine="0"/>
        <w:jc w:val="left"/>
        <w:rPr>
          <w:rFonts w:ascii="Arial MT"/>
          <w:sz w:val="13"/>
        </w:rPr>
      </w:pPr>
      <w:r>
        <w:rPr>
          <w:rFonts w:ascii="Arial MT"/>
          <w:spacing w:val="-2"/>
          <w:w w:val="135"/>
          <w:sz w:val="13"/>
        </w:rPr>
        <w:t>15,200</w:t>
      </w:r>
    </w:p>
    <w:p>
      <w:pPr>
        <w:pStyle w:val="BodyText"/>
        <w:spacing w:before="120"/>
        <w:rPr>
          <w:rFonts w:ascii="Arial MT"/>
          <w:sz w:val="13"/>
        </w:rPr>
      </w:pPr>
    </w:p>
    <w:p>
      <w:pPr>
        <w:spacing w:before="0"/>
        <w:ind w:left="1461" w:right="0" w:firstLine="0"/>
        <w:jc w:val="left"/>
        <w:rPr>
          <w:rFonts w:ascii="Arial MT"/>
          <w:sz w:val="13"/>
        </w:rPr>
      </w:pPr>
      <w:r>
        <w:rPr>
          <w:rFonts w:ascii="Arial MT"/>
          <w:spacing w:val="-2"/>
          <w:w w:val="135"/>
          <w:sz w:val="13"/>
        </w:rPr>
        <w:t>14,800</w:t>
      </w:r>
    </w:p>
    <w:p>
      <w:pPr>
        <w:pStyle w:val="BodyText"/>
        <w:spacing w:before="120"/>
        <w:rPr>
          <w:rFonts w:ascii="Arial MT"/>
          <w:sz w:val="13"/>
        </w:rPr>
      </w:pPr>
    </w:p>
    <w:p>
      <w:pPr>
        <w:spacing w:before="0"/>
        <w:ind w:left="1461" w:right="0" w:firstLine="0"/>
        <w:jc w:val="left"/>
        <w:rPr>
          <w:rFonts w:ascii="Arial MT"/>
          <w:sz w:val="13"/>
        </w:rPr>
      </w:pPr>
      <w:r>
        <w:rPr>
          <w:rFonts w:ascii="Arial MT"/>
          <w:spacing w:val="-2"/>
          <w:w w:val="135"/>
          <w:sz w:val="13"/>
        </w:rPr>
        <w:t>14,400</w:t>
      </w:r>
    </w:p>
    <w:p>
      <w:pPr>
        <w:pStyle w:val="BodyText"/>
        <w:spacing w:before="120"/>
        <w:rPr>
          <w:rFonts w:ascii="Arial MT"/>
          <w:sz w:val="13"/>
        </w:rPr>
      </w:pPr>
    </w:p>
    <w:p>
      <w:pPr>
        <w:spacing w:before="0"/>
        <w:ind w:left="1461" w:right="0" w:firstLine="0"/>
        <w:jc w:val="left"/>
        <w:rPr>
          <w:rFonts w:ascii="Arial MT"/>
          <w:sz w:val="13"/>
        </w:rPr>
      </w:pPr>
      <w:r>
        <w:rPr>
          <w:rFonts w:ascii="Arial MT"/>
          <w:spacing w:val="-2"/>
          <w:w w:val="135"/>
          <w:sz w:val="13"/>
        </w:rPr>
        <w:t>14,000</w:t>
      </w:r>
    </w:p>
    <w:p>
      <w:pPr>
        <w:pStyle w:val="BodyText"/>
        <w:spacing w:before="8"/>
        <w:rPr>
          <w:rFonts w:ascii="Arial MT"/>
          <w:sz w:val="14"/>
        </w:rPr>
      </w:pPr>
    </w:p>
    <w:p>
      <w:pPr>
        <w:pStyle w:val="BodyText"/>
        <w:spacing w:after="0"/>
        <w:rPr>
          <w:rFonts w:ascii="Arial MT"/>
          <w:sz w:val="14"/>
        </w:rPr>
        <w:sectPr>
          <w:pgSz w:w="11910" w:h="16840"/>
          <w:pgMar w:header="0" w:footer="1000" w:top="1360" w:bottom="1200" w:left="1417" w:right="1275"/>
        </w:sectPr>
      </w:pPr>
    </w:p>
    <w:p>
      <w:pPr>
        <w:spacing w:before="101"/>
        <w:ind w:left="0" w:right="0" w:firstLine="0"/>
        <w:jc w:val="right"/>
        <w:rPr>
          <w:rFonts w:ascii="Arial MT"/>
          <w:sz w:val="13"/>
        </w:rPr>
      </w:pPr>
      <w:r>
        <w:rPr>
          <w:rFonts w:ascii="Arial MT"/>
          <w:spacing w:val="-2"/>
          <w:w w:val="135"/>
          <w:sz w:val="13"/>
        </w:rPr>
        <w:t>13,600</w:t>
      </w:r>
    </w:p>
    <w:p>
      <w:pPr>
        <w:tabs>
          <w:tab w:pos="526" w:val="left" w:leader="none"/>
          <w:tab w:pos="820" w:val="left" w:leader="none"/>
          <w:tab w:pos="1493" w:val="left" w:leader="none"/>
          <w:tab w:pos="1789" w:val="left" w:leader="none"/>
          <w:tab w:pos="2082" w:val="left" w:leader="none"/>
          <w:tab w:pos="2755" w:val="left" w:leader="none"/>
          <w:tab w:pos="3051" w:val="left" w:leader="none"/>
          <w:tab w:pos="3344" w:val="left" w:leader="none"/>
          <w:tab w:pos="4017" w:val="left" w:leader="none"/>
          <w:tab w:pos="4312" w:val="left" w:leader="none"/>
          <w:tab w:pos="4606" w:val="left" w:leader="none"/>
          <w:tab w:pos="5279" w:val="left" w:leader="none"/>
          <w:tab w:pos="5575" w:val="left" w:leader="none"/>
          <w:tab w:pos="5868" w:val="left" w:leader="none"/>
          <w:tab w:pos="5972" w:val="right" w:leader="none"/>
        </w:tabs>
        <w:spacing w:line="424" w:lineRule="auto" w:before="294"/>
        <w:ind w:left="530" w:right="844" w:hanging="300"/>
        <w:jc w:val="left"/>
        <w:rPr>
          <w:rFonts w:ascii="Arial MT"/>
          <w:sz w:val="13"/>
        </w:rPr>
      </w:pPr>
      <w:r>
        <w:rPr/>
        <w:br w:type="column"/>
      </w:r>
      <w:r>
        <w:rPr>
          <w:rFonts w:ascii="Arial MT"/>
          <w:spacing w:val="-10"/>
          <w:w w:val="135"/>
          <w:sz w:val="13"/>
        </w:rPr>
        <w:t>I</w:t>
      </w:r>
      <w:r>
        <w:rPr>
          <w:rFonts w:ascii="Arial MT"/>
          <w:sz w:val="13"/>
        </w:rPr>
        <w:tab/>
      </w:r>
      <w:r>
        <w:rPr>
          <w:rFonts w:ascii="Arial MT"/>
          <w:spacing w:val="-6"/>
          <w:w w:val="135"/>
          <w:sz w:val="13"/>
        </w:rPr>
        <w:t>II</w:t>
      </w:r>
      <w:r>
        <w:rPr>
          <w:rFonts w:ascii="Arial MT"/>
          <w:sz w:val="13"/>
        </w:rPr>
        <w:tab/>
      </w:r>
      <w:r>
        <w:rPr>
          <w:rFonts w:ascii="Arial MT"/>
          <w:w w:val="135"/>
          <w:sz w:val="13"/>
        </w:rPr>
        <w:t>III</w:t>
      </w:r>
      <w:r>
        <w:rPr>
          <w:rFonts w:ascii="Arial MT"/>
          <w:spacing w:val="80"/>
          <w:w w:val="135"/>
          <w:sz w:val="13"/>
        </w:rPr>
        <w:t> </w:t>
      </w:r>
      <w:r>
        <w:rPr>
          <w:rFonts w:ascii="Arial MT"/>
          <w:w w:val="135"/>
          <w:sz w:val="13"/>
        </w:rPr>
        <w:t>IV</w:t>
      </w:r>
      <w:r>
        <w:rPr>
          <w:rFonts w:ascii="Arial MT"/>
          <w:sz w:val="13"/>
        </w:rPr>
        <w:tab/>
      </w:r>
      <w:r>
        <w:rPr>
          <w:rFonts w:ascii="Arial MT"/>
          <w:spacing w:val="-10"/>
          <w:w w:val="135"/>
          <w:sz w:val="13"/>
        </w:rPr>
        <w:t>I</w:t>
      </w:r>
      <w:r>
        <w:rPr>
          <w:rFonts w:ascii="Arial MT"/>
          <w:sz w:val="13"/>
        </w:rPr>
        <w:tab/>
      </w:r>
      <w:r>
        <w:rPr>
          <w:rFonts w:ascii="Arial MT"/>
          <w:spacing w:val="-6"/>
          <w:w w:val="135"/>
          <w:sz w:val="13"/>
        </w:rPr>
        <w:t>II</w:t>
      </w:r>
      <w:r>
        <w:rPr>
          <w:rFonts w:ascii="Arial MT"/>
          <w:sz w:val="13"/>
        </w:rPr>
        <w:tab/>
      </w:r>
      <w:r>
        <w:rPr>
          <w:rFonts w:ascii="Arial MT"/>
          <w:w w:val="135"/>
          <w:sz w:val="13"/>
        </w:rPr>
        <w:t>III</w:t>
      </w:r>
      <w:r>
        <w:rPr>
          <w:rFonts w:ascii="Arial MT"/>
          <w:spacing w:val="80"/>
          <w:w w:val="135"/>
          <w:sz w:val="13"/>
        </w:rPr>
        <w:t> </w:t>
      </w:r>
      <w:r>
        <w:rPr>
          <w:rFonts w:ascii="Arial MT"/>
          <w:w w:val="135"/>
          <w:sz w:val="13"/>
        </w:rPr>
        <w:t>IV</w:t>
      </w:r>
      <w:r>
        <w:rPr>
          <w:rFonts w:ascii="Arial MT"/>
          <w:sz w:val="13"/>
        </w:rPr>
        <w:tab/>
      </w:r>
      <w:r>
        <w:rPr>
          <w:rFonts w:ascii="Arial MT"/>
          <w:spacing w:val="-10"/>
          <w:w w:val="135"/>
          <w:sz w:val="13"/>
        </w:rPr>
        <w:t>I</w:t>
      </w:r>
      <w:r>
        <w:rPr>
          <w:rFonts w:ascii="Arial MT"/>
          <w:sz w:val="13"/>
        </w:rPr>
        <w:tab/>
      </w:r>
      <w:r>
        <w:rPr>
          <w:rFonts w:ascii="Arial MT"/>
          <w:spacing w:val="-6"/>
          <w:w w:val="135"/>
          <w:sz w:val="13"/>
        </w:rPr>
        <w:t>II</w:t>
      </w:r>
      <w:r>
        <w:rPr>
          <w:rFonts w:ascii="Arial MT"/>
          <w:sz w:val="13"/>
        </w:rPr>
        <w:tab/>
      </w:r>
      <w:r>
        <w:rPr>
          <w:rFonts w:ascii="Arial MT"/>
          <w:w w:val="135"/>
          <w:sz w:val="13"/>
        </w:rPr>
        <w:t>III</w:t>
      </w:r>
      <w:r>
        <w:rPr>
          <w:rFonts w:ascii="Arial MT"/>
          <w:spacing w:val="80"/>
          <w:w w:val="135"/>
          <w:sz w:val="13"/>
        </w:rPr>
        <w:t> </w:t>
      </w:r>
      <w:r>
        <w:rPr>
          <w:rFonts w:ascii="Arial MT"/>
          <w:w w:val="135"/>
          <w:sz w:val="13"/>
        </w:rPr>
        <w:t>IV</w:t>
      </w:r>
      <w:r>
        <w:rPr>
          <w:rFonts w:ascii="Arial MT"/>
          <w:sz w:val="13"/>
        </w:rPr>
        <w:tab/>
      </w:r>
      <w:r>
        <w:rPr>
          <w:rFonts w:ascii="Arial MT"/>
          <w:spacing w:val="-10"/>
          <w:w w:val="135"/>
          <w:sz w:val="13"/>
        </w:rPr>
        <w:t>I</w:t>
      </w:r>
      <w:r>
        <w:rPr>
          <w:rFonts w:ascii="Arial MT"/>
          <w:sz w:val="13"/>
        </w:rPr>
        <w:tab/>
      </w:r>
      <w:r>
        <w:rPr>
          <w:rFonts w:ascii="Arial MT"/>
          <w:spacing w:val="-6"/>
          <w:w w:val="135"/>
          <w:sz w:val="13"/>
        </w:rPr>
        <w:t>II</w:t>
      </w:r>
      <w:r>
        <w:rPr>
          <w:rFonts w:ascii="Arial MT"/>
          <w:sz w:val="13"/>
        </w:rPr>
        <w:tab/>
      </w:r>
      <w:r>
        <w:rPr>
          <w:rFonts w:ascii="Arial MT"/>
          <w:w w:val="135"/>
          <w:sz w:val="13"/>
        </w:rPr>
        <w:t>III</w:t>
      </w:r>
      <w:r>
        <w:rPr>
          <w:rFonts w:ascii="Arial MT"/>
          <w:spacing w:val="80"/>
          <w:w w:val="135"/>
          <w:sz w:val="13"/>
        </w:rPr>
        <w:t> </w:t>
      </w:r>
      <w:r>
        <w:rPr>
          <w:rFonts w:ascii="Arial MT"/>
          <w:w w:val="135"/>
          <w:sz w:val="13"/>
        </w:rPr>
        <w:t>IV</w:t>
      </w:r>
      <w:r>
        <w:rPr>
          <w:rFonts w:ascii="Arial MT"/>
          <w:sz w:val="13"/>
        </w:rPr>
        <w:tab/>
      </w:r>
      <w:r>
        <w:rPr>
          <w:rFonts w:ascii="Arial MT"/>
          <w:spacing w:val="-10"/>
          <w:w w:val="135"/>
          <w:sz w:val="13"/>
        </w:rPr>
        <w:t>I</w:t>
      </w:r>
      <w:r>
        <w:rPr>
          <w:rFonts w:ascii="Arial MT"/>
          <w:sz w:val="13"/>
        </w:rPr>
        <w:tab/>
      </w:r>
      <w:r>
        <w:rPr>
          <w:rFonts w:ascii="Arial MT"/>
          <w:spacing w:val="-6"/>
          <w:w w:val="135"/>
          <w:sz w:val="13"/>
        </w:rPr>
        <w:t>II</w:t>
      </w:r>
      <w:r>
        <w:rPr>
          <w:rFonts w:ascii="Arial MT"/>
          <w:sz w:val="13"/>
        </w:rPr>
        <w:tab/>
      </w:r>
      <w:r>
        <w:rPr>
          <w:rFonts w:ascii="Arial MT"/>
          <w:w w:val="135"/>
          <w:sz w:val="13"/>
        </w:rPr>
        <w:t>III</w:t>
      </w:r>
      <w:r>
        <w:rPr>
          <w:rFonts w:ascii="Arial MT"/>
          <w:spacing w:val="55"/>
          <w:w w:val="135"/>
          <w:sz w:val="13"/>
        </w:rPr>
        <w:t> </w:t>
      </w:r>
      <w:r>
        <w:rPr>
          <w:rFonts w:ascii="Arial MT"/>
          <w:w w:val="135"/>
          <w:sz w:val="13"/>
        </w:rPr>
        <w:t>I</w:t>
      </w:r>
      <w:r>
        <w:rPr>
          <w:rFonts w:ascii="Arial MT"/>
          <w:w w:val="135"/>
          <w:sz w:val="13"/>
        </w:rPr>
        <w:t>V</w:t>
      </w:r>
      <w:r>
        <w:rPr>
          <w:rFonts w:ascii="Arial MT"/>
          <w:w w:val="135"/>
          <w:sz w:val="13"/>
        </w:rPr>
        <w:t> </w:t>
      </w:r>
      <w:r>
        <w:rPr>
          <w:rFonts w:ascii="Arial MT"/>
          <w:spacing w:val="-4"/>
          <w:w w:val="135"/>
          <w:sz w:val="13"/>
        </w:rPr>
        <w:t>2020</w:t>
      </w:r>
      <w:r>
        <w:rPr>
          <w:rFonts w:ascii="Arial MT"/>
          <w:sz w:val="13"/>
        </w:rPr>
        <w:tab/>
        <w:tab/>
      </w:r>
      <w:r>
        <w:rPr>
          <w:rFonts w:ascii="Arial MT"/>
          <w:spacing w:val="-34"/>
          <w:sz w:val="13"/>
        </w:rPr>
        <w:t> </w:t>
      </w:r>
      <w:r>
        <w:rPr>
          <w:rFonts w:ascii="Arial MT"/>
          <w:spacing w:val="-2"/>
          <w:w w:val="135"/>
          <w:sz w:val="13"/>
        </w:rPr>
        <w:t>2021</w:t>
      </w:r>
      <w:r>
        <w:rPr>
          <w:rFonts w:ascii="Arial MT"/>
          <w:sz w:val="13"/>
        </w:rPr>
        <w:tab/>
        <w:tab/>
      </w:r>
      <w:r>
        <w:rPr>
          <w:rFonts w:ascii="Arial MT"/>
          <w:spacing w:val="-34"/>
          <w:sz w:val="13"/>
        </w:rPr>
        <w:t> </w:t>
      </w:r>
      <w:r>
        <w:rPr>
          <w:rFonts w:ascii="Arial MT"/>
          <w:spacing w:val="-2"/>
          <w:w w:val="135"/>
          <w:sz w:val="13"/>
        </w:rPr>
        <w:t>2022</w:t>
      </w:r>
      <w:r>
        <w:rPr>
          <w:rFonts w:ascii="Arial MT"/>
          <w:sz w:val="13"/>
        </w:rPr>
        <w:tab/>
        <w:tab/>
      </w:r>
      <w:r>
        <w:rPr>
          <w:rFonts w:ascii="Arial MT"/>
          <w:spacing w:val="-33"/>
          <w:sz w:val="13"/>
        </w:rPr>
        <w:t> </w:t>
      </w:r>
      <w:r>
        <w:rPr>
          <w:rFonts w:ascii="Arial MT"/>
          <w:spacing w:val="-2"/>
          <w:w w:val="135"/>
          <w:sz w:val="13"/>
        </w:rPr>
        <w:t>2023</w:t>
      </w:r>
      <w:r>
        <w:rPr>
          <w:rFonts w:ascii="Arial MT"/>
          <w:sz w:val="13"/>
        </w:rPr>
        <w:tab/>
        <w:tab/>
        <w:tab/>
        <w:tab/>
      </w:r>
      <w:r>
        <w:rPr>
          <w:rFonts w:ascii="Arial MT"/>
          <w:spacing w:val="-4"/>
          <w:w w:val="135"/>
          <w:sz w:val="13"/>
        </w:rPr>
        <w:t>2024</w:t>
      </w:r>
    </w:p>
    <w:p>
      <w:pPr>
        <w:spacing w:after="0" w:line="424" w:lineRule="auto"/>
        <w:jc w:val="left"/>
        <w:rPr>
          <w:rFonts w:ascii="Arial MT"/>
          <w:sz w:val="13"/>
        </w:rPr>
        <w:sectPr>
          <w:type w:val="continuous"/>
          <w:pgSz w:w="11910" w:h="16840"/>
          <w:pgMar w:header="0" w:footer="1000" w:top="1360" w:bottom="280" w:left="1417" w:right="1275"/>
          <w:cols w:num="2" w:equalWidth="0">
            <w:col w:w="2010" w:space="40"/>
            <w:col w:w="7168"/>
          </w:cols>
        </w:sectPr>
      </w:pPr>
    </w:p>
    <w:p>
      <w:pPr>
        <w:pStyle w:val="BodyText"/>
        <w:spacing w:before="34"/>
        <w:ind w:left="743"/>
      </w:pPr>
      <w:r>
        <w:rPr/>
        <w:t>Sumber:</w:t>
      </w:r>
      <w:r>
        <w:rPr>
          <w:spacing w:val="-4"/>
        </w:rPr>
        <w:t> </w:t>
      </w:r>
      <w:r>
        <w:rPr/>
        <w:t>Data</w:t>
      </w:r>
      <w:r>
        <w:rPr>
          <w:spacing w:val="-1"/>
        </w:rPr>
        <w:t> </w:t>
      </w:r>
      <w:r>
        <w:rPr/>
        <w:t>diolah</w:t>
      </w:r>
      <w:r>
        <w:rPr>
          <w:spacing w:val="-1"/>
        </w:rPr>
        <w:t> </w:t>
      </w:r>
      <w:r>
        <w:rPr>
          <w:spacing w:val="-2"/>
        </w:rPr>
        <w:t>(2025)</w:t>
      </w:r>
    </w:p>
    <w:p>
      <w:pPr>
        <w:pStyle w:val="BodyText"/>
        <w:rPr>
          <w:sz w:val="20"/>
        </w:rPr>
      </w:pPr>
    </w:p>
    <w:p>
      <w:pPr>
        <w:pStyle w:val="BodyText"/>
        <w:spacing w:before="100"/>
        <w:rPr>
          <w:sz w:val="20"/>
        </w:rPr>
      </w:pPr>
      <w:r>
        <w:rPr>
          <w:sz w:val="20"/>
        </w:rPr>
        <mc:AlternateContent>
          <mc:Choice Requires="wps">
            <w:drawing>
              <wp:anchor distT="0" distB="0" distL="0" distR="0" allowOverlap="1" layoutInCell="1" locked="0" behindDoc="1" simplePos="0" relativeHeight="487592960">
                <wp:simplePos x="0" y="0"/>
                <wp:positionH relativeFrom="page">
                  <wp:posOffset>914704</wp:posOffset>
                </wp:positionH>
                <wp:positionV relativeFrom="paragraph">
                  <wp:posOffset>224897</wp:posOffset>
                </wp:positionV>
                <wp:extent cx="1829435" cy="9525"/>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7.708441pt;width:144.020pt;height:.72003pt;mso-position-horizontal-relative:page;mso-position-vertical-relative:paragraph;z-index:-15723520;mso-wrap-distance-left:0;mso-wrap-distance-right:0" id="docshape26" filled="true" fillcolor="#000000" stroked="false">
                <v:fill type="solid"/>
                <w10:wrap type="topAndBottom"/>
              </v:rect>
            </w:pict>
          </mc:Fallback>
        </mc:AlternateContent>
      </w:r>
    </w:p>
    <w:p>
      <w:pPr>
        <w:spacing w:before="101"/>
        <w:ind w:left="743" w:right="0" w:firstLine="0"/>
        <w:jc w:val="both"/>
        <w:rPr>
          <w:sz w:val="20"/>
        </w:rPr>
      </w:pPr>
      <w:bookmarkStart w:name="_bookmark27" w:id="28"/>
      <w:bookmarkEnd w:id="28"/>
      <w:r>
        <w:rPr/>
      </w:r>
      <w:r>
        <w:rPr>
          <w:sz w:val="20"/>
          <w:vertAlign w:val="superscript"/>
        </w:rPr>
        <w:t>15</w:t>
      </w:r>
      <w:r>
        <w:rPr>
          <w:spacing w:val="-4"/>
          <w:sz w:val="20"/>
          <w:vertAlign w:val="baseline"/>
        </w:rPr>
        <w:t> </w:t>
      </w:r>
      <w:r>
        <w:rPr>
          <w:sz w:val="20"/>
          <w:vertAlign w:val="baseline"/>
        </w:rPr>
        <w:t>Fadhel,</w:t>
      </w:r>
      <w:r>
        <w:rPr>
          <w:spacing w:val="-4"/>
          <w:sz w:val="20"/>
          <w:vertAlign w:val="baseline"/>
        </w:rPr>
        <w:t> </w:t>
      </w:r>
      <w:r>
        <w:rPr>
          <w:sz w:val="20"/>
          <w:vertAlign w:val="baseline"/>
        </w:rPr>
        <w:t>Adrianto,</w:t>
      </w:r>
      <w:r>
        <w:rPr>
          <w:spacing w:val="-4"/>
          <w:sz w:val="20"/>
          <w:vertAlign w:val="baseline"/>
        </w:rPr>
        <w:t> </w:t>
      </w:r>
      <w:r>
        <w:rPr>
          <w:sz w:val="20"/>
          <w:vertAlign w:val="baseline"/>
        </w:rPr>
        <w:t>and</w:t>
      </w:r>
      <w:r>
        <w:rPr>
          <w:spacing w:val="-4"/>
          <w:sz w:val="20"/>
          <w:vertAlign w:val="baseline"/>
        </w:rPr>
        <w:t> </w:t>
      </w:r>
      <w:r>
        <w:rPr>
          <w:spacing w:val="-2"/>
          <w:sz w:val="20"/>
          <w:vertAlign w:val="baseline"/>
        </w:rPr>
        <w:t>Alfarisi.</w:t>
      </w:r>
    </w:p>
    <w:p>
      <w:pPr>
        <w:spacing w:before="0"/>
        <w:ind w:left="23" w:right="161" w:firstLine="719"/>
        <w:jc w:val="both"/>
        <w:rPr>
          <w:sz w:val="20"/>
        </w:rPr>
      </w:pPr>
      <w:bookmarkStart w:name="_bookmark28" w:id="29"/>
      <w:bookmarkEnd w:id="29"/>
      <w:r>
        <w:rPr/>
      </w:r>
      <w:r>
        <w:rPr>
          <w:sz w:val="20"/>
          <w:vertAlign w:val="superscript"/>
        </w:rPr>
        <w:t>16</w:t>
      </w:r>
      <w:r>
        <w:rPr>
          <w:sz w:val="20"/>
          <w:vertAlign w:val="baseline"/>
        </w:rPr>
        <w:t> Handy Nugraha, Lukman Hakim, and Dwi Prasetyani, ‘Analisis Pengaruh Indeks Keyakinan Konsumen , Suku Bunga , Dan IHSG Terhadap Industr Reksadana Indonesia’, </w:t>
      </w:r>
      <w:r>
        <w:rPr>
          <w:i/>
          <w:sz w:val="20"/>
          <w:vertAlign w:val="baseline"/>
        </w:rPr>
        <w:t>Prosiding Seminar Nasional Fakultas Ekonomi Untidar</w:t>
      </w:r>
      <w:r>
        <w:rPr>
          <w:sz w:val="20"/>
          <w:vertAlign w:val="baseline"/>
        </w:rPr>
        <w:t>, 2021, 33–40.</w:t>
      </w:r>
    </w:p>
    <w:p>
      <w:pPr>
        <w:spacing w:before="0"/>
        <w:ind w:left="23" w:right="162" w:firstLine="719"/>
        <w:jc w:val="both"/>
        <w:rPr>
          <w:sz w:val="20"/>
        </w:rPr>
      </w:pPr>
      <w:bookmarkStart w:name="_bookmark29" w:id="30"/>
      <w:bookmarkEnd w:id="30"/>
      <w:r>
        <w:rPr/>
      </w:r>
      <w:r>
        <w:rPr>
          <w:sz w:val="20"/>
          <w:vertAlign w:val="superscript"/>
        </w:rPr>
        <w:t>17</w:t>
      </w:r>
      <w:r>
        <w:rPr>
          <w:sz w:val="20"/>
          <w:vertAlign w:val="baseline"/>
        </w:rPr>
        <w:t> Bintang Maharani and Putri Apria Ningsih, ‘Pengaruh Inflasi, Nilai Tukar Dan Domestik Bruto Terhadap Return Saham Syariah Yang Terdaftar Di Indeks Saham Syariah Indonesia (Pada PT. ANTAM Tbk Periode</w:t>
      </w:r>
      <w:r>
        <w:rPr>
          <w:spacing w:val="71"/>
          <w:sz w:val="20"/>
          <w:vertAlign w:val="baseline"/>
        </w:rPr>
        <w:t>    </w:t>
      </w:r>
      <w:r>
        <w:rPr>
          <w:sz w:val="20"/>
          <w:vertAlign w:val="baseline"/>
        </w:rPr>
        <w:t>2019-2023)’,</w:t>
      </w:r>
      <w:r>
        <w:rPr>
          <w:spacing w:val="71"/>
          <w:sz w:val="20"/>
          <w:vertAlign w:val="baseline"/>
        </w:rPr>
        <w:t>    </w:t>
      </w:r>
      <w:r>
        <w:rPr>
          <w:i/>
          <w:sz w:val="20"/>
          <w:vertAlign w:val="baseline"/>
        </w:rPr>
        <w:t>Jurnal</w:t>
      </w:r>
      <w:r>
        <w:rPr>
          <w:i/>
          <w:spacing w:val="72"/>
          <w:sz w:val="20"/>
          <w:vertAlign w:val="baseline"/>
        </w:rPr>
        <w:t>    </w:t>
      </w:r>
      <w:r>
        <w:rPr>
          <w:i/>
          <w:sz w:val="20"/>
          <w:vertAlign w:val="baseline"/>
        </w:rPr>
        <w:t>Studi</w:t>
      </w:r>
      <w:r>
        <w:rPr>
          <w:i/>
          <w:spacing w:val="71"/>
          <w:sz w:val="20"/>
          <w:vertAlign w:val="baseline"/>
        </w:rPr>
        <w:t>    </w:t>
      </w:r>
      <w:r>
        <w:rPr>
          <w:i/>
          <w:sz w:val="20"/>
          <w:vertAlign w:val="baseline"/>
        </w:rPr>
        <w:t>Multidisipliner</w:t>
      </w:r>
      <w:r>
        <w:rPr>
          <w:sz w:val="20"/>
          <w:vertAlign w:val="baseline"/>
        </w:rPr>
        <w:t>,</w:t>
      </w:r>
      <w:r>
        <w:rPr>
          <w:spacing w:val="72"/>
          <w:sz w:val="20"/>
          <w:vertAlign w:val="baseline"/>
        </w:rPr>
        <w:t>    </w:t>
      </w:r>
      <w:r>
        <w:rPr>
          <w:sz w:val="20"/>
          <w:vertAlign w:val="baseline"/>
        </w:rPr>
        <w:t>9.1</w:t>
      </w:r>
      <w:r>
        <w:rPr>
          <w:spacing w:val="71"/>
          <w:sz w:val="20"/>
          <w:vertAlign w:val="baseline"/>
        </w:rPr>
        <w:t>    </w:t>
      </w:r>
      <w:r>
        <w:rPr>
          <w:sz w:val="20"/>
          <w:vertAlign w:val="baseline"/>
        </w:rPr>
        <w:t>(2025),</w:t>
      </w:r>
      <w:r>
        <w:rPr>
          <w:spacing w:val="72"/>
          <w:sz w:val="20"/>
          <w:vertAlign w:val="baseline"/>
        </w:rPr>
        <w:t>    </w:t>
      </w:r>
      <w:r>
        <w:rPr>
          <w:spacing w:val="-2"/>
          <w:sz w:val="20"/>
          <w:vertAlign w:val="baseline"/>
        </w:rPr>
        <w:t>2118–7453</w:t>
      </w:r>
    </w:p>
    <w:p>
      <w:pPr>
        <w:spacing w:before="0"/>
        <w:ind w:left="23" w:right="0" w:firstLine="0"/>
        <w:jc w:val="left"/>
        <w:rPr>
          <w:sz w:val="20"/>
        </w:rPr>
      </w:pPr>
      <w:hyperlink r:id="rId13">
        <w:r>
          <w:rPr>
            <w:spacing w:val="-2"/>
            <w:sz w:val="20"/>
          </w:rPr>
          <w:t>&lt;http://penajournal.com/index.php/PENANOMICS/article/view/151.</w:t>
        </w:r>
      </w:hyperlink>
      <w:r>
        <w:rPr>
          <w:spacing w:val="-2"/>
          <w:sz w:val="20"/>
        </w:rPr>
        <w:t>&gt;.</w:t>
      </w:r>
    </w:p>
    <w:p>
      <w:pPr>
        <w:spacing w:after="0"/>
        <w:jc w:val="left"/>
        <w:rPr>
          <w:sz w:val="20"/>
        </w:rPr>
        <w:sectPr>
          <w:type w:val="continuous"/>
          <w:pgSz w:w="11910" w:h="16840"/>
          <w:pgMar w:header="0" w:footer="1000" w:top="1360" w:bottom="280" w:left="1417" w:right="1275"/>
        </w:sectPr>
      </w:pPr>
    </w:p>
    <w:p>
      <w:pPr>
        <w:pStyle w:val="BodyText"/>
        <w:spacing w:line="360" w:lineRule="auto" w:before="60"/>
        <w:ind w:left="383" w:right="158" w:firstLine="359"/>
        <w:jc w:val="both"/>
      </w:pPr>
      <w:r>
        <w:rPr/>
        <w:t>Setiap</w:t>
      </w:r>
      <w:r>
        <w:rPr>
          <w:spacing w:val="-11"/>
        </w:rPr>
        <w:t> </w:t>
      </w:r>
      <w:r>
        <w:rPr/>
        <w:t>tahunnya</w:t>
      </w:r>
      <w:r>
        <w:rPr>
          <w:spacing w:val="-12"/>
        </w:rPr>
        <w:t> </w:t>
      </w:r>
      <w:r>
        <w:rPr/>
        <w:t>kurs</w:t>
      </w:r>
      <w:r>
        <w:rPr>
          <w:spacing w:val="-10"/>
        </w:rPr>
        <w:t> </w:t>
      </w:r>
      <w:r>
        <w:rPr/>
        <w:t>rupiah</w:t>
      </w:r>
      <w:r>
        <w:rPr>
          <w:spacing w:val="-11"/>
        </w:rPr>
        <w:t> </w:t>
      </w:r>
      <w:r>
        <w:rPr/>
        <w:t>terus</w:t>
      </w:r>
      <w:r>
        <w:rPr>
          <w:spacing w:val="-10"/>
        </w:rPr>
        <w:t> </w:t>
      </w:r>
      <w:r>
        <w:rPr/>
        <w:t>menghadapi</w:t>
      </w:r>
      <w:r>
        <w:rPr>
          <w:spacing w:val="-10"/>
        </w:rPr>
        <w:t> </w:t>
      </w:r>
      <w:r>
        <w:rPr/>
        <w:t>pasang</w:t>
      </w:r>
      <w:r>
        <w:rPr>
          <w:spacing w:val="-11"/>
        </w:rPr>
        <w:t> </w:t>
      </w:r>
      <w:r>
        <w:rPr/>
        <w:t>surut</w:t>
      </w:r>
      <w:r>
        <w:rPr>
          <w:spacing w:val="-11"/>
        </w:rPr>
        <w:t> </w:t>
      </w:r>
      <w:r>
        <w:rPr/>
        <w:t>dalam</w:t>
      </w:r>
      <w:r>
        <w:rPr>
          <w:spacing w:val="-11"/>
        </w:rPr>
        <w:t> </w:t>
      </w:r>
      <w:r>
        <w:rPr/>
        <w:t>perekonomian.</w:t>
      </w:r>
      <w:r>
        <w:rPr>
          <w:spacing w:val="-11"/>
        </w:rPr>
        <w:t> </w:t>
      </w:r>
      <w:r>
        <w:rPr/>
        <w:t>Pada tahun 2021 nilai tukar rupiah merosot di angka Rp 14.263/dollar dibandingkan dengan tahun</w:t>
      </w:r>
      <w:r>
        <w:rPr>
          <w:spacing w:val="-8"/>
        </w:rPr>
        <w:t> </w:t>
      </w:r>
      <w:r>
        <w:rPr/>
        <w:t>2020</w:t>
      </w:r>
      <w:r>
        <w:rPr>
          <w:spacing w:val="-7"/>
        </w:rPr>
        <w:t> </w:t>
      </w:r>
      <w:r>
        <w:rPr/>
        <w:t>yang</w:t>
      </w:r>
      <w:r>
        <w:rPr>
          <w:spacing w:val="-7"/>
        </w:rPr>
        <w:t> </w:t>
      </w:r>
      <w:r>
        <w:rPr/>
        <w:t>berada</w:t>
      </w:r>
      <w:r>
        <w:rPr>
          <w:spacing w:val="-4"/>
        </w:rPr>
        <w:t> </w:t>
      </w:r>
      <w:r>
        <w:rPr/>
        <w:t>pada</w:t>
      </w:r>
      <w:r>
        <w:rPr>
          <w:spacing w:val="-8"/>
        </w:rPr>
        <w:t> </w:t>
      </w:r>
      <w:r>
        <w:rPr/>
        <w:t>Rp</w:t>
      </w:r>
      <w:r>
        <w:rPr>
          <w:spacing w:val="-7"/>
        </w:rPr>
        <w:t> </w:t>
      </w:r>
      <w:r>
        <w:rPr/>
        <w:t>13.895/dollar.</w:t>
      </w:r>
      <w:r>
        <w:rPr>
          <w:spacing w:val="-7"/>
        </w:rPr>
        <w:t> </w:t>
      </w:r>
      <w:r>
        <w:rPr/>
        <w:t>Sedangkan</w:t>
      </w:r>
      <w:r>
        <w:rPr>
          <w:spacing w:val="-7"/>
        </w:rPr>
        <w:t> </w:t>
      </w:r>
      <w:r>
        <w:rPr/>
        <w:t>pada</w:t>
      </w:r>
      <w:r>
        <w:rPr>
          <w:spacing w:val="-8"/>
        </w:rPr>
        <w:t> </w:t>
      </w:r>
      <w:r>
        <w:rPr/>
        <w:t>tahun</w:t>
      </w:r>
      <w:r>
        <w:rPr>
          <w:spacing w:val="-6"/>
        </w:rPr>
        <w:t> </w:t>
      </w:r>
      <w:r>
        <w:rPr/>
        <w:t>2022</w:t>
      </w:r>
      <w:r>
        <w:rPr>
          <w:spacing w:val="-7"/>
        </w:rPr>
        <w:t> </w:t>
      </w:r>
      <w:r>
        <w:rPr/>
        <w:t>nilai</w:t>
      </w:r>
      <w:r>
        <w:rPr>
          <w:spacing w:val="-7"/>
        </w:rPr>
        <w:t> </w:t>
      </w:r>
      <w:r>
        <w:rPr/>
        <w:t>rupiah</w:t>
      </w:r>
      <w:r>
        <w:rPr>
          <w:spacing w:val="-7"/>
        </w:rPr>
        <w:t> </w:t>
      </w:r>
      <w:r>
        <w:rPr/>
        <w:t>di mata</w:t>
      </w:r>
      <w:r>
        <w:rPr>
          <w:spacing w:val="-15"/>
        </w:rPr>
        <w:t> </w:t>
      </w:r>
      <w:r>
        <w:rPr/>
        <w:t>dollar</w:t>
      </w:r>
      <w:r>
        <w:rPr>
          <w:spacing w:val="-15"/>
        </w:rPr>
        <w:t> </w:t>
      </w:r>
      <w:r>
        <w:rPr/>
        <w:t>seharga</w:t>
      </w:r>
      <w:r>
        <w:rPr>
          <w:spacing w:val="-15"/>
        </w:rPr>
        <w:t> </w:t>
      </w:r>
      <w:r>
        <w:rPr/>
        <w:t>Rp</w:t>
      </w:r>
      <w:r>
        <w:rPr>
          <w:spacing w:val="-15"/>
        </w:rPr>
        <w:t> </w:t>
      </w:r>
      <w:r>
        <w:rPr/>
        <w:t>15.573.</w:t>
      </w:r>
      <w:r>
        <w:rPr>
          <w:spacing w:val="-15"/>
        </w:rPr>
        <w:t> </w:t>
      </w:r>
      <w:r>
        <w:rPr/>
        <w:t>Fenomena</w:t>
      </w:r>
      <w:r>
        <w:rPr>
          <w:spacing w:val="-15"/>
        </w:rPr>
        <w:t> </w:t>
      </w:r>
      <w:r>
        <w:rPr/>
        <w:t>nilai</w:t>
      </w:r>
      <w:r>
        <w:rPr>
          <w:spacing w:val="-15"/>
        </w:rPr>
        <w:t> </w:t>
      </w:r>
      <w:r>
        <w:rPr/>
        <w:t>tukar</w:t>
      </w:r>
      <w:r>
        <w:rPr>
          <w:spacing w:val="-15"/>
        </w:rPr>
        <w:t> </w:t>
      </w:r>
      <w:r>
        <w:rPr/>
        <w:t>rupiah</w:t>
      </w:r>
      <w:r>
        <w:rPr>
          <w:spacing w:val="-15"/>
        </w:rPr>
        <w:t> </w:t>
      </w:r>
      <w:r>
        <w:rPr/>
        <w:t>pada</w:t>
      </w:r>
      <w:r>
        <w:rPr>
          <w:spacing w:val="-15"/>
        </w:rPr>
        <w:t> </w:t>
      </w:r>
      <w:r>
        <w:rPr/>
        <w:t>tahun</w:t>
      </w:r>
      <w:r>
        <w:rPr>
          <w:spacing w:val="-15"/>
        </w:rPr>
        <w:t> </w:t>
      </w:r>
      <w:r>
        <w:rPr/>
        <w:t>2023</w:t>
      </w:r>
      <w:r>
        <w:rPr>
          <w:spacing w:val="-15"/>
        </w:rPr>
        <w:t> </w:t>
      </w:r>
      <w:r>
        <w:rPr/>
        <w:t>yang</w:t>
      </w:r>
      <w:r>
        <w:rPr>
          <w:spacing w:val="-15"/>
        </w:rPr>
        <w:t> </w:t>
      </w:r>
      <w:r>
        <w:rPr/>
        <w:t>menguat sebesar 0,13% berjumlah Rp 15.395. Di tahun 2024 nilai tukar rupiah ditutup saat harga berada di Rp 16.165/dollar. Hal ini mengarah pada kesimpulan bahwa mata uang suatu negara terapresiasi jika nilai tukarnya naik. Di sisi lain, mata uang terdepresiasi jika yang terjadi sebaliknya. Perubahan nilai mata uang yang tidak stabil dapat membuat investor menjadi kurang percaya diri. Para investor akan lebih cenderung menarik uangnya jika perekonomian Indonesia menurun yang pada akhirnya berdampak negatif pada pasar modal. Perkara tersebut dapat menimbulkan </w:t>
      </w:r>
      <w:r>
        <w:rPr>
          <w:i/>
        </w:rPr>
        <w:t>Capital of Flow </w:t>
      </w:r>
      <w:r>
        <w:rPr/>
        <w:t>sehingga berakibat pada penurunan</w:t>
      </w:r>
      <w:r>
        <w:rPr>
          <w:spacing w:val="-3"/>
        </w:rPr>
        <w:t> </w:t>
      </w:r>
      <w:r>
        <w:rPr/>
        <w:t>harga</w:t>
      </w:r>
      <w:r>
        <w:rPr>
          <w:spacing w:val="-4"/>
        </w:rPr>
        <w:t> </w:t>
      </w:r>
      <w:r>
        <w:rPr/>
        <w:t>saham.</w:t>
      </w:r>
      <w:r>
        <w:rPr>
          <w:spacing w:val="-1"/>
        </w:rPr>
        <w:t> </w:t>
      </w:r>
      <w:r>
        <w:rPr/>
        <w:t>Secara</w:t>
      </w:r>
      <w:r>
        <w:rPr>
          <w:spacing w:val="-3"/>
        </w:rPr>
        <w:t> </w:t>
      </w:r>
      <w:r>
        <w:rPr/>
        <w:t>tidak</w:t>
      </w:r>
      <w:r>
        <w:rPr>
          <w:spacing w:val="-3"/>
        </w:rPr>
        <w:t> </w:t>
      </w:r>
      <w:r>
        <w:rPr/>
        <w:t>langsung,</w:t>
      </w:r>
      <w:r>
        <w:rPr>
          <w:spacing w:val="-2"/>
        </w:rPr>
        <w:t> </w:t>
      </w:r>
      <w:r>
        <w:rPr/>
        <w:t>nilai</w:t>
      </w:r>
      <w:r>
        <w:rPr>
          <w:spacing w:val="-3"/>
        </w:rPr>
        <w:t> </w:t>
      </w:r>
      <w:r>
        <w:rPr/>
        <w:t>tukar</w:t>
      </w:r>
      <w:r>
        <w:rPr>
          <w:spacing w:val="-3"/>
        </w:rPr>
        <w:t> </w:t>
      </w:r>
      <w:r>
        <w:rPr/>
        <w:t>merupakan</w:t>
      </w:r>
      <w:r>
        <w:rPr>
          <w:spacing w:val="-1"/>
        </w:rPr>
        <w:t> </w:t>
      </w:r>
      <w:r>
        <w:rPr/>
        <w:t>salah</w:t>
      </w:r>
      <w:r>
        <w:rPr>
          <w:spacing w:val="-3"/>
        </w:rPr>
        <w:t> </w:t>
      </w:r>
      <w:r>
        <w:rPr/>
        <w:t>satu</w:t>
      </w:r>
      <w:r>
        <w:rPr>
          <w:spacing w:val="-3"/>
        </w:rPr>
        <w:t> </w:t>
      </w:r>
      <w:r>
        <w:rPr/>
        <w:t>indikator yang dapat digunakan untuk menilai kondisi ekonomi suatu negara. Nilai tukar pada dasarnya</w:t>
      </w:r>
      <w:r>
        <w:rPr>
          <w:spacing w:val="-10"/>
        </w:rPr>
        <w:t> </w:t>
      </w:r>
      <w:r>
        <w:rPr/>
        <w:t>adalah</w:t>
      </w:r>
      <w:r>
        <w:rPr>
          <w:spacing w:val="-11"/>
        </w:rPr>
        <w:t> </w:t>
      </w:r>
      <w:r>
        <w:rPr/>
        <w:t>jumlah</w:t>
      </w:r>
      <w:r>
        <w:rPr>
          <w:spacing w:val="-11"/>
        </w:rPr>
        <w:t> </w:t>
      </w:r>
      <w:r>
        <w:rPr/>
        <w:t>total</w:t>
      </w:r>
      <w:r>
        <w:rPr>
          <w:spacing w:val="-10"/>
        </w:rPr>
        <w:t> </w:t>
      </w:r>
      <w:r>
        <w:rPr/>
        <w:t>mata</w:t>
      </w:r>
      <w:r>
        <w:rPr>
          <w:spacing w:val="-11"/>
        </w:rPr>
        <w:t> </w:t>
      </w:r>
      <w:r>
        <w:rPr/>
        <w:t>uang</w:t>
      </w:r>
      <w:r>
        <w:rPr>
          <w:spacing w:val="-11"/>
        </w:rPr>
        <w:t> </w:t>
      </w:r>
      <w:r>
        <w:rPr/>
        <w:t>domestik</w:t>
      </w:r>
      <w:r>
        <w:rPr>
          <w:spacing w:val="-11"/>
        </w:rPr>
        <w:t> </w:t>
      </w:r>
      <w:r>
        <w:rPr/>
        <w:t>yang</w:t>
      </w:r>
      <w:r>
        <w:rPr>
          <w:spacing w:val="-11"/>
        </w:rPr>
        <w:t> </w:t>
      </w:r>
      <w:r>
        <w:rPr/>
        <w:t>dibutuhkan</w:t>
      </w:r>
      <w:r>
        <w:rPr>
          <w:spacing w:val="-11"/>
        </w:rPr>
        <w:t> </w:t>
      </w:r>
      <w:r>
        <w:rPr/>
        <w:t>oleh</w:t>
      </w:r>
      <w:r>
        <w:rPr>
          <w:spacing w:val="-11"/>
        </w:rPr>
        <w:t> </w:t>
      </w:r>
      <w:r>
        <w:rPr/>
        <w:t>suatu</w:t>
      </w:r>
      <w:r>
        <w:rPr>
          <w:spacing w:val="-10"/>
        </w:rPr>
        <w:t> </w:t>
      </w:r>
      <w:r>
        <w:rPr/>
        <w:t>negara</w:t>
      </w:r>
      <w:r>
        <w:rPr>
          <w:spacing w:val="-12"/>
        </w:rPr>
        <w:t> </w:t>
      </w:r>
      <w:r>
        <w:rPr/>
        <w:t>untuk membeli atau</w:t>
      </w:r>
      <w:r>
        <w:rPr>
          <w:spacing w:val="-1"/>
        </w:rPr>
        <w:t> </w:t>
      </w:r>
      <w:r>
        <w:rPr/>
        <w:t>mendapatkan satu unit mata uang asing dari</w:t>
      </w:r>
      <w:r>
        <w:rPr>
          <w:spacing w:val="-1"/>
        </w:rPr>
        <w:t> </w:t>
      </w:r>
      <w:r>
        <w:rPr/>
        <w:t>negara lain. Adapun studi yang dilakukan oleh Dwijayanti menghasilkan temuan bahwa nilai tukar berpengaruh negatif dan</w:t>
      </w:r>
      <w:r>
        <w:rPr>
          <w:spacing w:val="-6"/>
        </w:rPr>
        <w:t> </w:t>
      </w:r>
      <w:r>
        <w:rPr/>
        <w:t>signifikan</w:t>
      </w:r>
      <w:r>
        <w:rPr>
          <w:spacing w:val="-6"/>
        </w:rPr>
        <w:t> </w:t>
      </w:r>
      <w:r>
        <w:rPr/>
        <w:t>terhadap</w:t>
      </w:r>
      <w:r>
        <w:rPr>
          <w:spacing w:val="-6"/>
        </w:rPr>
        <w:t> </w:t>
      </w:r>
      <w:r>
        <w:rPr/>
        <w:t>harga</w:t>
      </w:r>
      <w:r>
        <w:rPr>
          <w:spacing w:val="-8"/>
        </w:rPr>
        <w:t> </w:t>
      </w:r>
      <w:r>
        <w:rPr/>
        <w:t>saham.</w:t>
      </w:r>
      <w:hyperlink w:history="true" w:anchor="_bookmark30">
        <w:r>
          <w:rPr>
            <w:vertAlign w:val="superscript"/>
          </w:rPr>
          <w:t>18</w:t>
        </w:r>
      </w:hyperlink>
      <w:r>
        <w:rPr>
          <w:spacing w:val="-5"/>
          <w:vertAlign w:val="baseline"/>
        </w:rPr>
        <w:t> </w:t>
      </w:r>
      <w:r>
        <w:rPr>
          <w:vertAlign w:val="baseline"/>
        </w:rPr>
        <w:t>Akan</w:t>
      </w:r>
      <w:r>
        <w:rPr>
          <w:spacing w:val="-6"/>
          <w:vertAlign w:val="baseline"/>
        </w:rPr>
        <w:t> </w:t>
      </w:r>
      <w:r>
        <w:rPr>
          <w:vertAlign w:val="baseline"/>
        </w:rPr>
        <w:t>tetapi</w:t>
      </w:r>
      <w:r>
        <w:rPr>
          <w:spacing w:val="-3"/>
          <w:vertAlign w:val="baseline"/>
        </w:rPr>
        <w:t> </w:t>
      </w:r>
      <w:r>
        <w:rPr>
          <w:vertAlign w:val="baseline"/>
        </w:rPr>
        <w:t>hasil</w:t>
      </w:r>
      <w:r>
        <w:rPr>
          <w:spacing w:val="-5"/>
          <w:vertAlign w:val="baseline"/>
        </w:rPr>
        <w:t> </w:t>
      </w:r>
      <w:r>
        <w:rPr>
          <w:vertAlign w:val="baseline"/>
        </w:rPr>
        <w:t>riset</w:t>
      </w:r>
      <w:r>
        <w:rPr>
          <w:spacing w:val="-5"/>
          <w:vertAlign w:val="baseline"/>
        </w:rPr>
        <w:t> </w:t>
      </w:r>
      <w:r>
        <w:rPr>
          <w:vertAlign w:val="baseline"/>
        </w:rPr>
        <w:t>Dwijayanti</w:t>
      </w:r>
      <w:r>
        <w:rPr>
          <w:spacing w:val="-4"/>
          <w:vertAlign w:val="baseline"/>
        </w:rPr>
        <w:t> </w:t>
      </w:r>
      <w:r>
        <w:rPr>
          <w:vertAlign w:val="baseline"/>
        </w:rPr>
        <w:t>dalam</w:t>
      </w:r>
      <w:r>
        <w:rPr>
          <w:spacing w:val="-5"/>
          <w:vertAlign w:val="baseline"/>
        </w:rPr>
        <w:t> </w:t>
      </w:r>
      <w:r>
        <w:rPr>
          <w:vertAlign w:val="baseline"/>
        </w:rPr>
        <w:t>artikelnya tertulis bahwasanya nilai tukar berpengaruh positif dan tidak signifikan terhadap harga saham setelah IPO.</w:t>
      </w:r>
      <w:hyperlink w:history="true" w:anchor="_bookmark31">
        <w:r>
          <w:rPr>
            <w:vertAlign w:val="superscript"/>
          </w:rPr>
          <w:t>19</w:t>
        </w:r>
      </w:hyperlink>
    </w:p>
    <w:p>
      <w:pPr>
        <w:pStyle w:val="BodyText"/>
        <w:spacing w:line="360" w:lineRule="auto" w:before="1"/>
        <w:ind w:left="383" w:right="159" w:firstLine="359"/>
        <w:jc w:val="both"/>
      </w:pPr>
      <w:r>
        <w:rPr/>
        <w:t>Pertumbuhan ekonomi, stabilitas harga, dan daya beli semuanya dipengaruhi secara signifikan oleh inflasi. Untuk membuat keputusan ekonomi yang tepat, pemerintah, investor, dan individu harus memiliki pemahaman menyeluruh tentang inflasi dan faktor- faktor yang mempengaruhinya</w:t>
      </w:r>
      <w:hyperlink w:history="true" w:anchor="_bookmark32">
        <w:r>
          <w:rPr/>
          <w:t>.</w:t>
        </w:r>
        <w:r>
          <w:rPr>
            <w:vertAlign w:val="superscript"/>
          </w:rPr>
          <w:t>20</w:t>
        </w:r>
      </w:hyperlink>
      <w:r>
        <w:rPr>
          <w:vertAlign w:val="baseline"/>
        </w:rPr>
        <w:t> Untuk meningkatkan pertumbuhan ekonomi, Indonesia mengambil berbagai tindakan. Memantau konsistensi tingkat inflasi suatu negara sambil memperluas</w:t>
      </w:r>
      <w:r>
        <w:rPr>
          <w:spacing w:val="-15"/>
          <w:vertAlign w:val="baseline"/>
        </w:rPr>
        <w:t> </w:t>
      </w:r>
      <w:r>
        <w:rPr>
          <w:vertAlign w:val="baseline"/>
        </w:rPr>
        <w:t>sektor</w:t>
      </w:r>
      <w:r>
        <w:rPr>
          <w:spacing w:val="-15"/>
          <w:vertAlign w:val="baseline"/>
        </w:rPr>
        <w:t> </w:t>
      </w:r>
      <w:r>
        <w:rPr>
          <w:vertAlign w:val="baseline"/>
        </w:rPr>
        <w:t>industri</w:t>
      </w:r>
      <w:r>
        <w:rPr>
          <w:spacing w:val="-15"/>
          <w:vertAlign w:val="baseline"/>
        </w:rPr>
        <w:t> </w:t>
      </w:r>
      <w:r>
        <w:rPr>
          <w:vertAlign w:val="baseline"/>
        </w:rPr>
        <w:t>pasar</w:t>
      </w:r>
      <w:r>
        <w:rPr>
          <w:spacing w:val="-15"/>
          <w:vertAlign w:val="baseline"/>
        </w:rPr>
        <w:t> </w:t>
      </w:r>
      <w:r>
        <w:rPr>
          <w:vertAlign w:val="baseline"/>
        </w:rPr>
        <w:t>keuangan</w:t>
      </w:r>
      <w:r>
        <w:rPr>
          <w:spacing w:val="-15"/>
          <w:vertAlign w:val="baseline"/>
        </w:rPr>
        <w:t> </w:t>
      </w:r>
      <w:r>
        <w:rPr>
          <w:vertAlign w:val="baseline"/>
        </w:rPr>
        <w:t>ialah</w:t>
      </w:r>
      <w:r>
        <w:rPr>
          <w:spacing w:val="-15"/>
          <w:vertAlign w:val="baseline"/>
        </w:rPr>
        <w:t> </w:t>
      </w:r>
      <w:r>
        <w:rPr>
          <w:vertAlign w:val="baseline"/>
        </w:rPr>
        <w:t>metode</w:t>
      </w:r>
      <w:r>
        <w:rPr>
          <w:spacing w:val="-15"/>
          <w:vertAlign w:val="baseline"/>
        </w:rPr>
        <w:t> </w:t>
      </w:r>
      <w:r>
        <w:rPr>
          <w:vertAlign w:val="baseline"/>
        </w:rPr>
        <w:t>pendekatan</w:t>
      </w:r>
      <w:r>
        <w:rPr>
          <w:spacing w:val="-15"/>
          <w:vertAlign w:val="baseline"/>
        </w:rPr>
        <w:t> </w:t>
      </w:r>
      <w:r>
        <w:rPr>
          <w:vertAlign w:val="baseline"/>
        </w:rPr>
        <w:t>yang</w:t>
      </w:r>
      <w:r>
        <w:rPr>
          <w:spacing w:val="-15"/>
          <w:vertAlign w:val="baseline"/>
        </w:rPr>
        <w:t> </w:t>
      </w:r>
      <w:r>
        <w:rPr>
          <w:vertAlign w:val="baseline"/>
        </w:rPr>
        <w:t>digunakan</w:t>
      </w:r>
      <w:r>
        <w:rPr>
          <w:spacing w:val="-15"/>
          <w:vertAlign w:val="baseline"/>
        </w:rPr>
        <w:t> </w:t>
      </w:r>
      <w:r>
        <w:rPr>
          <w:vertAlign w:val="baseline"/>
        </w:rPr>
        <w:t>untuk mengatasi</w:t>
      </w:r>
      <w:r>
        <w:rPr>
          <w:spacing w:val="44"/>
          <w:vertAlign w:val="baseline"/>
        </w:rPr>
        <w:t> </w:t>
      </w:r>
      <w:r>
        <w:rPr>
          <w:vertAlign w:val="baseline"/>
        </w:rPr>
        <w:t>hal</w:t>
      </w:r>
      <w:r>
        <w:rPr>
          <w:spacing w:val="45"/>
          <w:vertAlign w:val="baseline"/>
        </w:rPr>
        <w:t> </w:t>
      </w:r>
      <w:r>
        <w:rPr>
          <w:vertAlign w:val="baseline"/>
        </w:rPr>
        <w:t>tersebut.</w:t>
      </w:r>
      <w:hyperlink w:history="true" w:anchor="_bookmark33">
        <w:r>
          <w:rPr>
            <w:vertAlign w:val="superscript"/>
          </w:rPr>
          <w:t>21</w:t>
        </w:r>
      </w:hyperlink>
      <w:r>
        <w:rPr>
          <w:spacing w:val="45"/>
          <w:vertAlign w:val="baseline"/>
        </w:rPr>
        <w:t> </w:t>
      </w:r>
      <w:r>
        <w:rPr>
          <w:vertAlign w:val="baseline"/>
        </w:rPr>
        <w:t>Kapasitas</w:t>
      </w:r>
      <w:r>
        <w:rPr>
          <w:spacing w:val="45"/>
          <w:vertAlign w:val="baseline"/>
        </w:rPr>
        <w:t> </w:t>
      </w:r>
      <w:r>
        <w:rPr>
          <w:vertAlign w:val="baseline"/>
        </w:rPr>
        <w:t>ekonomi</w:t>
      </w:r>
      <w:r>
        <w:rPr>
          <w:spacing w:val="45"/>
          <w:vertAlign w:val="baseline"/>
        </w:rPr>
        <w:t> </w:t>
      </w:r>
      <w:r>
        <w:rPr>
          <w:vertAlign w:val="baseline"/>
        </w:rPr>
        <w:t>suatu</w:t>
      </w:r>
      <w:r>
        <w:rPr>
          <w:spacing w:val="45"/>
          <w:vertAlign w:val="baseline"/>
        </w:rPr>
        <w:t> </w:t>
      </w:r>
      <w:r>
        <w:rPr>
          <w:vertAlign w:val="baseline"/>
        </w:rPr>
        <w:t>negara</w:t>
      </w:r>
      <w:r>
        <w:rPr>
          <w:spacing w:val="43"/>
          <w:vertAlign w:val="baseline"/>
        </w:rPr>
        <w:t> </w:t>
      </w:r>
      <w:r>
        <w:rPr>
          <w:vertAlign w:val="baseline"/>
        </w:rPr>
        <w:t>untuk</w:t>
      </w:r>
      <w:r>
        <w:rPr>
          <w:spacing w:val="45"/>
          <w:vertAlign w:val="baseline"/>
        </w:rPr>
        <w:t> </w:t>
      </w:r>
      <w:r>
        <w:rPr>
          <w:vertAlign w:val="baseline"/>
        </w:rPr>
        <w:t>bertahan</w:t>
      </w:r>
      <w:r>
        <w:rPr>
          <w:spacing w:val="47"/>
          <w:vertAlign w:val="baseline"/>
        </w:rPr>
        <w:t> </w:t>
      </w:r>
      <w:r>
        <w:rPr>
          <w:vertAlign w:val="baseline"/>
        </w:rPr>
        <w:t>hidup</w:t>
      </w:r>
      <w:r>
        <w:rPr>
          <w:spacing w:val="44"/>
          <w:vertAlign w:val="baseline"/>
        </w:rPr>
        <w:t> </w:t>
      </w:r>
      <w:r>
        <w:rPr>
          <w:spacing w:val="-2"/>
          <w:vertAlign w:val="baseline"/>
        </w:rPr>
        <w:t>dapat</w:t>
      </w:r>
    </w:p>
    <w:p>
      <w:pPr>
        <w:pStyle w:val="BodyText"/>
        <w:spacing w:before="68"/>
        <w:rPr>
          <w:sz w:val="20"/>
        </w:rPr>
      </w:pPr>
      <w:r>
        <w:rPr>
          <w:sz w:val="20"/>
        </w:rPr>
        <mc:AlternateContent>
          <mc:Choice Requires="wps">
            <w:drawing>
              <wp:anchor distT="0" distB="0" distL="0" distR="0" allowOverlap="1" layoutInCell="1" locked="0" behindDoc="1" simplePos="0" relativeHeight="487593984">
                <wp:simplePos x="0" y="0"/>
                <wp:positionH relativeFrom="page">
                  <wp:posOffset>914704</wp:posOffset>
                </wp:positionH>
                <wp:positionV relativeFrom="paragraph">
                  <wp:posOffset>204923</wp:posOffset>
                </wp:positionV>
                <wp:extent cx="1829435" cy="9525"/>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6.135674pt;width:144.020pt;height:.72003pt;mso-position-horizontal-relative:page;mso-position-vertical-relative:paragraph;z-index:-15722496;mso-wrap-distance-left:0;mso-wrap-distance-right:0" id="docshape27" filled="true" fillcolor="#000000" stroked="false">
                <v:fill type="solid"/>
                <w10:wrap type="topAndBottom"/>
              </v:rect>
            </w:pict>
          </mc:Fallback>
        </mc:AlternateContent>
      </w:r>
    </w:p>
    <w:p>
      <w:pPr>
        <w:spacing w:before="101"/>
        <w:ind w:left="743" w:right="0" w:firstLine="0"/>
        <w:jc w:val="left"/>
        <w:rPr>
          <w:sz w:val="20"/>
        </w:rPr>
      </w:pPr>
      <w:bookmarkStart w:name="_bookmark30" w:id="31"/>
      <w:bookmarkEnd w:id="31"/>
      <w:r>
        <w:rPr/>
      </w:r>
      <w:r>
        <w:rPr>
          <w:sz w:val="20"/>
          <w:vertAlign w:val="superscript"/>
        </w:rPr>
        <w:t>18</w:t>
      </w:r>
      <w:r>
        <w:rPr>
          <w:spacing w:val="-7"/>
          <w:sz w:val="20"/>
          <w:vertAlign w:val="baseline"/>
        </w:rPr>
        <w:t> </w:t>
      </w:r>
      <w:r>
        <w:rPr>
          <w:sz w:val="20"/>
          <w:vertAlign w:val="baseline"/>
        </w:rPr>
        <w:t>Ni</w:t>
      </w:r>
      <w:r>
        <w:rPr>
          <w:spacing w:val="-6"/>
          <w:sz w:val="20"/>
          <w:vertAlign w:val="baseline"/>
        </w:rPr>
        <w:t> </w:t>
      </w:r>
      <w:r>
        <w:rPr>
          <w:sz w:val="20"/>
          <w:vertAlign w:val="baseline"/>
        </w:rPr>
        <w:t>Made</w:t>
      </w:r>
      <w:r>
        <w:rPr>
          <w:spacing w:val="-7"/>
          <w:sz w:val="20"/>
          <w:vertAlign w:val="baseline"/>
        </w:rPr>
        <w:t> </w:t>
      </w:r>
      <w:r>
        <w:rPr>
          <w:sz w:val="20"/>
          <w:vertAlign w:val="baseline"/>
        </w:rPr>
        <w:t>Ayu</w:t>
      </w:r>
      <w:r>
        <w:rPr>
          <w:spacing w:val="-5"/>
          <w:sz w:val="20"/>
          <w:vertAlign w:val="baseline"/>
        </w:rPr>
        <w:t> </w:t>
      </w:r>
      <w:r>
        <w:rPr>
          <w:sz w:val="20"/>
          <w:vertAlign w:val="baseline"/>
        </w:rPr>
        <w:t>Dwijayanti,</w:t>
      </w:r>
      <w:r>
        <w:rPr>
          <w:spacing w:val="-7"/>
          <w:sz w:val="20"/>
          <w:vertAlign w:val="baseline"/>
        </w:rPr>
        <w:t> </w:t>
      </w:r>
      <w:r>
        <w:rPr>
          <w:sz w:val="20"/>
          <w:vertAlign w:val="baseline"/>
        </w:rPr>
        <w:t>‘Pengaruh</w:t>
      </w:r>
      <w:r>
        <w:rPr>
          <w:spacing w:val="-5"/>
          <w:sz w:val="20"/>
          <w:vertAlign w:val="baseline"/>
        </w:rPr>
        <w:t> </w:t>
      </w:r>
      <w:r>
        <w:rPr>
          <w:sz w:val="20"/>
          <w:vertAlign w:val="baseline"/>
        </w:rPr>
        <w:t>Nilai</w:t>
      </w:r>
      <w:r>
        <w:rPr>
          <w:spacing w:val="-7"/>
          <w:sz w:val="20"/>
          <w:vertAlign w:val="baseline"/>
        </w:rPr>
        <w:t> </w:t>
      </w:r>
      <w:r>
        <w:rPr>
          <w:sz w:val="20"/>
          <w:vertAlign w:val="baseline"/>
        </w:rPr>
        <w:t>Tukar</w:t>
      </w:r>
      <w:r>
        <w:rPr>
          <w:spacing w:val="-5"/>
          <w:sz w:val="20"/>
          <w:vertAlign w:val="baseline"/>
        </w:rPr>
        <w:t> </w:t>
      </w:r>
      <w:r>
        <w:rPr>
          <w:sz w:val="20"/>
          <w:vertAlign w:val="baseline"/>
        </w:rPr>
        <w:t>Dan</w:t>
      </w:r>
      <w:r>
        <w:rPr>
          <w:spacing w:val="-6"/>
          <w:sz w:val="20"/>
          <w:vertAlign w:val="baseline"/>
        </w:rPr>
        <w:t> </w:t>
      </w:r>
      <w:r>
        <w:rPr>
          <w:sz w:val="20"/>
          <w:vertAlign w:val="baseline"/>
        </w:rPr>
        <w:t>Inflasi</w:t>
      </w:r>
      <w:r>
        <w:rPr>
          <w:spacing w:val="-7"/>
          <w:sz w:val="20"/>
          <w:vertAlign w:val="baseline"/>
        </w:rPr>
        <w:t> </w:t>
      </w:r>
      <w:r>
        <w:rPr>
          <w:sz w:val="20"/>
          <w:vertAlign w:val="baseline"/>
        </w:rPr>
        <w:t>Terhadap</w:t>
      </w:r>
      <w:r>
        <w:rPr>
          <w:spacing w:val="-5"/>
          <w:sz w:val="20"/>
          <w:vertAlign w:val="baseline"/>
        </w:rPr>
        <w:t> </w:t>
      </w:r>
      <w:r>
        <w:rPr>
          <w:sz w:val="20"/>
          <w:vertAlign w:val="baseline"/>
        </w:rPr>
        <w:t>Harga</w:t>
      </w:r>
      <w:r>
        <w:rPr>
          <w:spacing w:val="-7"/>
          <w:sz w:val="20"/>
          <w:vertAlign w:val="baseline"/>
        </w:rPr>
        <w:t> </w:t>
      </w:r>
      <w:r>
        <w:rPr>
          <w:sz w:val="20"/>
          <w:vertAlign w:val="baseline"/>
        </w:rPr>
        <w:t>Saham</w:t>
      </w:r>
      <w:r>
        <w:rPr>
          <w:spacing w:val="-5"/>
          <w:sz w:val="20"/>
          <w:vertAlign w:val="baseline"/>
        </w:rPr>
        <w:t> </w:t>
      </w:r>
      <w:r>
        <w:rPr>
          <w:sz w:val="20"/>
          <w:vertAlign w:val="baseline"/>
        </w:rPr>
        <w:t>Perbankan</w:t>
      </w:r>
      <w:r>
        <w:rPr>
          <w:spacing w:val="-6"/>
          <w:sz w:val="20"/>
          <w:vertAlign w:val="baseline"/>
        </w:rPr>
        <w:t> </w:t>
      </w:r>
      <w:r>
        <w:rPr>
          <w:spacing w:val="-4"/>
          <w:sz w:val="20"/>
          <w:vertAlign w:val="baseline"/>
        </w:rPr>
        <w:t>Pada</w:t>
      </w:r>
    </w:p>
    <w:p>
      <w:pPr>
        <w:tabs>
          <w:tab w:pos="783" w:val="left" w:leader="none"/>
          <w:tab w:pos="1812" w:val="left" w:leader="none"/>
          <w:tab w:pos="3163" w:val="left" w:leader="none"/>
          <w:tab w:pos="4012" w:val="left" w:leader="none"/>
          <w:tab w:pos="4827" w:val="left" w:leader="none"/>
          <w:tab w:pos="5311" w:val="left" w:leader="none"/>
          <w:tab w:pos="6959" w:val="left" w:leader="none"/>
          <w:tab w:pos="7638" w:val="left" w:leader="none"/>
          <w:tab w:pos="8549" w:val="left" w:leader="none"/>
        </w:tabs>
        <w:spacing w:line="229" w:lineRule="exact" w:before="0"/>
        <w:ind w:left="23" w:right="0" w:firstLine="0"/>
        <w:jc w:val="left"/>
        <w:rPr>
          <w:sz w:val="20"/>
        </w:rPr>
      </w:pPr>
      <w:r>
        <w:rPr>
          <w:spacing w:val="-4"/>
          <w:sz w:val="20"/>
        </w:rPr>
        <w:t>Masa</w:t>
      </w:r>
      <w:r>
        <w:rPr>
          <w:sz w:val="20"/>
        </w:rPr>
        <w:tab/>
      </w:r>
      <w:r>
        <w:rPr>
          <w:spacing w:val="-2"/>
          <w:sz w:val="20"/>
        </w:rPr>
        <w:t>Pandemi</w:t>
      </w:r>
      <w:r>
        <w:rPr>
          <w:sz w:val="20"/>
        </w:rPr>
        <w:tab/>
      </w:r>
      <w:r>
        <w:rPr>
          <w:spacing w:val="-2"/>
          <w:sz w:val="20"/>
        </w:rPr>
        <w:t>COVID-</w:t>
      </w:r>
      <w:r>
        <w:rPr>
          <w:spacing w:val="-4"/>
          <w:sz w:val="20"/>
        </w:rPr>
        <w:t>19’,</w:t>
      </w:r>
      <w:r>
        <w:rPr>
          <w:sz w:val="20"/>
        </w:rPr>
        <w:tab/>
      </w:r>
      <w:r>
        <w:rPr>
          <w:i/>
          <w:spacing w:val="-2"/>
          <w:sz w:val="20"/>
        </w:rPr>
        <w:t>Jurnal</w:t>
      </w:r>
      <w:r>
        <w:rPr>
          <w:i/>
          <w:sz w:val="20"/>
        </w:rPr>
        <w:tab/>
      </w:r>
      <w:r>
        <w:rPr>
          <w:i/>
          <w:spacing w:val="-2"/>
          <w:sz w:val="20"/>
        </w:rPr>
        <w:t>Bisnis</w:t>
      </w:r>
      <w:r>
        <w:rPr>
          <w:i/>
          <w:sz w:val="20"/>
        </w:rPr>
        <w:tab/>
      </w:r>
      <w:r>
        <w:rPr>
          <w:i/>
          <w:spacing w:val="-10"/>
          <w:sz w:val="20"/>
        </w:rPr>
        <w:t>&amp;</w:t>
      </w:r>
      <w:r>
        <w:rPr>
          <w:i/>
          <w:sz w:val="20"/>
        </w:rPr>
        <w:tab/>
      </w:r>
      <w:r>
        <w:rPr>
          <w:i/>
          <w:spacing w:val="-2"/>
          <w:sz w:val="20"/>
        </w:rPr>
        <w:t>Kewirausahaan</w:t>
      </w:r>
      <w:r>
        <w:rPr>
          <w:spacing w:val="-2"/>
          <w:sz w:val="20"/>
        </w:rPr>
        <w:t>,</w:t>
      </w:r>
      <w:r>
        <w:rPr>
          <w:sz w:val="20"/>
        </w:rPr>
        <w:tab/>
      </w:r>
      <w:r>
        <w:rPr>
          <w:spacing w:val="-4"/>
          <w:sz w:val="20"/>
        </w:rPr>
        <w:t>17.1</w:t>
      </w:r>
      <w:r>
        <w:rPr>
          <w:sz w:val="20"/>
        </w:rPr>
        <w:tab/>
      </w:r>
      <w:r>
        <w:rPr>
          <w:spacing w:val="-2"/>
          <w:sz w:val="20"/>
        </w:rPr>
        <w:t>(2021),</w:t>
      </w:r>
      <w:r>
        <w:rPr>
          <w:sz w:val="20"/>
        </w:rPr>
        <w:tab/>
      </w:r>
      <w:r>
        <w:rPr>
          <w:spacing w:val="-2"/>
          <w:sz w:val="20"/>
        </w:rPr>
        <w:t>86–93</w:t>
      </w:r>
    </w:p>
    <w:p>
      <w:pPr>
        <w:spacing w:line="229" w:lineRule="exact" w:before="0"/>
        <w:ind w:left="23" w:right="0" w:firstLine="0"/>
        <w:jc w:val="left"/>
        <w:rPr>
          <w:sz w:val="20"/>
        </w:rPr>
      </w:pPr>
      <w:hyperlink r:id="rId14">
        <w:r>
          <w:rPr>
            <w:spacing w:val="-2"/>
            <w:sz w:val="20"/>
          </w:rPr>
          <w:t>&lt;http://ojs.pnb.ac.id/index.php/JBK&gt;</w:t>
        </w:r>
      </w:hyperlink>
      <w:r>
        <w:rPr>
          <w:spacing w:val="-2"/>
          <w:sz w:val="20"/>
        </w:rPr>
        <w:t>.</w:t>
      </w:r>
    </w:p>
    <w:p>
      <w:pPr>
        <w:spacing w:before="1"/>
        <w:ind w:left="743" w:right="0" w:firstLine="0"/>
        <w:jc w:val="left"/>
        <w:rPr>
          <w:sz w:val="20"/>
        </w:rPr>
      </w:pPr>
      <w:bookmarkStart w:name="_bookmark31" w:id="32"/>
      <w:bookmarkEnd w:id="32"/>
      <w:r>
        <w:rPr/>
      </w:r>
      <w:r>
        <w:rPr>
          <w:spacing w:val="-2"/>
          <w:sz w:val="20"/>
          <w:vertAlign w:val="superscript"/>
        </w:rPr>
        <w:t>19</w:t>
      </w:r>
      <w:r>
        <w:rPr>
          <w:spacing w:val="-3"/>
          <w:sz w:val="20"/>
          <w:vertAlign w:val="baseline"/>
        </w:rPr>
        <w:t> </w:t>
      </w:r>
      <w:r>
        <w:rPr>
          <w:spacing w:val="-2"/>
          <w:sz w:val="20"/>
          <w:vertAlign w:val="baseline"/>
        </w:rPr>
        <w:t>Denny Andriana,</w:t>
      </w:r>
      <w:r>
        <w:rPr>
          <w:spacing w:val="-4"/>
          <w:sz w:val="20"/>
          <w:vertAlign w:val="baseline"/>
        </w:rPr>
        <w:t> </w:t>
      </w:r>
      <w:r>
        <w:rPr>
          <w:spacing w:val="-2"/>
          <w:sz w:val="20"/>
          <w:vertAlign w:val="baseline"/>
        </w:rPr>
        <w:t>‘Pengaruh Nilai</w:t>
      </w:r>
      <w:r>
        <w:rPr>
          <w:spacing w:val="-3"/>
          <w:sz w:val="20"/>
          <w:vertAlign w:val="baseline"/>
        </w:rPr>
        <w:t> </w:t>
      </w:r>
      <w:r>
        <w:rPr>
          <w:spacing w:val="-2"/>
          <w:sz w:val="20"/>
          <w:vertAlign w:val="baseline"/>
        </w:rPr>
        <w:t>Tukar Terhadap</w:t>
      </w:r>
      <w:r>
        <w:rPr>
          <w:spacing w:val="-3"/>
          <w:sz w:val="20"/>
          <w:vertAlign w:val="baseline"/>
        </w:rPr>
        <w:t> </w:t>
      </w:r>
      <w:r>
        <w:rPr>
          <w:spacing w:val="-2"/>
          <w:sz w:val="20"/>
          <w:vertAlign w:val="baseline"/>
        </w:rPr>
        <w:t>Harga Saham</w:t>
      </w:r>
      <w:r>
        <w:rPr>
          <w:sz w:val="20"/>
          <w:vertAlign w:val="baseline"/>
        </w:rPr>
        <w:t> </w:t>
      </w:r>
      <w:r>
        <w:rPr>
          <w:spacing w:val="-2"/>
          <w:sz w:val="20"/>
          <w:vertAlign w:val="baseline"/>
        </w:rPr>
        <w:t>Setelah</w:t>
      </w:r>
      <w:r>
        <w:rPr>
          <w:spacing w:val="-1"/>
          <w:sz w:val="20"/>
          <w:vertAlign w:val="baseline"/>
        </w:rPr>
        <w:t> </w:t>
      </w:r>
      <w:r>
        <w:rPr>
          <w:spacing w:val="-2"/>
          <w:sz w:val="20"/>
          <w:vertAlign w:val="baseline"/>
        </w:rPr>
        <w:t>Initial</w:t>
      </w:r>
      <w:r>
        <w:rPr>
          <w:spacing w:val="-3"/>
          <w:sz w:val="20"/>
          <w:vertAlign w:val="baseline"/>
        </w:rPr>
        <w:t> </w:t>
      </w:r>
      <w:r>
        <w:rPr>
          <w:spacing w:val="-2"/>
          <w:sz w:val="20"/>
          <w:vertAlign w:val="baseline"/>
        </w:rPr>
        <w:t>Public</w:t>
      </w:r>
      <w:r>
        <w:rPr>
          <w:spacing w:val="-3"/>
          <w:sz w:val="20"/>
          <w:vertAlign w:val="baseline"/>
        </w:rPr>
        <w:t> </w:t>
      </w:r>
      <w:r>
        <w:rPr>
          <w:spacing w:val="-2"/>
          <w:sz w:val="20"/>
          <w:vertAlign w:val="baseline"/>
        </w:rPr>
        <w:t>Offering (IPO)’,</w:t>
      </w:r>
    </w:p>
    <w:p>
      <w:pPr>
        <w:spacing w:before="0"/>
        <w:ind w:left="23" w:right="0" w:firstLine="0"/>
        <w:jc w:val="left"/>
        <w:rPr>
          <w:sz w:val="20"/>
        </w:rPr>
      </w:pPr>
      <w:r>
        <w:rPr>
          <w:i/>
          <w:sz w:val="20"/>
        </w:rPr>
        <w:t>Jurnal</w:t>
      </w:r>
      <w:r>
        <w:rPr>
          <w:i/>
          <w:spacing w:val="-5"/>
          <w:sz w:val="20"/>
        </w:rPr>
        <w:t> </w:t>
      </w:r>
      <w:r>
        <w:rPr>
          <w:i/>
          <w:sz w:val="20"/>
        </w:rPr>
        <w:t>Riset</w:t>
      </w:r>
      <w:r>
        <w:rPr>
          <w:i/>
          <w:spacing w:val="-4"/>
          <w:sz w:val="20"/>
        </w:rPr>
        <w:t> </w:t>
      </w:r>
      <w:r>
        <w:rPr>
          <w:i/>
          <w:sz w:val="20"/>
        </w:rPr>
        <w:t>Akuntansi</w:t>
      </w:r>
      <w:r>
        <w:rPr>
          <w:i/>
          <w:spacing w:val="-4"/>
          <w:sz w:val="20"/>
        </w:rPr>
        <w:t> </w:t>
      </w:r>
      <w:r>
        <w:rPr>
          <w:i/>
          <w:sz w:val="20"/>
        </w:rPr>
        <w:t>Dan</w:t>
      </w:r>
      <w:r>
        <w:rPr>
          <w:i/>
          <w:spacing w:val="-4"/>
          <w:sz w:val="20"/>
        </w:rPr>
        <w:t> </w:t>
      </w:r>
      <w:r>
        <w:rPr>
          <w:i/>
          <w:sz w:val="20"/>
        </w:rPr>
        <w:t>Keuangan</w:t>
      </w:r>
      <w:r>
        <w:rPr>
          <w:sz w:val="20"/>
        </w:rPr>
        <w:t>,</w:t>
      </w:r>
      <w:r>
        <w:rPr>
          <w:spacing w:val="-6"/>
          <w:sz w:val="20"/>
        </w:rPr>
        <w:t> </w:t>
      </w:r>
      <w:r>
        <w:rPr>
          <w:sz w:val="20"/>
        </w:rPr>
        <w:t>3.3</w:t>
      </w:r>
      <w:r>
        <w:rPr>
          <w:spacing w:val="-4"/>
          <w:sz w:val="20"/>
        </w:rPr>
        <w:t> </w:t>
      </w:r>
      <w:r>
        <w:rPr>
          <w:sz w:val="20"/>
        </w:rPr>
        <w:t>(2015),</w:t>
      </w:r>
      <w:r>
        <w:rPr>
          <w:spacing w:val="-6"/>
          <w:sz w:val="20"/>
        </w:rPr>
        <w:t> </w:t>
      </w:r>
      <w:r>
        <w:rPr>
          <w:sz w:val="20"/>
        </w:rPr>
        <w:t>761</w:t>
      </w:r>
      <w:r>
        <w:rPr>
          <w:spacing w:val="-4"/>
          <w:sz w:val="20"/>
        </w:rPr>
        <w:t> </w:t>
      </w:r>
      <w:r>
        <w:rPr>
          <w:spacing w:val="-2"/>
          <w:sz w:val="20"/>
        </w:rPr>
        <w:t>&lt;https://doi.org/10.17509/jrak.v3i3.6619&gt;.</w:t>
      </w:r>
    </w:p>
    <w:p>
      <w:pPr>
        <w:spacing w:before="1"/>
        <w:ind w:left="23" w:right="160" w:firstLine="719"/>
        <w:jc w:val="both"/>
        <w:rPr>
          <w:sz w:val="20"/>
        </w:rPr>
      </w:pPr>
      <w:bookmarkStart w:name="_bookmark32" w:id="33"/>
      <w:bookmarkEnd w:id="33"/>
      <w:r>
        <w:rPr/>
      </w:r>
      <w:r>
        <w:rPr>
          <w:sz w:val="20"/>
          <w:vertAlign w:val="superscript"/>
        </w:rPr>
        <w:t>20</w:t>
      </w:r>
      <w:r>
        <w:rPr>
          <w:sz w:val="20"/>
          <w:vertAlign w:val="baseline"/>
        </w:rPr>
        <w:t> Irfani Azzah Nabiilah, Ulil Hartono, and Nadia Asandimitra Haryono, ‘Analisis Kointegrasi Indeks Saham Filipina PSEI, Indeks Saham Malaysia KLCI, Indeks Saham AS DJIA Dan Variabel Makroekonomi Dengan</w:t>
      </w:r>
      <w:r>
        <w:rPr>
          <w:spacing w:val="40"/>
          <w:sz w:val="20"/>
          <w:vertAlign w:val="baseline"/>
        </w:rPr>
        <w:t>  </w:t>
      </w:r>
      <w:r>
        <w:rPr>
          <w:sz w:val="20"/>
          <w:vertAlign w:val="baseline"/>
        </w:rPr>
        <w:t>IHSG’,</w:t>
      </w:r>
      <w:r>
        <w:rPr>
          <w:spacing w:val="41"/>
          <w:sz w:val="20"/>
          <w:vertAlign w:val="baseline"/>
        </w:rPr>
        <w:t>  </w:t>
      </w:r>
      <w:r>
        <w:rPr>
          <w:i/>
          <w:sz w:val="20"/>
          <w:vertAlign w:val="baseline"/>
        </w:rPr>
        <w:t>Jurnal</w:t>
      </w:r>
      <w:r>
        <w:rPr>
          <w:i/>
          <w:spacing w:val="39"/>
          <w:sz w:val="20"/>
          <w:vertAlign w:val="baseline"/>
        </w:rPr>
        <w:t>  </w:t>
      </w:r>
      <w:r>
        <w:rPr>
          <w:i/>
          <w:sz w:val="20"/>
          <w:vertAlign w:val="baseline"/>
        </w:rPr>
        <w:t>Ilmiah</w:t>
      </w:r>
      <w:r>
        <w:rPr>
          <w:i/>
          <w:spacing w:val="40"/>
          <w:sz w:val="20"/>
          <w:vertAlign w:val="baseline"/>
        </w:rPr>
        <w:t>  </w:t>
      </w:r>
      <w:r>
        <w:rPr>
          <w:i/>
          <w:sz w:val="20"/>
          <w:vertAlign w:val="baseline"/>
        </w:rPr>
        <w:t>Manajemen,</w:t>
      </w:r>
      <w:r>
        <w:rPr>
          <w:i/>
          <w:spacing w:val="40"/>
          <w:sz w:val="20"/>
          <w:vertAlign w:val="baseline"/>
        </w:rPr>
        <w:t>  </w:t>
      </w:r>
      <w:r>
        <w:rPr>
          <w:i/>
          <w:sz w:val="20"/>
          <w:vertAlign w:val="baseline"/>
        </w:rPr>
        <w:t>Ekonomi,</w:t>
      </w:r>
      <w:r>
        <w:rPr>
          <w:i/>
          <w:spacing w:val="41"/>
          <w:sz w:val="20"/>
          <w:vertAlign w:val="baseline"/>
        </w:rPr>
        <w:t>  </w:t>
      </w:r>
      <w:r>
        <w:rPr>
          <w:i/>
          <w:sz w:val="20"/>
          <w:vertAlign w:val="baseline"/>
        </w:rPr>
        <w:t>&amp;</w:t>
      </w:r>
      <w:r>
        <w:rPr>
          <w:i/>
          <w:spacing w:val="40"/>
          <w:sz w:val="20"/>
          <w:vertAlign w:val="baseline"/>
        </w:rPr>
        <w:t>  </w:t>
      </w:r>
      <w:r>
        <w:rPr>
          <w:i/>
          <w:sz w:val="20"/>
          <w:vertAlign w:val="baseline"/>
        </w:rPr>
        <w:t>Akuntansi</w:t>
      </w:r>
      <w:r>
        <w:rPr>
          <w:i/>
          <w:spacing w:val="39"/>
          <w:sz w:val="20"/>
          <w:vertAlign w:val="baseline"/>
        </w:rPr>
        <w:t>  </w:t>
      </w:r>
      <w:r>
        <w:rPr>
          <w:i/>
          <w:sz w:val="20"/>
          <w:vertAlign w:val="baseline"/>
        </w:rPr>
        <w:t>(MEA)</w:t>
      </w:r>
      <w:r>
        <w:rPr>
          <w:sz w:val="20"/>
          <w:vertAlign w:val="baseline"/>
        </w:rPr>
        <w:t>,</w:t>
      </w:r>
      <w:r>
        <w:rPr>
          <w:spacing w:val="40"/>
          <w:sz w:val="20"/>
          <w:vertAlign w:val="baseline"/>
        </w:rPr>
        <w:t>  </w:t>
      </w:r>
      <w:r>
        <w:rPr>
          <w:sz w:val="20"/>
          <w:vertAlign w:val="baseline"/>
        </w:rPr>
        <w:t>8.1</w:t>
      </w:r>
      <w:r>
        <w:rPr>
          <w:spacing w:val="40"/>
          <w:sz w:val="20"/>
          <w:vertAlign w:val="baseline"/>
        </w:rPr>
        <w:t>  </w:t>
      </w:r>
      <w:r>
        <w:rPr>
          <w:sz w:val="20"/>
          <w:vertAlign w:val="baseline"/>
        </w:rPr>
        <w:t>(2024),</w:t>
      </w:r>
      <w:r>
        <w:rPr>
          <w:spacing w:val="41"/>
          <w:sz w:val="20"/>
          <w:vertAlign w:val="baseline"/>
        </w:rPr>
        <w:t>  </w:t>
      </w:r>
      <w:r>
        <w:rPr>
          <w:spacing w:val="-2"/>
          <w:sz w:val="20"/>
          <w:vertAlign w:val="baseline"/>
        </w:rPr>
        <w:t>528–57</w:t>
      </w:r>
    </w:p>
    <w:p>
      <w:pPr>
        <w:spacing w:line="229" w:lineRule="exact" w:before="0"/>
        <w:ind w:left="23" w:right="0" w:firstLine="0"/>
        <w:jc w:val="left"/>
        <w:rPr>
          <w:sz w:val="20"/>
        </w:rPr>
      </w:pPr>
      <w:r>
        <w:rPr>
          <w:spacing w:val="-2"/>
          <w:sz w:val="20"/>
        </w:rPr>
        <w:t>&lt;https://doi.org/10.31955/mea.v8i1.3740&gt;.</w:t>
      </w:r>
    </w:p>
    <w:p>
      <w:pPr>
        <w:spacing w:before="0"/>
        <w:ind w:left="23" w:right="159" w:firstLine="719"/>
        <w:jc w:val="both"/>
        <w:rPr>
          <w:sz w:val="20"/>
        </w:rPr>
      </w:pPr>
      <w:bookmarkStart w:name="_bookmark33" w:id="34"/>
      <w:bookmarkEnd w:id="34"/>
      <w:r>
        <w:rPr/>
      </w:r>
      <w:r>
        <w:rPr>
          <w:sz w:val="20"/>
          <w:vertAlign w:val="superscript"/>
        </w:rPr>
        <w:t>21</w:t>
      </w:r>
      <w:r>
        <w:rPr>
          <w:sz w:val="20"/>
          <w:vertAlign w:val="baseline"/>
        </w:rPr>
        <w:t> Dwi Nurhidayah, Amalia Nuril Hidayati, and Muhammad</w:t>
      </w:r>
      <w:r>
        <w:rPr>
          <w:spacing w:val="-1"/>
          <w:sz w:val="20"/>
          <w:vertAlign w:val="baseline"/>
        </w:rPr>
        <w:t> </w:t>
      </w:r>
      <w:r>
        <w:rPr>
          <w:sz w:val="20"/>
          <w:vertAlign w:val="baseline"/>
        </w:rPr>
        <w:t>Alhada Fuadilah Habib, ‘Pengaruh Inflasi, Saham Syariah, Sukuk Dan Reksadana Syariah Terhadap Pertumbuhan Ekonomi Nasional Tahun 2013-2020’, </w:t>
      </w:r>
      <w:r>
        <w:rPr>
          <w:i/>
          <w:sz w:val="20"/>
          <w:vertAlign w:val="baseline"/>
        </w:rPr>
        <w:t>Jurnal Sinar Manajemen</w:t>
      </w:r>
      <w:r>
        <w:rPr>
          <w:sz w:val="20"/>
          <w:vertAlign w:val="baseline"/>
        </w:rPr>
        <w:t>, 9.1 (2022), 158–69 &lt;https://doi.org/10.56338/jsm.v9i1.2435&gt;.</w:t>
      </w:r>
    </w:p>
    <w:p>
      <w:pPr>
        <w:spacing w:after="0"/>
        <w:jc w:val="both"/>
        <w:rPr>
          <w:sz w:val="20"/>
        </w:rPr>
        <w:sectPr>
          <w:pgSz w:w="11910" w:h="16840"/>
          <w:pgMar w:header="0" w:footer="1000" w:top="1360" w:bottom="1200" w:left="1417" w:right="1275"/>
        </w:sectPr>
      </w:pPr>
    </w:p>
    <w:p>
      <w:pPr>
        <w:pStyle w:val="BodyText"/>
        <w:spacing w:line="360" w:lineRule="auto" w:before="60"/>
        <w:ind w:left="383" w:right="162"/>
        <w:jc w:val="both"/>
      </w:pPr>
      <w:r>
        <w:rPr/>
        <w:t>dipengaruhi</w:t>
      </w:r>
      <w:r>
        <w:rPr>
          <w:spacing w:val="-8"/>
        </w:rPr>
        <w:t> </w:t>
      </w:r>
      <w:r>
        <w:rPr/>
        <w:t>secara</w:t>
      </w:r>
      <w:r>
        <w:rPr>
          <w:spacing w:val="-9"/>
        </w:rPr>
        <w:t> </w:t>
      </w:r>
      <w:r>
        <w:rPr/>
        <w:t>negatif</w:t>
      </w:r>
      <w:r>
        <w:rPr>
          <w:spacing w:val="-9"/>
        </w:rPr>
        <w:t> </w:t>
      </w:r>
      <w:r>
        <w:rPr/>
        <w:t>oleh</w:t>
      </w:r>
      <w:r>
        <w:rPr>
          <w:spacing w:val="-9"/>
        </w:rPr>
        <w:t> </w:t>
      </w:r>
      <w:r>
        <w:rPr/>
        <w:t>inflasi,</w:t>
      </w:r>
      <w:r>
        <w:rPr>
          <w:spacing w:val="-8"/>
        </w:rPr>
        <w:t> </w:t>
      </w:r>
      <w:r>
        <w:rPr/>
        <w:t>yang</w:t>
      </w:r>
      <w:r>
        <w:rPr>
          <w:spacing w:val="-8"/>
        </w:rPr>
        <w:t> </w:t>
      </w:r>
      <w:r>
        <w:rPr/>
        <w:t>juga</w:t>
      </w:r>
      <w:r>
        <w:rPr>
          <w:spacing w:val="-9"/>
        </w:rPr>
        <w:t> </w:t>
      </w:r>
      <w:r>
        <w:rPr/>
        <w:t>berdampak</w:t>
      </w:r>
      <w:r>
        <w:rPr>
          <w:spacing w:val="-9"/>
        </w:rPr>
        <w:t> </w:t>
      </w:r>
      <w:r>
        <w:rPr/>
        <w:t>pada</w:t>
      </w:r>
      <w:r>
        <w:rPr>
          <w:spacing w:val="-9"/>
        </w:rPr>
        <w:t> </w:t>
      </w:r>
      <w:r>
        <w:rPr/>
        <w:t>perilaku</w:t>
      </w:r>
      <w:r>
        <w:rPr>
          <w:spacing w:val="-8"/>
        </w:rPr>
        <w:t> </w:t>
      </w:r>
      <w:r>
        <w:rPr/>
        <w:t>individu</w:t>
      </w:r>
      <w:r>
        <w:rPr>
          <w:spacing w:val="-8"/>
        </w:rPr>
        <w:t> </w:t>
      </w:r>
      <w:r>
        <w:rPr/>
        <w:t>ketika terlibat dalam aktivitas ekonomi. Sehubungan dengan itu, inflasi berfungsi sebagai pengukur stabilitas harga. Inflasi berpotensi menjadi kabar buruk bagi pelaku ekonomi secara</w:t>
      </w:r>
      <w:r>
        <w:rPr>
          <w:spacing w:val="-11"/>
        </w:rPr>
        <w:t> </w:t>
      </w:r>
      <w:r>
        <w:rPr/>
        <w:t>keseluruhan</w:t>
      </w:r>
      <w:r>
        <w:rPr>
          <w:spacing w:val="-8"/>
        </w:rPr>
        <w:t> </w:t>
      </w:r>
      <w:r>
        <w:rPr/>
        <w:t>baik</w:t>
      </w:r>
      <w:r>
        <w:rPr>
          <w:spacing w:val="-8"/>
        </w:rPr>
        <w:t> </w:t>
      </w:r>
      <w:r>
        <w:rPr/>
        <w:t>pada</w:t>
      </w:r>
      <w:r>
        <w:rPr>
          <w:spacing w:val="-10"/>
        </w:rPr>
        <w:t> </w:t>
      </w:r>
      <w:r>
        <w:rPr/>
        <w:t>sektor</w:t>
      </w:r>
      <w:r>
        <w:rPr>
          <w:spacing w:val="-8"/>
        </w:rPr>
        <w:t> </w:t>
      </w:r>
      <w:r>
        <w:rPr/>
        <w:t>keuangan</w:t>
      </w:r>
      <w:r>
        <w:rPr>
          <w:spacing w:val="-10"/>
        </w:rPr>
        <w:t> </w:t>
      </w:r>
      <w:r>
        <w:rPr/>
        <w:t>maupun</w:t>
      </w:r>
      <w:r>
        <w:rPr>
          <w:spacing w:val="-10"/>
        </w:rPr>
        <w:t> </w:t>
      </w:r>
      <w:r>
        <w:rPr/>
        <w:t>pada</w:t>
      </w:r>
      <w:r>
        <w:rPr>
          <w:spacing w:val="-11"/>
        </w:rPr>
        <w:t> </w:t>
      </w:r>
      <w:r>
        <w:rPr/>
        <w:t>sektor</w:t>
      </w:r>
      <w:r>
        <w:rPr>
          <w:spacing w:val="-10"/>
        </w:rPr>
        <w:t> </w:t>
      </w:r>
      <w:r>
        <w:rPr/>
        <w:t>riil.</w:t>
      </w:r>
      <w:r>
        <w:rPr>
          <w:spacing w:val="-8"/>
        </w:rPr>
        <w:t> </w:t>
      </w:r>
      <w:r>
        <w:rPr/>
        <w:t>Di</w:t>
      </w:r>
      <w:r>
        <w:rPr>
          <w:spacing w:val="-10"/>
        </w:rPr>
        <w:t> </w:t>
      </w:r>
      <w:r>
        <w:rPr/>
        <w:t>bidang</w:t>
      </w:r>
      <w:r>
        <w:rPr>
          <w:spacing w:val="-10"/>
        </w:rPr>
        <w:t> </w:t>
      </w:r>
      <w:r>
        <w:rPr/>
        <w:t>moneter, inflasi merupakan kejadian yang signifikan dan mungkin terjadi di hampir setiap negara, termasuk</w:t>
      </w:r>
      <w:r>
        <w:rPr>
          <w:spacing w:val="-10"/>
        </w:rPr>
        <w:t> </w:t>
      </w:r>
      <w:r>
        <w:rPr/>
        <w:t>Indonesia.</w:t>
      </w:r>
      <w:r>
        <w:rPr>
          <w:spacing w:val="-10"/>
        </w:rPr>
        <w:t> </w:t>
      </w:r>
      <w:r>
        <w:rPr/>
        <w:t>Hal</w:t>
      </w:r>
      <w:r>
        <w:rPr>
          <w:spacing w:val="-11"/>
        </w:rPr>
        <w:t> </w:t>
      </w:r>
      <w:r>
        <w:rPr/>
        <w:t>ini</w:t>
      </w:r>
      <w:r>
        <w:rPr>
          <w:spacing w:val="-11"/>
        </w:rPr>
        <w:t> </w:t>
      </w:r>
      <w:r>
        <w:rPr/>
        <w:t>ditandai</w:t>
      </w:r>
      <w:r>
        <w:rPr>
          <w:spacing w:val="-11"/>
        </w:rPr>
        <w:t> </w:t>
      </w:r>
      <w:r>
        <w:rPr/>
        <w:t>dengan</w:t>
      </w:r>
      <w:r>
        <w:rPr>
          <w:spacing w:val="-11"/>
        </w:rPr>
        <w:t> </w:t>
      </w:r>
      <w:r>
        <w:rPr/>
        <w:t>munculnya</w:t>
      </w:r>
      <w:r>
        <w:rPr>
          <w:spacing w:val="-11"/>
        </w:rPr>
        <w:t> </w:t>
      </w:r>
      <w:r>
        <w:rPr/>
        <w:t>tanda-tanda</w:t>
      </w:r>
      <w:r>
        <w:rPr>
          <w:spacing w:val="-12"/>
        </w:rPr>
        <w:t> </w:t>
      </w:r>
      <w:r>
        <w:rPr/>
        <w:t>kenaikan</w:t>
      </w:r>
      <w:r>
        <w:rPr>
          <w:spacing w:val="-11"/>
        </w:rPr>
        <w:t> </w:t>
      </w:r>
      <w:r>
        <w:rPr/>
        <w:t>harga</w:t>
      </w:r>
      <w:r>
        <w:rPr>
          <w:spacing w:val="-12"/>
        </w:rPr>
        <w:t> </w:t>
      </w:r>
      <w:r>
        <w:rPr/>
        <w:t>umum yang berkelanjutan untuk produk dan layanan. Lebih jauh lagi, ada tiga syarat yang harus dipenuhi</w:t>
      </w:r>
      <w:r>
        <w:rPr>
          <w:spacing w:val="-11"/>
        </w:rPr>
        <w:t> </w:t>
      </w:r>
      <w:r>
        <w:rPr/>
        <w:t>sebagai</w:t>
      </w:r>
      <w:r>
        <w:rPr>
          <w:spacing w:val="-10"/>
        </w:rPr>
        <w:t> </w:t>
      </w:r>
      <w:r>
        <w:rPr/>
        <w:t>kriteria</w:t>
      </w:r>
      <w:r>
        <w:rPr>
          <w:spacing w:val="-9"/>
        </w:rPr>
        <w:t> </w:t>
      </w:r>
      <w:r>
        <w:rPr/>
        <w:t>inflasi.</w:t>
      </w:r>
      <w:r>
        <w:rPr>
          <w:spacing w:val="-11"/>
        </w:rPr>
        <w:t> </w:t>
      </w:r>
      <w:r>
        <w:rPr/>
        <w:t>Secara</w:t>
      </w:r>
      <w:r>
        <w:rPr>
          <w:spacing w:val="-12"/>
        </w:rPr>
        <w:t> </w:t>
      </w:r>
      <w:r>
        <w:rPr/>
        <w:t>khusus,</w:t>
      </w:r>
      <w:r>
        <w:rPr>
          <w:spacing w:val="-10"/>
        </w:rPr>
        <w:t> </w:t>
      </w:r>
      <w:r>
        <w:rPr/>
        <w:t>yang</w:t>
      </w:r>
      <w:r>
        <w:rPr>
          <w:spacing w:val="-11"/>
        </w:rPr>
        <w:t> </w:t>
      </w:r>
      <w:r>
        <w:rPr/>
        <w:t>pertama</w:t>
      </w:r>
      <w:r>
        <w:rPr>
          <w:spacing w:val="-11"/>
        </w:rPr>
        <w:t> </w:t>
      </w:r>
      <w:r>
        <w:rPr/>
        <w:t>adalah</w:t>
      </w:r>
      <w:r>
        <w:rPr>
          <w:spacing w:val="-11"/>
        </w:rPr>
        <w:t> </w:t>
      </w:r>
      <w:r>
        <w:rPr/>
        <w:t>kenaikan</w:t>
      </w:r>
      <w:r>
        <w:rPr>
          <w:spacing w:val="-11"/>
        </w:rPr>
        <w:t> </w:t>
      </w:r>
      <w:r>
        <w:rPr/>
        <w:t>harga</w:t>
      </w:r>
      <w:r>
        <w:rPr>
          <w:spacing w:val="-12"/>
        </w:rPr>
        <w:t> </w:t>
      </w:r>
      <w:r>
        <w:rPr/>
        <w:t>untuk produk dan layanan. Kedua, barang dan layanan umum adalah barang dan layanan yang mengalami kenaikan harga. Ketiga, kenaikan harga terjadi dalam rentang waktu yang cukup lama.</w:t>
      </w:r>
      <w:hyperlink w:history="true" w:anchor="_bookmark34">
        <w:r>
          <w:rPr>
            <w:vertAlign w:val="superscript"/>
          </w:rPr>
          <w:t>22</w:t>
        </w:r>
      </w:hyperlink>
    </w:p>
    <w:p>
      <w:pPr>
        <w:pStyle w:val="Heading2"/>
        <w:spacing w:before="1"/>
        <w:ind w:left="580"/>
        <w:jc w:val="center"/>
      </w:pPr>
      <w:r>
        <w:rPr/>
        <w:t>Grafik</w:t>
      </w:r>
      <w:r>
        <w:rPr>
          <w:spacing w:val="-4"/>
        </w:rPr>
        <w:t> </w:t>
      </w:r>
      <w:r>
        <w:rPr>
          <w:spacing w:val="-5"/>
        </w:rPr>
        <w:t>1.4</w:t>
      </w:r>
    </w:p>
    <w:p>
      <w:pPr>
        <w:spacing w:before="139"/>
        <w:ind w:left="577" w:right="0" w:firstLine="0"/>
        <w:jc w:val="center"/>
        <w:rPr>
          <w:b/>
          <w:sz w:val="24"/>
        </w:rPr>
      </w:pPr>
      <w:r>
        <w:rPr>
          <w:b/>
          <w:sz w:val="24"/>
        </w:rPr>
        <w:t>Kondisi</w:t>
      </w:r>
      <w:r>
        <w:rPr>
          <w:b/>
          <w:spacing w:val="-3"/>
          <w:sz w:val="24"/>
        </w:rPr>
        <w:t> </w:t>
      </w:r>
      <w:r>
        <w:rPr>
          <w:b/>
          <w:sz w:val="24"/>
        </w:rPr>
        <w:t>Inflasi</w:t>
      </w:r>
      <w:r>
        <w:rPr>
          <w:b/>
          <w:spacing w:val="-3"/>
          <w:sz w:val="24"/>
        </w:rPr>
        <w:t> </w:t>
      </w:r>
      <w:r>
        <w:rPr>
          <w:b/>
          <w:sz w:val="24"/>
        </w:rPr>
        <w:t>di </w:t>
      </w:r>
      <w:r>
        <w:rPr>
          <w:b/>
          <w:spacing w:val="-2"/>
          <w:sz w:val="24"/>
        </w:rPr>
        <w:t>Indonesia</w:t>
      </w:r>
    </w:p>
    <w:p>
      <w:pPr>
        <w:spacing w:before="131"/>
        <w:ind w:left="1890"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35808">
                <wp:simplePos x="0" y="0"/>
                <wp:positionH relativeFrom="page">
                  <wp:posOffset>2250006</wp:posOffset>
                </wp:positionH>
                <wp:positionV relativeFrom="paragraph">
                  <wp:posOffset>165709</wp:posOffset>
                </wp:positionV>
                <wp:extent cx="3842385" cy="232473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3842385" cy="2324735"/>
                          <a:chExt cx="3842385" cy="2324735"/>
                        </a:xfrm>
                      </wpg:grpSpPr>
                      <wps:wsp>
                        <wps:cNvPr id="33" name="Graphic 33"/>
                        <wps:cNvSpPr/>
                        <wps:spPr>
                          <a:xfrm>
                            <a:off x="48254" y="2746"/>
                            <a:ext cx="3791585" cy="2273300"/>
                          </a:xfrm>
                          <a:custGeom>
                            <a:avLst/>
                            <a:gdLst/>
                            <a:ahLst/>
                            <a:cxnLst/>
                            <a:rect l="l" t="t" r="r" b="b"/>
                            <a:pathLst>
                              <a:path w="3791585" h="2273300">
                                <a:moveTo>
                                  <a:pt x="0" y="0"/>
                                </a:moveTo>
                                <a:lnTo>
                                  <a:pt x="0" y="2272984"/>
                                </a:lnTo>
                              </a:path>
                              <a:path w="3791585" h="2273300">
                                <a:moveTo>
                                  <a:pt x="0" y="2272984"/>
                                </a:moveTo>
                                <a:lnTo>
                                  <a:pt x="3791038" y="2272984"/>
                                </a:lnTo>
                              </a:path>
                              <a:path w="3791585" h="2273300">
                                <a:moveTo>
                                  <a:pt x="3791038" y="2272984"/>
                                </a:moveTo>
                                <a:lnTo>
                                  <a:pt x="3791038" y="0"/>
                                </a:lnTo>
                              </a:path>
                              <a:path w="3791585" h="2273300">
                                <a:moveTo>
                                  <a:pt x="3791038" y="0"/>
                                </a:moveTo>
                                <a:lnTo>
                                  <a:pt x="0" y="0"/>
                                </a:lnTo>
                              </a:path>
                            </a:pathLst>
                          </a:custGeom>
                          <a:ln w="5500">
                            <a:solidFill>
                              <a:srgbClr val="000000"/>
                            </a:solidFill>
                            <a:prstDash val="solid"/>
                          </a:ln>
                        </wps:spPr>
                        <wps:bodyPr wrap="square" lIns="0" tIns="0" rIns="0" bIns="0" rtlCol="0">
                          <a:prstTxWarp prst="textNoShape">
                            <a:avLst/>
                          </a:prstTxWarp>
                          <a:noAutofit/>
                        </wps:bodyPr>
                      </wps:wsp>
                      <wps:wsp>
                        <wps:cNvPr id="34" name="Graphic 34"/>
                        <wps:cNvSpPr/>
                        <wps:spPr>
                          <a:xfrm>
                            <a:off x="0" y="6284"/>
                            <a:ext cx="3799840" cy="2318385"/>
                          </a:xfrm>
                          <a:custGeom>
                            <a:avLst/>
                            <a:gdLst/>
                            <a:ahLst/>
                            <a:cxnLst/>
                            <a:rect l="l" t="t" r="r" b="b"/>
                            <a:pathLst>
                              <a:path w="3799840" h="2318385">
                                <a:moveTo>
                                  <a:pt x="43722" y="2267180"/>
                                </a:moveTo>
                                <a:lnTo>
                                  <a:pt x="0" y="2267180"/>
                                </a:lnTo>
                              </a:path>
                              <a:path w="3799840" h="2318385">
                                <a:moveTo>
                                  <a:pt x="43722" y="1942556"/>
                                </a:moveTo>
                                <a:lnTo>
                                  <a:pt x="0" y="1942556"/>
                                </a:lnTo>
                              </a:path>
                              <a:path w="3799840" h="2318385">
                                <a:moveTo>
                                  <a:pt x="43722" y="1618901"/>
                                </a:moveTo>
                                <a:lnTo>
                                  <a:pt x="0" y="1618901"/>
                                </a:lnTo>
                              </a:path>
                              <a:path w="3799840" h="2318385">
                                <a:moveTo>
                                  <a:pt x="43722" y="1295247"/>
                                </a:moveTo>
                                <a:lnTo>
                                  <a:pt x="0" y="1295247"/>
                                </a:lnTo>
                              </a:path>
                              <a:path w="3799840" h="2318385">
                                <a:moveTo>
                                  <a:pt x="43722" y="970662"/>
                                </a:moveTo>
                                <a:lnTo>
                                  <a:pt x="0" y="970662"/>
                                </a:lnTo>
                              </a:path>
                              <a:path w="3799840" h="2318385">
                                <a:moveTo>
                                  <a:pt x="43722" y="647020"/>
                                </a:moveTo>
                                <a:lnTo>
                                  <a:pt x="0" y="647020"/>
                                </a:lnTo>
                              </a:path>
                              <a:path w="3799840" h="2318385">
                                <a:moveTo>
                                  <a:pt x="43722" y="323641"/>
                                </a:moveTo>
                                <a:lnTo>
                                  <a:pt x="0" y="323641"/>
                                </a:lnTo>
                              </a:path>
                              <a:path w="3799840" h="2318385">
                                <a:moveTo>
                                  <a:pt x="43722" y="0"/>
                                </a:moveTo>
                                <a:lnTo>
                                  <a:pt x="0" y="0"/>
                                </a:lnTo>
                              </a:path>
                              <a:path w="3799840" h="2318385">
                                <a:moveTo>
                                  <a:pt x="88746" y="2273980"/>
                                </a:moveTo>
                                <a:lnTo>
                                  <a:pt x="88746" y="2317997"/>
                                </a:lnTo>
                              </a:path>
                              <a:path w="3799840" h="2318385">
                                <a:moveTo>
                                  <a:pt x="397118" y="2273980"/>
                                </a:moveTo>
                                <a:lnTo>
                                  <a:pt x="397118" y="2317997"/>
                                </a:lnTo>
                              </a:path>
                              <a:path w="3799840" h="2318385">
                                <a:moveTo>
                                  <a:pt x="706449" y="2273980"/>
                                </a:moveTo>
                                <a:lnTo>
                                  <a:pt x="706449" y="2317997"/>
                                </a:lnTo>
                              </a:path>
                              <a:path w="3799840" h="2318385">
                                <a:moveTo>
                                  <a:pt x="1015754" y="2273980"/>
                                </a:moveTo>
                                <a:lnTo>
                                  <a:pt x="1015754" y="2317997"/>
                                </a:lnTo>
                              </a:path>
                              <a:path w="3799840" h="2318385">
                                <a:moveTo>
                                  <a:pt x="1325190" y="2273980"/>
                                </a:moveTo>
                                <a:lnTo>
                                  <a:pt x="1325190" y="2317997"/>
                                </a:lnTo>
                              </a:path>
                              <a:path w="3799840" h="2318385">
                                <a:moveTo>
                                  <a:pt x="1634494" y="2273980"/>
                                </a:moveTo>
                                <a:lnTo>
                                  <a:pt x="1634494" y="2317997"/>
                                </a:lnTo>
                              </a:path>
                              <a:path w="3799840" h="2318385">
                                <a:moveTo>
                                  <a:pt x="1943799" y="2273980"/>
                                </a:moveTo>
                                <a:lnTo>
                                  <a:pt x="1943799" y="2317997"/>
                                </a:lnTo>
                              </a:path>
                              <a:path w="3799840" h="2318385">
                                <a:moveTo>
                                  <a:pt x="2253104" y="2273980"/>
                                </a:moveTo>
                                <a:lnTo>
                                  <a:pt x="2253104" y="2317997"/>
                                </a:lnTo>
                              </a:path>
                              <a:path w="3799840" h="2318385">
                                <a:moveTo>
                                  <a:pt x="2562409" y="2273980"/>
                                </a:moveTo>
                                <a:lnTo>
                                  <a:pt x="2562409" y="2317997"/>
                                </a:lnTo>
                              </a:path>
                              <a:path w="3799840" h="2318385">
                                <a:moveTo>
                                  <a:pt x="2871845" y="2273980"/>
                                </a:moveTo>
                                <a:lnTo>
                                  <a:pt x="2871845" y="2317997"/>
                                </a:lnTo>
                              </a:path>
                              <a:path w="3799840" h="2318385">
                                <a:moveTo>
                                  <a:pt x="3181150" y="2273980"/>
                                </a:moveTo>
                                <a:lnTo>
                                  <a:pt x="3181150" y="2317997"/>
                                </a:lnTo>
                              </a:path>
                              <a:path w="3799840" h="2318385">
                                <a:moveTo>
                                  <a:pt x="3490454" y="2273980"/>
                                </a:moveTo>
                                <a:lnTo>
                                  <a:pt x="3490454" y="2317997"/>
                                </a:lnTo>
                              </a:path>
                              <a:path w="3799840" h="2318385">
                                <a:moveTo>
                                  <a:pt x="3799759" y="2273980"/>
                                </a:moveTo>
                                <a:lnTo>
                                  <a:pt x="3799759" y="2317997"/>
                                </a:lnTo>
                              </a:path>
                            </a:pathLst>
                          </a:custGeom>
                          <a:ln w="4529">
                            <a:solidFill>
                              <a:srgbClr val="000000"/>
                            </a:solidFill>
                            <a:prstDash val="solid"/>
                          </a:ln>
                        </wps:spPr>
                        <wps:bodyPr wrap="square" lIns="0" tIns="0" rIns="0" bIns="0" rtlCol="0">
                          <a:prstTxWarp prst="textNoShape">
                            <a:avLst/>
                          </a:prstTxWarp>
                          <a:noAutofit/>
                        </wps:bodyPr>
                      </wps:wsp>
                      <wps:wsp>
                        <wps:cNvPr id="35" name="Graphic 35"/>
                        <wps:cNvSpPr/>
                        <wps:spPr>
                          <a:xfrm>
                            <a:off x="126966" y="1140025"/>
                            <a:ext cx="193675" cy="1130300"/>
                          </a:xfrm>
                          <a:custGeom>
                            <a:avLst/>
                            <a:gdLst/>
                            <a:ahLst/>
                            <a:cxnLst/>
                            <a:rect l="l" t="t" r="r" b="b"/>
                            <a:pathLst>
                              <a:path w="193675" h="1130300">
                                <a:moveTo>
                                  <a:pt x="193371" y="0"/>
                                </a:moveTo>
                                <a:lnTo>
                                  <a:pt x="0" y="0"/>
                                </a:lnTo>
                                <a:lnTo>
                                  <a:pt x="0" y="1130045"/>
                                </a:lnTo>
                                <a:lnTo>
                                  <a:pt x="193371" y="1130045"/>
                                </a:lnTo>
                                <a:lnTo>
                                  <a:pt x="193371" y="0"/>
                                </a:lnTo>
                                <a:close/>
                              </a:path>
                            </a:pathLst>
                          </a:custGeom>
                          <a:solidFill>
                            <a:srgbClr val="93BDFF"/>
                          </a:solidFill>
                        </wps:spPr>
                        <wps:bodyPr wrap="square" lIns="0" tIns="0" rIns="0" bIns="0" rtlCol="0">
                          <a:prstTxWarp prst="textNoShape">
                            <a:avLst/>
                          </a:prstTxWarp>
                          <a:noAutofit/>
                        </wps:bodyPr>
                      </wps:wsp>
                      <wps:wsp>
                        <wps:cNvPr id="36" name="Graphic 36"/>
                        <wps:cNvSpPr/>
                        <wps:spPr>
                          <a:xfrm>
                            <a:off x="126966" y="1140025"/>
                            <a:ext cx="193675" cy="1130300"/>
                          </a:xfrm>
                          <a:custGeom>
                            <a:avLst/>
                            <a:gdLst/>
                            <a:ahLst/>
                            <a:cxnLst/>
                            <a:rect l="l" t="t" r="r" b="b"/>
                            <a:pathLst>
                              <a:path w="193675" h="1130300">
                                <a:moveTo>
                                  <a:pt x="193371" y="1130045"/>
                                </a:moveTo>
                                <a:lnTo>
                                  <a:pt x="193371" y="0"/>
                                </a:lnTo>
                                <a:lnTo>
                                  <a:pt x="0" y="0"/>
                                </a:lnTo>
                                <a:lnTo>
                                  <a:pt x="0" y="1130045"/>
                                </a:lnTo>
                              </a:path>
                            </a:pathLst>
                          </a:custGeom>
                          <a:ln w="3238">
                            <a:solidFill>
                              <a:srgbClr val="000000"/>
                            </a:solidFill>
                            <a:prstDash val="solid"/>
                          </a:ln>
                        </wps:spPr>
                        <wps:bodyPr wrap="square" lIns="0" tIns="0" rIns="0" bIns="0" rtlCol="0">
                          <a:prstTxWarp prst="textNoShape">
                            <a:avLst/>
                          </a:prstTxWarp>
                          <a:noAutofit/>
                        </wps:bodyPr>
                      </wps:wsp>
                      <wps:wsp>
                        <wps:cNvPr id="37" name="Graphic 37"/>
                        <wps:cNvSpPr/>
                        <wps:spPr>
                          <a:xfrm>
                            <a:off x="320350" y="329912"/>
                            <a:ext cx="194310" cy="1940560"/>
                          </a:xfrm>
                          <a:custGeom>
                            <a:avLst/>
                            <a:gdLst/>
                            <a:ahLst/>
                            <a:cxnLst/>
                            <a:rect l="l" t="t" r="r" b="b"/>
                            <a:pathLst>
                              <a:path w="194310" h="1940560">
                                <a:moveTo>
                                  <a:pt x="193699" y="0"/>
                                </a:moveTo>
                                <a:lnTo>
                                  <a:pt x="0" y="0"/>
                                </a:lnTo>
                                <a:lnTo>
                                  <a:pt x="0" y="1940158"/>
                                </a:lnTo>
                                <a:lnTo>
                                  <a:pt x="193699" y="1940158"/>
                                </a:lnTo>
                                <a:lnTo>
                                  <a:pt x="193699" y="0"/>
                                </a:lnTo>
                                <a:close/>
                              </a:path>
                            </a:pathLst>
                          </a:custGeom>
                          <a:solidFill>
                            <a:srgbClr val="93BDFF"/>
                          </a:solidFill>
                        </wps:spPr>
                        <wps:bodyPr wrap="square" lIns="0" tIns="0" rIns="0" bIns="0" rtlCol="0">
                          <a:prstTxWarp prst="textNoShape">
                            <a:avLst/>
                          </a:prstTxWarp>
                          <a:noAutofit/>
                        </wps:bodyPr>
                      </wps:wsp>
                      <wps:wsp>
                        <wps:cNvPr id="38" name="Graphic 38"/>
                        <wps:cNvSpPr/>
                        <wps:spPr>
                          <a:xfrm>
                            <a:off x="320350" y="329912"/>
                            <a:ext cx="194310" cy="1940560"/>
                          </a:xfrm>
                          <a:custGeom>
                            <a:avLst/>
                            <a:gdLst/>
                            <a:ahLst/>
                            <a:cxnLst/>
                            <a:rect l="l" t="t" r="r" b="b"/>
                            <a:pathLst>
                              <a:path w="194310" h="1940560">
                                <a:moveTo>
                                  <a:pt x="193699" y="1940158"/>
                                </a:moveTo>
                                <a:lnTo>
                                  <a:pt x="193699" y="0"/>
                                </a:lnTo>
                                <a:lnTo>
                                  <a:pt x="0" y="0"/>
                                </a:lnTo>
                                <a:lnTo>
                                  <a:pt x="0" y="1940158"/>
                                </a:lnTo>
                              </a:path>
                            </a:pathLst>
                          </a:custGeom>
                          <a:ln w="3239">
                            <a:solidFill>
                              <a:srgbClr val="000000"/>
                            </a:solidFill>
                            <a:prstDash val="solid"/>
                          </a:ln>
                        </wps:spPr>
                        <wps:bodyPr wrap="square" lIns="0" tIns="0" rIns="0" bIns="0" rtlCol="0">
                          <a:prstTxWarp prst="textNoShape">
                            <a:avLst/>
                          </a:prstTxWarp>
                          <a:noAutofit/>
                        </wps:bodyPr>
                      </wps:wsp>
                      <wps:wsp>
                        <wps:cNvPr id="39" name="Graphic 39"/>
                        <wps:cNvSpPr/>
                        <wps:spPr>
                          <a:xfrm>
                            <a:off x="514050" y="1625185"/>
                            <a:ext cx="192405" cy="645160"/>
                          </a:xfrm>
                          <a:custGeom>
                            <a:avLst/>
                            <a:gdLst/>
                            <a:ahLst/>
                            <a:cxnLst/>
                            <a:rect l="l" t="t" r="r" b="b"/>
                            <a:pathLst>
                              <a:path w="192405" h="645160">
                                <a:moveTo>
                                  <a:pt x="192399" y="0"/>
                                </a:moveTo>
                                <a:lnTo>
                                  <a:pt x="0" y="0"/>
                                </a:lnTo>
                                <a:lnTo>
                                  <a:pt x="0" y="644885"/>
                                </a:lnTo>
                                <a:lnTo>
                                  <a:pt x="192399" y="644885"/>
                                </a:lnTo>
                                <a:lnTo>
                                  <a:pt x="192399" y="0"/>
                                </a:lnTo>
                                <a:close/>
                              </a:path>
                            </a:pathLst>
                          </a:custGeom>
                          <a:solidFill>
                            <a:srgbClr val="93BDFF"/>
                          </a:solidFill>
                        </wps:spPr>
                        <wps:bodyPr wrap="square" lIns="0" tIns="0" rIns="0" bIns="0" rtlCol="0">
                          <a:prstTxWarp prst="textNoShape">
                            <a:avLst/>
                          </a:prstTxWarp>
                          <a:noAutofit/>
                        </wps:bodyPr>
                      </wps:wsp>
                      <wps:wsp>
                        <wps:cNvPr id="40" name="Graphic 40"/>
                        <wps:cNvSpPr/>
                        <wps:spPr>
                          <a:xfrm>
                            <a:off x="514050" y="1625185"/>
                            <a:ext cx="192405" cy="645160"/>
                          </a:xfrm>
                          <a:custGeom>
                            <a:avLst/>
                            <a:gdLst/>
                            <a:ahLst/>
                            <a:cxnLst/>
                            <a:rect l="l" t="t" r="r" b="b"/>
                            <a:pathLst>
                              <a:path w="192405" h="645160">
                                <a:moveTo>
                                  <a:pt x="192399" y="644885"/>
                                </a:moveTo>
                                <a:lnTo>
                                  <a:pt x="192399" y="0"/>
                                </a:lnTo>
                                <a:lnTo>
                                  <a:pt x="0" y="0"/>
                                </a:lnTo>
                                <a:lnTo>
                                  <a:pt x="0" y="644885"/>
                                </a:lnTo>
                              </a:path>
                            </a:pathLst>
                          </a:custGeom>
                          <a:ln w="3238">
                            <a:solidFill>
                              <a:srgbClr val="000000"/>
                            </a:solidFill>
                            <a:prstDash val="solid"/>
                          </a:ln>
                        </wps:spPr>
                        <wps:bodyPr wrap="square" lIns="0" tIns="0" rIns="0" bIns="0" rtlCol="0">
                          <a:prstTxWarp prst="textNoShape">
                            <a:avLst/>
                          </a:prstTxWarp>
                          <a:noAutofit/>
                        </wps:bodyPr>
                      </wps:wsp>
                      <wps:wsp>
                        <wps:cNvPr id="41" name="Graphic 41"/>
                        <wps:cNvSpPr/>
                        <wps:spPr>
                          <a:xfrm>
                            <a:off x="706449" y="1463365"/>
                            <a:ext cx="193675" cy="807085"/>
                          </a:xfrm>
                          <a:custGeom>
                            <a:avLst/>
                            <a:gdLst/>
                            <a:ahLst/>
                            <a:cxnLst/>
                            <a:rect l="l" t="t" r="r" b="b"/>
                            <a:pathLst>
                              <a:path w="193675" h="807085">
                                <a:moveTo>
                                  <a:pt x="193371" y="0"/>
                                </a:moveTo>
                                <a:lnTo>
                                  <a:pt x="0" y="0"/>
                                </a:lnTo>
                                <a:lnTo>
                                  <a:pt x="0" y="806705"/>
                                </a:lnTo>
                                <a:lnTo>
                                  <a:pt x="193371" y="806705"/>
                                </a:lnTo>
                                <a:lnTo>
                                  <a:pt x="193371" y="0"/>
                                </a:lnTo>
                                <a:close/>
                              </a:path>
                            </a:pathLst>
                          </a:custGeom>
                          <a:solidFill>
                            <a:srgbClr val="93BDFF"/>
                          </a:solidFill>
                        </wps:spPr>
                        <wps:bodyPr wrap="square" lIns="0" tIns="0" rIns="0" bIns="0" rtlCol="0">
                          <a:prstTxWarp prst="textNoShape">
                            <a:avLst/>
                          </a:prstTxWarp>
                          <a:noAutofit/>
                        </wps:bodyPr>
                      </wps:wsp>
                      <wps:wsp>
                        <wps:cNvPr id="42" name="Graphic 42"/>
                        <wps:cNvSpPr/>
                        <wps:spPr>
                          <a:xfrm>
                            <a:off x="706449" y="1463365"/>
                            <a:ext cx="193675" cy="807085"/>
                          </a:xfrm>
                          <a:custGeom>
                            <a:avLst/>
                            <a:gdLst/>
                            <a:ahLst/>
                            <a:cxnLst/>
                            <a:rect l="l" t="t" r="r" b="b"/>
                            <a:pathLst>
                              <a:path w="193675" h="807085">
                                <a:moveTo>
                                  <a:pt x="193371" y="806705"/>
                                </a:moveTo>
                                <a:lnTo>
                                  <a:pt x="193371" y="0"/>
                                </a:lnTo>
                                <a:lnTo>
                                  <a:pt x="0" y="0"/>
                                </a:lnTo>
                                <a:lnTo>
                                  <a:pt x="0" y="806705"/>
                                </a:lnTo>
                              </a:path>
                            </a:pathLst>
                          </a:custGeom>
                          <a:ln w="3238">
                            <a:solidFill>
                              <a:srgbClr val="000000"/>
                            </a:solidFill>
                            <a:prstDash val="solid"/>
                          </a:ln>
                        </wps:spPr>
                        <wps:bodyPr wrap="square" lIns="0" tIns="0" rIns="0" bIns="0" rtlCol="0">
                          <a:prstTxWarp prst="textNoShape">
                            <a:avLst/>
                          </a:prstTxWarp>
                          <a:noAutofit/>
                        </wps:bodyPr>
                      </wps:wsp>
                      <wps:wsp>
                        <wps:cNvPr id="43" name="Graphic 43"/>
                        <wps:cNvSpPr/>
                        <wps:spPr>
                          <a:xfrm>
                            <a:off x="899781" y="2110661"/>
                            <a:ext cx="193675" cy="160020"/>
                          </a:xfrm>
                          <a:custGeom>
                            <a:avLst/>
                            <a:gdLst/>
                            <a:ahLst/>
                            <a:cxnLst/>
                            <a:rect l="l" t="t" r="r" b="b"/>
                            <a:pathLst>
                              <a:path w="193675" h="160020">
                                <a:moveTo>
                                  <a:pt x="193371" y="0"/>
                                </a:moveTo>
                                <a:lnTo>
                                  <a:pt x="0" y="0"/>
                                </a:lnTo>
                                <a:lnTo>
                                  <a:pt x="0" y="159409"/>
                                </a:lnTo>
                                <a:lnTo>
                                  <a:pt x="193371" y="159409"/>
                                </a:lnTo>
                                <a:lnTo>
                                  <a:pt x="193371" y="0"/>
                                </a:lnTo>
                                <a:close/>
                              </a:path>
                            </a:pathLst>
                          </a:custGeom>
                          <a:solidFill>
                            <a:srgbClr val="93BDFF"/>
                          </a:solidFill>
                        </wps:spPr>
                        <wps:bodyPr wrap="square" lIns="0" tIns="0" rIns="0" bIns="0" rtlCol="0">
                          <a:prstTxWarp prst="textNoShape">
                            <a:avLst/>
                          </a:prstTxWarp>
                          <a:noAutofit/>
                        </wps:bodyPr>
                      </wps:wsp>
                      <wps:wsp>
                        <wps:cNvPr id="44" name="Graphic 44"/>
                        <wps:cNvSpPr/>
                        <wps:spPr>
                          <a:xfrm>
                            <a:off x="899781" y="2110661"/>
                            <a:ext cx="193675" cy="160020"/>
                          </a:xfrm>
                          <a:custGeom>
                            <a:avLst/>
                            <a:gdLst/>
                            <a:ahLst/>
                            <a:cxnLst/>
                            <a:rect l="l" t="t" r="r" b="b"/>
                            <a:pathLst>
                              <a:path w="193675" h="160020">
                                <a:moveTo>
                                  <a:pt x="193371" y="159409"/>
                                </a:moveTo>
                                <a:lnTo>
                                  <a:pt x="193371" y="0"/>
                                </a:lnTo>
                                <a:lnTo>
                                  <a:pt x="0" y="0"/>
                                </a:lnTo>
                                <a:lnTo>
                                  <a:pt x="0" y="159409"/>
                                </a:lnTo>
                              </a:path>
                            </a:pathLst>
                          </a:custGeom>
                          <a:ln w="3234">
                            <a:solidFill>
                              <a:srgbClr val="000000"/>
                            </a:solidFill>
                            <a:prstDash val="solid"/>
                          </a:ln>
                        </wps:spPr>
                        <wps:bodyPr wrap="square" lIns="0" tIns="0" rIns="0" bIns="0" rtlCol="0">
                          <a:prstTxWarp prst="textNoShape">
                            <a:avLst/>
                          </a:prstTxWarp>
                          <a:noAutofit/>
                        </wps:bodyPr>
                      </wps:wsp>
                      <wps:wsp>
                        <wps:cNvPr id="45" name="Graphic 45"/>
                        <wps:cNvSpPr/>
                        <wps:spPr>
                          <a:xfrm>
                            <a:off x="1093244" y="1140025"/>
                            <a:ext cx="194310" cy="1130300"/>
                          </a:xfrm>
                          <a:custGeom>
                            <a:avLst/>
                            <a:gdLst/>
                            <a:ahLst/>
                            <a:cxnLst/>
                            <a:rect l="l" t="t" r="r" b="b"/>
                            <a:pathLst>
                              <a:path w="194310" h="1130300">
                                <a:moveTo>
                                  <a:pt x="193699" y="0"/>
                                </a:moveTo>
                                <a:lnTo>
                                  <a:pt x="0" y="0"/>
                                </a:lnTo>
                                <a:lnTo>
                                  <a:pt x="0" y="1130045"/>
                                </a:lnTo>
                                <a:lnTo>
                                  <a:pt x="193699" y="1130045"/>
                                </a:lnTo>
                                <a:lnTo>
                                  <a:pt x="193699" y="0"/>
                                </a:lnTo>
                                <a:close/>
                              </a:path>
                            </a:pathLst>
                          </a:custGeom>
                          <a:solidFill>
                            <a:srgbClr val="93BDFF"/>
                          </a:solidFill>
                        </wps:spPr>
                        <wps:bodyPr wrap="square" lIns="0" tIns="0" rIns="0" bIns="0" rtlCol="0">
                          <a:prstTxWarp prst="textNoShape">
                            <a:avLst/>
                          </a:prstTxWarp>
                          <a:noAutofit/>
                        </wps:bodyPr>
                      </wps:wsp>
                      <wps:wsp>
                        <wps:cNvPr id="46" name="Graphic 46"/>
                        <wps:cNvSpPr/>
                        <wps:spPr>
                          <a:xfrm>
                            <a:off x="1093244" y="1140025"/>
                            <a:ext cx="194310" cy="1130300"/>
                          </a:xfrm>
                          <a:custGeom>
                            <a:avLst/>
                            <a:gdLst/>
                            <a:ahLst/>
                            <a:cxnLst/>
                            <a:rect l="l" t="t" r="r" b="b"/>
                            <a:pathLst>
                              <a:path w="194310" h="1130300">
                                <a:moveTo>
                                  <a:pt x="193699" y="1130045"/>
                                </a:moveTo>
                                <a:lnTo>
                                  <a:pt x="193699" y="0"/>
                                </a:lnTo>
                                <a:lnTo>
                                  <a:pt x="0" y="0"/>
                                </a:lnTo>
                                <a:lnTo>
                                  <a:pt x="0" y="1130045"/>
                                </a:lnTo>
                              </a:path>
                            </a:pathLst>
                          </a:custGeom>
                          <a:ln w="3238">
                            <a:solidFill>
                              <a:srgbClr val="000000"/>
                            </a:solidFill>
                            <a:prstDash val="solid"/>
                          </a:ln>
                        </wps:spPr>
                        <wps:bodyPr wrap="square" lIns="0" tIns="0" rIns="0" bIns="0" rtlCol="0">
                          <a:prstTxWarp prst="textNoShape">
                            <a:avLst/>
                          </a:prstTxWarp>
                          <a:noAutofit/>
                        </wps:bodyPr>
                      </wps:wsp>
                      <wps:wsp>
                        <wps:cNvPr id="47" name="Graphic 47"/>
                        <wps:cNvSpPr/>
                        <wps:spPr>
                          <a:xfrm>
                            <a:off x="1286839" y="1463365"/>
                            <a:ext cx="193675" cy="807085"/>
                          </a:xfrm>
                          <a:custGeom>
                            <a:avLst/>
                            <a:gdLst/>
                            <a:ahLst/>
                            <a:cxnLst/>
                            <a:rect l="l" t="t" r="r" b="b"/>
                            <a:pathLst>
                              <a:path w="193675" h="807085">
                                <a:moveTo>
                                  <a:pt x="193371" y="0"/>
                                </a:moveTo>
                                <a:lnTo>
                                  <a:pt x="0" y="0"/>
                                </a:lnTo>
                                <a:lnTo>
                                  <a:pt x="0" y="806705"/>
                                </a:lnTo>
                                <a:lnTo>
                                  <a:pt x="193371" y="806705"/>
                                </a:lnTo>
                                <a:lnTo>
                                  <a:pt x="193371" y="0"/>
                                </a:lnTo>
                                <a:close/>
                              </a:path>
                            </a:pathLst>
                          </a:custGeom>
                          <a:solidFill>
                            <a:srgbClr val="93BDFF"/>
                          </a:solidFill>
                        </wps:spPr>
                        <wps:bodyPr wrap="square" lIns="0" tIns="0" rIns="0" bIns="0" rtlCol="0">
                          <a:prstTxWarp prst="textNoShape">
                            <a:avLst/>
                          </a:prstTxWarp>
                          <a:noAutofit/>
                        </wps:bodyPr>
                      </wps:wsp>
                      <wps:wsp>
                        <wps:cNvPr id="48" name="Graphic 48"/>
                        <wps:cNvSpPr/>
                        <wps:spPr>
                          <a:xfrm>
                            <a:off x="1286839" y="1463365"/>
                            <a:ext cx="193675" cy="807085"/>
                          </a:xfrm>
                          <a:custGeom>
                            <a:avLst/>
                            <a:gdLst/>
                            <a:ahLst/>
                            <a:cxnLst/>
                            <a:rect l="l" t="t" r="r" b="b"/>
                            <a:pathLst>
                              <a:path w="193675" h="807085">
                                <a:moveTo>
                                  <a:pt x="193371" y="806705"/>
                                </a:moveTo>
                                <a:lnTo>
                                  <a:pt x="193371" y="0"/>
                                </a:lnTo>
                                <a:lnTo>
                                  <a:pt x="0" y="0"/>
                                </a:lnTo>
                                <a:lnTo>
                                  <a:pt x="0" y="806705"/>
                                </a:lnTo>
                              </a:path>
                            </a:pathLst>
                          </a:custGeom>
                          <a:ln w="3238">
                            <a:solidFill>
                              <a:srgbClr val="000000"/>
                            </a:solidFill>
                            <a:prstDash val="solid"/>
                          </a:ln>
                        </wps:spPr>
                        <wps:bodyPr wrap="square" lIns="0" tIns="0" rIns="0" bIns="0" rtlCol="0">
                          <a:prstTxWarp prst="textNoShape">
                            <a:avLst/>
                          </a:prstTxWarp>
                          <a:noAutofit/>
                        </wps:bodyPr>
                      </wps:wsp>
                      <wps:wsp>
                        <wps:cNvPr id="49" name="Graphic 49"/>
                        <wps:cNvSpPr/>
                        <wps:spPr>
                          <a:xfrm>
                            <a:off x="1480302" y="1787006"/>
                            <a:ext cx="192405" cy="483234"/>
                          </a:xfrm>
                          <a:custGeom>
                            <a:avLst/>
                            <a:gdLst/>
                            <a:ahLst/>
                            <a:cxnLst/>
                            <a:rect l="l" t="t" r="r" b="b"/>
                            <a:pathLst>
                              <a:path w="192405" h="483234">
                                <a:moveTo>
                                  <a:pt x="192399" y="0"/>
                                </a:moveTo>
                                <a:lnTo>
                                  <a:pt x="0" y="0"/>
                                </a:lnTo>
                                <a:lnTo>
                                  <a:pt x="0" y="483064"/>
                                </a:lnTo>
                                <a:lnTo>
                                  <a:pt x="192399" y="483064"/>
                                </a:lnTo>
                                <a:lnTo>
                                  <a:pt x="192399" y="0"/>
                                </a:lnTo>
                                <a:close/>
                              </a:path>
                            </a:pathLst>
                          </a:custGeom>
                          <a:solidFill>
                            <a:srgbClr val="93BDFF"/>
                          </a:solidFill>
                        </wps:spPr>
                        <wps:bodyPr wrap="square" lIns="0" tIns="0" rIns="0" bIns="0" rtlCol="0">
                          <a:prstTxWarp prst="textNoShape">
                            <a:avLst/>
                          </a:prstTxWarp>
                          <a:noAutofit/>
                        </wps:bodyPr>
                      </wps:wsp>
                      <wps:wsp>
                        <wps:cNvPr id="50" name="Graphic 50"/>
                        <wps:cNvSpPr/>
                        <wps:spPr>
                          <a:xfrm>
                            <a:off x="1480302" y="1787006"/>
                            <a:ext cx="192405" cy="483234"/>
                          </a:xfrm>
                          <a:custGeom>
                            <a:avLst/>
                            <a:gdLst/>
                            <a:ahLst/>
                            <a:cxnLst/>
                            <a:rect l="l" t="t" r="r" b="b"/>
                            <a:pathLst>
                              <a:path w="192405" h="483234">
                                <a:moveTo>
                                  <a:pt x="192399" y="483064"/>
                                </a:moveTo>
                                <a:lnTo>
                                  <a:pt x="192399" y="0"/>
                                </a:lnTo>
                                <a:lnTo>
                                  <a:pt x="0" y="0"/>
                                </a:lnTo>
                                <a:lnTo>
                                  <a:pt x="0" y="483064"/>
                                </a:lnTo>
                              </a:path>
                            </a:pathLst>
                          </a:custGeom>
                          <a:ln w="3238">
                            <a:solidFill>
                              <a:srgbClr val="000000"/>
                            </a:solidFill>
                            <a:prstDash val="solid"/>
                          </a:ln>
                        </wps:spPr>
                        <wps:bodyPr wrap="square" lIns="0" tIns="0" rIns="0" bIns="0" rtlCol="0">
                          <a:prstTxWarp prst="textNoShape">
                            <a:avLst/>
                          </a:prstTxWarp>
                          <a:noAutofit/>
                        </wps:bodyPr>
                      </wps:wsp>
                      <wps:wsp>
                        <wps:cNvPr id="51" name="Graphic 51"/>
                        <wps:cNvSpPr/>
                        <wps:spPr>
                          <a:xfrm>
                            <a:off x="1672714" y="1948840"/>
                            <a:ext cx="193675" cy="321310"/>
                          </a:xfrm>
                          <a:custGeom>
                            <a:avLst/>
                            <a:gdLst/>
                            <a:ahLst/>
                            <a:cxnLst/>
                            <a:rect l="l" t="t" r="r" b="b"/>
                            <a:pathLst>
                              <a:path w="193675" h="321310">
                                <a:moveTo>
                                  <a:pt x="193371" y="0"/>
                                </a:moveTo>
                                <a:lnTo>
                                  <a:pt x="0" y="0"/>
                                </a:lnTo>
                                <a:lnTo>
                                  <a:pt x="0" y="321230"/>
                                </a:lnTo>
                                <a:lnTo>
                                  <a:pt x="193371" y="321230"/>
                                </a:lnTo>
                                <a:lnTo>
                                  <a:pt x="193371" y="0"/>
                                </a:lnTo>
                                <a:close/>
                              </a:path>
                            </a:pathLst>
                          </a:custGeom>
                          <a:solidFill>
                            <a:srgbClr val="93BDFF"/>
                          </a:solidFill>
                        </wps:spPr>
                        <wps:bodyPr wrap="square" lIns="0" tIns="0" rIns="0" bIns="0" rtlCol="0">
                          <a:prstTxWarp prst="textNoShape">
                            <a:avLst/>
                          </a:prstTxWarp>
                          <a:noAutofit/>
                        </wps:bodyPr>
                      </wps:wsp>
                      <wps:wsp>
                        <wps:cNvPr id="52" name="Graphic 52"/>
                        <wps:cNvSpPr/>
                        <wps:spPr>
                          <a:xfrm>
                            <a:off x="1672714" y="1948840"/>
                            <a:ext cx="193675" cy="321310"/>
                          </a:xfrm>
                          <a:custGeom>
                            <a:avLst/>
                            <a:gdLst/>
                            <a:ahLst/>
                            <a:cxnLst/>
                            <a:rect l="l" t="t" r="r" b="b"/>
                            <a:pathLst>
                              <a:path w="193675" h="321310">
                                <a:moveTo>
                                  <a:pt x="193371" y="321230"/>
                                </a:moveTo>
                                <a:lnTo>
                                  <a:pt x="193371" y="0"/>
                                </a:lnTo>
                                <a:lnTo>
                                  <a:pt x="0" y="0"/>
                                </a:lnTo>
                                <a:lnTo>
                                  <a:pt x="0" y="321230"/>
                                </a:lnTo>
                              </a:path>
                            </a:pathLst>
                          </a:custGeom>
                          <a:ln w="3237">
                            <a:solidFill>
                              <a:srgbClr val="000000"/>
                            </a:solidFill>
                            <a:prstDash val="solid"/>
                          </a:ln>
                        </wps:spPr>
                        <wps:bodyPr wrap="square" lIns="0" tIns="0" rIns="0" bIns="0" rtlCol="0">
                          <a:prstTxWarp prst="textNoShape">
                            <a:avLst/>
                          </a:prstTxWarp>
                          <a:noAutofit/>
                        </wps:bodyPr>
                      </wps:wsp>
                      <wps:wsp>
                        <wps:cNvPr id="53" name="Graphic 53"/>
                        <wps:cNvSpPr/>
                        <wps:spPr>
                          <a:xfrm>
                            <a:off x="1866046" y="1948840"/>
                            <a:ext cx="193675" cy="321310"/>
                          </a:xfrm>
                          <a:custGeom>
                            <a:avLst/>
                            <a:gdLst/>
                            <a:ahLst/>
                            <a:cxnLst/>
                            <a:rect l="l" t="t" r="r" b="b"/>
                            <a:pathLst>
                              <a:path w="193675" h="321310">
                                <a:moveTo>
                                  <a:pt x="193371" y="0"/>
                                </a:moveTo>
                                <a:lnTo>
                                  <a:pt x="0" y="0"/>
                                </a:lnTo>
                                <a:lnTo>
                                  <a:pt x="0" y="321230"/>
                                </a:lnTo>
                                <a:lnTo>
                                  <a:pt x="193371" y="321230"/>
                                </a:lnTo>
                                <a:lnTo>
                                  <a:pt x="193371" y="0"/>
                                </a:lnTo>
                                <a:close/>
                              </a:path>
                            </a:pathLst>
                          </a:custGeom>
                          <a:solidFill>
                            <a:srgbClr val="93BDFF"/>
                          </a:solidFill>
                        </wps:spPr>
                        <wps:bodyPr wrap="square" lIns="0" tIns="0" rIns="0" bIns="0" rtlCol="0">
                          <a:prstTxWarp prst="textNoShape">
                            <a:avLst/>
                          </a:prstTxWarp>
                          <a:noAutofit/>
                        </wps:bodyPr>
                      </wps:wsp>
                      <wps:wsp>
                        <wps:cNvPr id="54" name="Graphic 54"/>
                        <wps:cNvSpPr/>
                        <wps:spPr>
                          <a:xfrm>
                            <a:off x="1866046" y="1948840"/>
                            <a:ext cx="193675" cy="321310"/>
                          </a:xfrm>
                          <a:custGeom>
                            <a:avLst/>
                            <a:gdLst/>
                            <a:ahLst/>
                            <a:cxnLst/>
                            <a:rect l="l" t="t" r="r" b="b"/>
                            <a:pathLst>
                              <a:path w="193675" h="321310">
                                <a:moveTo>
                                  <a:pt x="193371" y="321230"/>
                                </a:moveTo>
                                <a:lnTo>
                                  <a:pt x="193371" y="0"/>
                                </a:lnTo>
                                <a:lnTo>
                                  <a:pt x="0" y="0"/>
                                </a:lnTo>
                                <a:lnTo>
                                  <a:pt x="0" y="321230"/>
                                </a:lnTo>
                              </a:path>
                            </a:pathLst>
                          </a:custGeom>
                          <a:ln w="3237">
                            <a:solidFill>
                              <a:srgbClr val="000000"/>
                            </a:solidFill>
                            <a:prstDash val="solid"/>
                          </a:ln>
                        </wps:spPr>
                        <wps:bodyPr wrap="square" lIns="0" tIns="0" rIns="0" bIns="0" rtlCol="0">
                          <a:prstTxWarp prst="textNoShape">
                            <a:avLst/>
                          </a:prstTxWarp>
                          <a:noAutofit/>
                        </wps:bodyPr>
                      </wps:wsp>
                      <wps:wsp>
                        <wps:cNvPr id="55" name="Graphic 55"/>
                        <wps:cNvSpPr/>
                        <wps:spPr>
                          <a:xfrm>
                            <a:off x="2253104" y="2110661"/>
                            <a:ext cx="193675" cy="160020"/>
                          </a:xfrm>
                          <a:custGeom>
                            <a:avLst/>
                            <a:gdLst/>
                            <a:ahLst/>
                            <a:cxnLst/>
                            <a:rect l="l" t="t" r="r" b="b"/>
                            <a:pathLst>
                              <a:path w="193675" h="160020">
                                <a:moveTo>
                                  <a:pt x="193371" y="0"/>
                                </a:moveTo>
                                <a:lnTo>
                                  <a:pt x="0" y="0"/>
                                </a:lnTo>
                                <a:lnTo>
                                  <a:pt x="0" y="159409"/>
                                </a:lnTo>
                                <a:lnTo>
                                  <a:pt x="193371" y="159409"/>
                                </a:lnTo>
                                <a:lnTo>
                                  <a:pt x="193371" y="0"/>
                                </a:lnTo>
                                <a:close/>
                              </a:path>
                            </a:pathLst>
                          </a:custGeom>
                          <a:solidFill>
                            <a:srgbClr val="93BDFF"/>
                          </a:solidFill>
                        </wps:spPr>
                        <wps:bodyPr wrap="square" lIns="0" tIns="0" rIns="0" bIns="0" rtlCol="0">
                          <a:prstTxWarp prst="textNoShape">
                            <a:avLst/>
                          </a:prstTxWarp>
                          <a:noAutofit/>
                        </wps:bodyPr>
                      </wps:wsp>
                      <wps:wsp>
                        <wps:cNvPr id="56" name="Graphic 56"/>
                        <wps:cNvSpPr/>
                        <wps:spPr>
                          <a:xfrm>
                            <a:off x="2253104" y="2110661"/>
                            <a:ext cx="193675" cy="160020"/>
                          </a:xfrm>
                          <a:custGeom>
                            <a:avLst/>
                            <a:gdLst/>
                            <a:ahLst/>
                            <a:cxnLst/>
                            <a:rect l="l" t="t" r="r" b="b"/>
                            <a:pathLst>
                              <a:path w="193675" h="160020">
                                <a:moveTo>
                                  <a:pt x="193371" y="159409"/>
                                </a:moveTo>
                                <a:lnTo>
                                  <a:pt x="193371" y="0"/>
                                </a:lnTo>
                                <a:lnTo>
                                  <a:pt x="0" y="0"/>
                                </a:lnTo>
                                <a:lnTo>
                                  <a:pt x="0" y="159409"/>
                                </a:lnTo>
                              </a:path>
                            </a:pathLst>
                          </a:custGeom>
                          <a:ln w="3234">
                            <a:solidFill>
                              <a:srgbClr val="000000"/>
                            </a:solidFill>
                            <a:prstDash val="solid"/>
                          </a:ln>
                        </wps:spPr>
                        <wps:bodyPr wrap="square" lIns="0" tIns="0" rIns="0" bIns="0" rtlCol="0">
                          <a:prstTxWarp prst="textNoShape">
                            <a:avLst/>
                          </a:prstTxWarp>
                          <a:noAutofit/>
                        </wps:bodyPr>
                      </wps:wsp>
                      <wps:wsp>
                        <wps:cNvPr id="57" name="Graphic 57"/>
                        <wps:cNvSpPr/>
                        <wps:spPr>
                          <a:xfrm>
                            <a:off x="2446567" y="1948840"/>
                            <a:ext cx="193675" cy="321310"/>
                          </a:xfrm>
                          <a:custGeom>
                            <a:avLst/>
                            <a:gdLst/>
                            <a:ahLst/>
                            <a:cxnLst/>
                            <a:rect l="l" t="t" r="r" b="b"/>
                            <a:pathLst>
                              <a:path w="193675" h="321310">
                                <a:moveTo>
                                  <a:pt x="193371" y="0"/>
                                </a:moveTo>
                                <a:lnTo>
                                  <a:pt x="0" y="0"/>
                                </a:lnTo>
                                <a:lnTo>
                                  <a:pt x="0" y="321230"/>
                                </a:lnTo>
                                <a:lnTo>
                                  <a:pt x="193371" y="321230"/>
                                </a:lnTo>
                                <a:lnTo>
                                  <a:pt x="193371" y="0"/>
                                </a:lnTo>
                                <a:close/>
                              </a:path>
                            </a:pathLst>
                          </a:custGeom>
                          <a:solidFill>
                            <a:srgbClr val="93BDFF"/>
                          </a:solidFill>
                        </wps:spPr>
                        <wps:bodyPr wrap="square" lIns="0" tIns="0" rIns="0" bIns="0" rtlCol="0">
                          <a:prstTxWarp prst="textNoShape">
                            <a:avLst/>
                          </a:prstTxWarp>
                          <a:noAutofit/>
                        </wps:bodyPr>
                      </wps:wsp>
                      <wps:wsp>
                        <wps:cNvPr id="58" name="Graphic 58"/>
                        <wps:cNvSpPr/>
                        <wps:spPr>
                          <a:xfrm>
                            <a:off x="2446567" y="1948840"/>
                            <a:ext cx="193675" cy="321310"/>
                          </a:xfrm>
                          <a:custGeom>
                            <a:avLst/>
                            <a:gdLst/>
                            <a:ahLst/>
                            <a:cxnLst/>
                            <a:rect l="l" t="t" r="r" b="b"/>
                            <a:pathLst>
                              <a:path w="193675" h="321310">
                                <a:moveTo>
                                  <a:pt x="193371" y="321230"/>
                                </a:moveTo>
                                <a:lnTo>
                                  <a:pt x="193371" y="0"/>
                                </a:lnTo>
                                <a:lnTo>
                                  <a:pt x="0" y="0"/>
                                </a:lnTo>
                                <a:lnTo>
                                  <a:pt x="0" y="321230"/>
                                </a:lnTo>
                              </a:path>
                            </a:pathLst>
                          </a:custGeom>
                          <a:ln w="3237">
                            <a:solidFill>
                              <a:srgbClr val="000000"/>
                            </a:solidFill>
                            <a:prstDash val="solid"/>
                          </a:ln>
                        </wps:spPr>
                        <wps:bodyPr wrap="square" lIns="0" tIns="0" rIns="0" bIns="0" rtlCol="0">
                          <a:prstTxWarp prst="textNoShape">
                            <a:avLst/>
                          </a:prstTxWarp>
                          <a:noAutofit/>
                        </wps:bodyPr>
                      </wps:wsp>
                      <wps:wsp>
                        <wps:cNvPr id="59" name="Graphic 59"/>
                        <wps:cNvSpPr/>
                        <wps:spPr>
                          <a:xfrm>
                            <a:off x="2639899" y="2110661"/>
                            <a:ext cx="192405" cy="160020"/>
                          </a:xfrm>
                          <a:custGeom>
                            <a:avLst/>
                            <a:gdLst/>
                            <a:ahLst/>
                            <a:cxnLst/>
                            <a:rect l="l" t="t" r="r" b="b"/>
                            <a:pathLst>
                              <a:path w="192405" h="160020">
                                <a:moveTo>
                                  <a:pt x="192399" y="0"/>
                                </a:moveTo>
                                <a:lnTo>
                                  <a:pt x="0" y="0"/>
                                </a:lnTo>
                                <a:lnTo>
                                  <a:pt x="0" y="159409"/>
                                </a:lnTo>
                                <a:lnTo>
                                  <a:pt x="192399" y="159409"/>
                                </a:lnTo>
                                <a:lnTo>
                                  <a:pt x="192399" y="0"/>
                                </a:lnTo>
                                <a:close/>
                              </a:path>
                            </a:pathLst>
                          </a:custGeom>
                          <a:solidFill>
                            <a:srgbClr val="93BDFF"/>
                          </a:solidFill>
                        </wps:spPr>
                        <wps:bodyPr wrap="square" lIns="0" tIns="0" rIns="0" bIns="0" rtlCol="0">
                          <a:prstTxWarp prst="textNoShape">
                            <a:avLst/>
                          </a:prstTxWarp>
                          <a:noAutofit/>
                        </wps:bodyPr>
                      </wps:wsp>
                      <wps:wsp>
                        <wps:cNvPr id="60" name="Graphic 60"/>
                        <wps:cNvSpPr/>
                        <wps:spPr>
                          <a:xfrm>
                            <a:off x="2639899" y="2110661"/>
                            <a:ext cx="192405" cy="160020"/>
                          </a:xfrm>
                          <a:custGeom>
                            <a:avLst/>
                            <a:gdLst/>
                            <a:ahLst/>
                            <a:cxnLst/>
                            <a:rect l="l" t="t" r="r" b="b"/>
                            <a:pathLst>
                              <a:path w="192405" h="160020">
                                <a:moveTo>
                                  <a:pt x="192399" y="159409"/>
                                </a:moveTo>
                                <a:lnTo>
                                  <a:pt x="192399" y="0"/>
                                </a:lnTo>
                                <a:lnTo>
                                  <a:pt x="0" y="0"/>
                                </a:lnTo>
                                <a:lnTo>
                                  <a:pt x="0" y="159409"/>
                                </a:lnTo>
                              </a:path>
                            </a:pathLst>
                          </a:custGeom>
                          <a:ln w="3234">
                            <a:solidFill>
                              <a:srgbClr val="000000"/>
                            </a:solidFill>
                            <a:prstDash val="solid"/>
                          </a:ln>
                        </wps:spPr>
                        <wps:bodyPr wrap="square" lIns="0" tIns="0" rIns="0" bIns="0" rtlCol="0">
                          <a:prstTxWarp prst="textNoShape">
                            <a:avLst/>
                          </a:prstTxWarp>
                          <a:noAutofit/>
                        </wps:bodyPr>
                      </wps:wsp>
                      <wps:wsp>
                        <wps:cNvPr id="61" name="Graphic 61"/>
                        <wps:cNvSpPr/>
                        <wps:spPr>
                          <a:xfrm>
                            <a:off x="2832312" y="1948840"/>
                            <a:ext cx="194310" cy="321310"/>
                          </a:xfrm>
                          <a:custGeom>
                            <a:avLst/>
                            <a:gdLst/>
                            <a:ahLst/>
                            <a:cxnLst/>
                            <a:rect l="l" t="t" r="r" b="b"/>
                            <a:pathLst>
                              <a:path w="194310" h="321310">
                                <a:moveTo>
                                  <a:pt x="193699" y="0"/>
                                </a:moveTo>
                                <a:lnTo>
                                  <a:pt x="0" y="0"/>
                                </a:lnTo>
                                <a:lnTo>
                                  <a:pt x="0" y="321230"/>
                                </a:lnTo>
                                <a:lnTo>
                                  <a:pt x="193699" y="321230"/>
                                </a:lnTo>
                                <a:lnTo>
                                  <a:pt x="193699" y="0"/>
                                </a:lnTo>
                                <a:close/>
                              </a:path>
                            </a:pathLst>
                          </a:custGeom>
                          <a:solidFill>
                            <a:srgbClr val="93BDFF"/>
                          </a:solidFill>
                        </wps:spPr>
                        <wps:bodyPr wrap="square" lIns="0" tIns="0" rIns="0" bIns="0" rtlCol="0">
                          <a:prstTxWarp prst="textNoShape">
                            <a:avLst/>
                          </a:prstTxWarp>
                          <a:noAutofit/>
                        </wps:bodyPr>
                      </wps:wsp>
                      <wps:wsp>
                        <wps:cNvPr id="62" name="Graphic 62"/>
                        <wps:cNvSpPr/>
                        <wps:spPr>
                          <a:xfrm>
                            <a:off x="2832312" y="1948840"/>
                            <a:ext cx="194310" cy="321310"/>
                          </a:xfrm>
                          <a:custGeom>
                            <a:avLst/>
                            <a:gdLst/>
                            <a:ahLst/>
                            <a:cxnLst/>
                            <a:rect l="l" t="t" r="r" b="b"/>
                            <a:pathLst>
                              <a:path w="194310" h="321310">
                                <a:moveTo>
                                  <a:pt x="193699" y="321230"/>
                                </a:moveTo>
                                <a:lnTo>
                                  <a:pt x="193699" y="0"/>
                                </a:lnTo>
                                <a:lnTo>
                                  <a:pt x="0" y="0"/>
                                </a:lnTo>
                                <a:lnTo>
                                  <a:pt x="0" y="321230"/>
                                </a:lnTo>
                              </a:path>
                            </a:pathLst>
                          </a:custGeom>
                          <a:ln w="3237">
                            <a:solidFill>
                              <a:srgbClr val="000000"/>
                            </a:solidFill>
                            <a:prstDash val="solid"/>
                          </a:ln>
                        </wps:spPr>
                        <wps:bodyPr wrap="square" lIns="0" tIns="0" rIns="0" bIns="0" rtlCol="0">
                          <a:prstTxWarp prst="textNoShape">
                            <a:avLst/>
                          </a:prstTxWarp>
                          <a:noAutofit/>
                        </wps:bodyPr>
                      </wps:wsp>
                      <wps:wsp>
                        <wps:cNvPr id="63" name="Graphic 63"/>
                        <wps:cNvSpPr/>
                        <wps:spPr>
                          <a:xfrm>
                            <a:off x="3219369" y="1787006"/>
                            <a:ext cx="193675" cy="483234"/>
                          </a:xfrm>
                          <a:custGeom>
                            <a:avLst/>
                            <a:gdLst/>
                            <a:ahLst/>
                            <a:cxnLst/>
                            <a:rect l="l" t="t" r="r" b="b"/>
                            <a:pathLst>
                              <a:path w="193675" h="483234">
                                <a:moveTo>
                                  <a:pt x="193371" y="0"/>
                                </a:moveTo>
                                <a:lnTo>
                                  <a:pt x="0" y="0"/>
                                </a:lnTo>
                                <a:lnTo>
                                  <a:pt x="0" y="483064"/>
                                </a:lnTo>
                                <a:lnTo>
                                  <a:pt x="193371" y="483064"/>
                                </a:lnTo>
                                <a:lnTo>
                                  <a:pt x="193371" y="0"/>
                                </a:lnTo>
                                <a:close/>
                              </a:path>
                            </a:pathLst>
                          </a:custGeom>
                          <a:solidFill>
                            <a:srgbClr val="93BDFF"/>
                          </a:solidFill>
                        </wps:spPr>
                        <wps:bodyPr wrap="square" lIns="0" tIns="0" rIns="0" bIns="0" rtlCol="0">
                          <a:prstTxWarp prst="textNoShape">
                            <a:avLst/>
                          </a:prstTxWarp>
                          <a:noAutofit/>
                        </wps:bodyPr>
                      </wps:wsp>
                      <wps:wsp>
                        <wps:cNvPr id="64" name="Graphic 64"/>
                        <wps:cNvSpPr/>
                        <wps:spPr>
                          <a:xfrm>
                            <a:off x="3219369" y="1787006"/>
                            <a:ext cx="193675" cy="483234"/>
                          </a:xfrm>
                          <a:custGeom>
                            <a:avLst/>
                            <a:gdLst/>
                            <a:ahLst/>
                            <a:cxnLst/>
                            <a:rect l="l" t="t" r="r" b="b"/>
                            <a:pathLst>
                              <a:path w="193675" h="483234">
                                <a:moveTo>
                                  <a:pt x="193371" y="483064"/>
                                </a:moveTo>
                                <a:lnTo>
                                  <a:pt x="193371" y="0"/>
                                </a:lnTo>
                                <a:lnTo>
                                  <a:pt x="0" y="0"/>
                                </a:lnTo>
                                <a:lnTo>
                                  <a:pt x="0" y="483064"/>
                                </a:lnTo>
                              </a:path>
                            </a:pathLst>
                          </a:custGeom>
                          <a:ln w="3238">
                            <a:solidFill>
                              <a:srgbClr val="000000"/>
                            </a:solidFill>
                            <a:prstDash val="solid"/>
                          </a:ln>
                        </wps:spPr>
                        <wps:bodyPr wrap="square" lIns="0" tIns="0" rIns="0" bIns="0" rtlCol="0">
                          <a:prstTxWarp prst="textNoShape">
                            <a:avLst/>
                          </a:prstTxWarp>
                          <a:noAutofit/>
                        </wps:bodyPr>
                      </wps:wsp>
                      <wps:wsp>
                        <wps:cNvPr id="65" name="Graphic 65"/>
                        <wps:cNvSpPr/>
                        <wps:spPr>
                          <a:xfrm>
                            <a:off x="3412701" y="1948840"/>
                            <a:ext cx="194310" cy="321310"/>
                          </a:xfrm>
                          <a:custGeom>
                            <a:avLst/>
                            <a:gdLst/>
                            <a:ahLst/>
                            <a:cxnLst/>
                            <a:rect l="l" t="t" r="r" b="b"/>
                            <a:pathLst>
                              <a:path w="194310" h="321310">
                                <a:moveTo>
                                  <a:pt x="193699" y="0"/>
                                </a:moveTo>
                                <a:lnTo>
                                  <a:pt x="0" y="0"/>
                                </a:lnTo>
                                <a:lnTo>
                                  <a:pt x="0" y="321230"/>
                                </a:lnTo>
                                <a:lnTo>
                                  <a:pt x="193699" y="321230"/>
                                </a:lnTo>
                                <a:lnTo>
                                  <a:pt x="193699" y="0"/>
                                </a:lnTo>
                                <a:close/>
                              </a:path>
                            </a:pathLst>
                          </a:custGeom>
                          <a:solidFill>
                            <a:srgbClr val="93BDFF"/>
                          </a:solidFill>
                        </wps:spPr>
                        <wps:bodyPr wrap="square" lIns="0" tIns="0" rIns="0" bIns="0" rtlCol="0">
                          <a:prstTxWarp prst="textNoShape">
                            <a:avLst/>
                          </a:prstTxWarp>
                          <a:noAutofit/>
                        </wps:bodyPr>
                      </wps:wsp>
                      <wps:wsp>
                        <wps:cNvPr id="66" name="Graphic 66"/>
                        <wps:cNvSpPr/>
                        <wps:spPr>
                          <a:xfrm>
                            <a:off x="3412701" y="1948840"/>
                            <a:ext cx="194310" cy="321310"/>
                          </a:xfrm>
                          <a:custGeom>
                            <a:avLst/>
                            <a:gdLst/>
                            <a:ahLst/>
                            <a:cxnLst/>
                            <a:rect l="l" t="t" r="r" b="b"/>
                            <a:pathLst>
                              <a:path w="194310" h="321310">
                                <a:moveTo>
                                  <a:pt x="193699" y="321230"/>
                                </a:moveTo>
                                <a:lnTo>
                                  <a:pt x="193699" y="0"/>
                                </a:lnTo>
                                <a:lnTo>
                                  <a:pt x="0" y="0"/>
                                </a:lnTo>
                                <a:lnTo>
                                  <a:pt x="0" y="321230"/>
                                </a:lnTo>
                              </a:path>
                            </a:pathLst>
                          </a:custGeom>
                          <a:ln w="3237">
                            <a:solidFill>
                              <a:srgbClr val="000000"/>
                            </a:solidFill>
                            <a:prstDash val="solid"/>
                          </a:ln>
                        </wps:spPr>
                        <wps:bodyPr wrap="square" lIns="0" tIns="0" rIns="0" bIns="0" rtlCol="0">
                          <a:prstTxWarp prst="textNoShape">
                            <a:avLst/>
                          </a:prstTxWarp>
                          <a:noAutofit/>
                        </wps:bodyPr>
                      </wps:wsp>
                      <wps:wsp>
                        <wps:cNvPr id="67" name="Graphic 67"/>
                        <wps:cNvSpPr/>
                        <wps:spPr>
                          <a:xfrm>
                            <a:off x="3606427" y="2110661"/>
                            <a:ext cx="193675" cy="160020"/>
                          </a:xfrm>
                          <a:custGeom>
                            <a:avLst/>
                            <a:gdLst/>
                            <a:ahLst/>
                            <a:cxnLst/>
                            <a:rect l="l" t="t" r="r" b="b"/>
                            <a:pathLst>
                              <a:path w="193675" h="160020">
                                <a:moveTo>
                                  <a:pt x="193371" y="0"/>
                                </a:moveTo>
                                <a:lnTo>
                                  <a:pt x="0" y="0"/>
                                </a:lnTo>
                                <a:lnTo>
                                  <a:pt x="0" y="159409"/>
                                </a:lnTo>
                                <a:lnTo>
                                  <a:pt x="193371" y="159409"/>
                                </a:lnTo>
                                <a:lnTo>
                                  <a:pt x="193371" y="0"/>
                                </a:lnTo>
                                <a:close/>
                              </a:path>
                            </a:pathLst>
                          </a:custGeom>
                          <a:solidFill>
                            <a:srgbClr val="93BDFF"/>
                          </a:solidFill>
                        </wps:spPr>
                        <wps:bodyPr wrap="square" lIns="0" tIns="0" rIns="0" bIns="0" rtlCol="0">
                          <a:prstTxWarp prst="textNoShape">
                            <a:avLst/>
                          </a:prstTxWarp>
                          <a:noAutofit/>
                        </wps:bodyPr>
                      </wps:wsp>
                      <wps:wsp>
                        <wps:cNvPr id="68" name="Graphic 68"/>
                        <wps:cNvSpPr/>
                        <wps:spPr>
                          <a:xfrm>
                            <a:off x="3606427" y="2110661"/>
                            <a:ext cx="193675" cy="160020"/>
                          </a:xfrm>
                          <a:custGeom>
                            <a:avLst/>
                            <a:gdLst/>
                            <a:ahLst/>
                            <a:cxnLst/>
                            <a:rect l="l" t="t" r="r" b="b"/>
                            <a:pathLst>
                              <a:path w="193675" h="160020">
                                <a:moveTo>
                                  <a:pt x="193371" y="159409"/>
                                </a:moveTo>
                                <a:lnTo>
                                  <a:pt x="193371" y="0"/>
                                </a:lnTo>
                                <a:lnTo>
                                  <a:pt x="0" y="0"/>
                                </a:lnTo>
                                <a:lnTo>
                                  <a:pt x="0" y="159409"/>
                                </a:lnTo>
                              </a:path>
                            </a:pathLst>
                          </a:custGeom>
                          <a:ln w="3234">
                            <a:solidFill>
                              <a:srgbClr val="000000"/>
                            </a:solidFill>
                            <a:prstDash val="solid"/>
                          </a:ln>
                        </wps:spPr>
                        <wps:bodyPr wrap="square" lIns="0" tIns="0" rIns="0" bIns="0" rtlCol="0">
                          <a:prstTxWarp prst="textNoShape">
                            <a:avLst/>
                          </a:prstTxWarp>
                          <a:noAutofit/>
                        </wps:bodyPr>
                      </wps:wsp>
                      <wps:wsp>
                        <wps:cNvPr id="69" name="Graphic 69"/>
                        <wps:cNvSpPr/>
                        <wps:spPr>
                          <a:xfrm>
                            <a:off x="48254" y="2746"/>
                            <a:ext cx="3791585" cy="2273300"/>
                          </a:xfrm>
                          <a:custGeom>
                            <a:avLst/>
                            <a:gdLst/>
                            <a:ahLst/>
                            <a:cxnLst/>
                            <a:rect l="l" t="t" r="r" b="b"/>
                            <a:pathLst>
                              <a:path w="3791585" h="2273300">
                                <a:moveTo>
                                  <a:pt x="0" y="0"/>
                                </a:moveTo>
                                <a:lnTo>
                                  <a:pt x="0" y="2272984"/>
                                </a:lnTo>
                              </a:path>
                              <a:path w="3791585" h="2273300">
                                <a:moveTo>
                                  <a:pt x="0" y="2272984"/>
                                </a:moveTo>
                                <a:lnTo>
                                  <a:pt x="3791038" y="2272984"/>
                                </a:lnTo>
                              </a:path>
                              <a:path w="3791585" h="2273300">
                                <a:moveTo>
                                  <a:pt x="3791038" y="2272984"/>
                                </a:moveTo>
                                <a:lnTo>
                                  <a:pt x="3791038" y="0"/>
                                </a:lnTo>
                              </a:path>
                              <a:path w="3791585" h="2273300">
                                <a:moveTo>
                                  <a:pt x="3791038" y="0"/>
                                </a:moveTo>
                                <a:lnTo>
                                  <a:pt x="0" y="0"/>
                                </a:lnTo>
                              </a:path>
                            </a:pathLst>
                          </a:custGeom>
                          <a:ln w="55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7.165848pt;margin-top:13.047985pt;width:302.55pt;height:183.05pt;mso-position-horizontal-relative:page;mso-position-vertical-relative:paragraph;z-index:15735808" id="docshapegroup28" coordorigin="3543,261" coordsize="6051,3661">
                <v:shape style="position:absolute;left:3619;top:265;width:5971;height:3580" id="docshape29" coordorigin="3619,265" coordsize="5971,3580" path="m3619,265l3619,3845m3619,3845l9589,3845m9589,3845l9589,265m9589,265l3619,265e" filled="false" stroked="true" strokeweight=".433073pt" strokecolor="#000000">
                  <v:path arrowok="t"/>
                  <v:stroke dashstyle="solid"/>
                </v:shape>
                <v:shape style="position:absolute;left:3543;top:270;width:5984;height:3651" id="docshape30" coordorigin="3543,271" coordsize="5984,3651" path="m3612,3841l3543,3841m3612,3330l3543,3330m3612,2820l3543,2820m3612,2311l3543,2311m3612,1799l3543,1799m3612,1290l3543,1290m3612,781l3543,781m3612,271l3543,271m3683,3852l3683,3921m4169,3852l4169,3921m4656,3852l4656,3921m5143,3852l5143,3921m5630,3852l5630,3921m6117,3852l6117,3921m6604,3852l6604,3921m7092,3852l7092,3921m7579,3852l7579,3921m8066,3852l8066,3921m8553,3852l8553,3921m9040,3852l9040,3921m9527,3852l9527,3921e" filled="false" stroked="true" strokeweight=".356646pt" strokecolor="#000000">
                  <v:path arrowok="t"/>
                  <v:stroke dashstyle="solid"/>
                </v:shape>
                <v:rect style="position:absolute;left:3743;top:2056;width:305;height:1780" id="docshape31" filled="true" fillcolor="#93bdff" stroked="false">
                  <v:fill type="solid"/>
                </v:rect>
                <v:shape style="position:absolute;left:3743;top:2056;width:305;height:1780" id="docshape32" coordorigin="3743,2056" coordsize="305,1780" path="m4048,3836l4048,2056,3743,2056,3743,3836e" filled="false" stroked="true" strokeweight=".255030pt" strokecolor="#000000">
                  <v:path arrowok="t"/>
                  <v:stroke dashstyle="solid"/>
                </v:shape>
                <v:rect style="position:absolute;left:4047;top:780;width:306;height:3056" id="docshape33" filled="true" fillcolor="#93bdff" stroked="false">
                  <v:fill type="solid"/>
                </v:rect>
                <v:shape style="position:absolute;left:4047;top:780;width:306;height:3056" id="docshape34" coordorigin="4048,781" coordsize="306,3056" path="m4353,3836l4353,781,4048,781,4048,3836e" filled="false" stroked="true" strokeweight=".255041pt" strokecolor="#000000">
                  <v:path arrowok="t"/>
                  <v:stroke dashstyle="solid"/>
                </v:shape>
                <v:rect style="position:absolute;left:4352;top:2820;width:303;height:1016" id="docshape35" filled="true" fillcolor="#93bdff" stroked="false">
                  <v:fill type="solid"/>
                </v:rect>
                <v:shape style="position:absolute;left:4352;top:2820;width:303;height:1016" id="docshape36" coordorigin="4353,2820" coordsize="303,1016" path="m4656,3836l4656,2820,4353,2820,4353,3836e" filled="false" stroked="true" strokeweight=".254998pt" strokecolor="#000000">
                  <v:path arrowok="t"/>
                  <v:stroke dashstyle="solid"/>
                </v:shape>
                <v:rect style="position:absolute;left:4655;top:2565;width:305;height:1271" id="docshape37" filled="true" fillcolor="#93bdff" stroked="false">
                  <v:fill type="solid"/>
                </v:rect>
                <v:shape style="position:absolute;left:4655;top:2565;width:305;height:1271" id="docshape38" coordorigin="4656,2565" coordsize="305,1271" path="m4960,3836l4960,2565,4656,2565,4656,3836e" filled="false" stroked="true" strokeweight=".255014pt" strokecolor="#000000">
                  <v:path arrowok="t"/>
                  <v:stroke dashstyle="solid"/>
                </v:shape>
                <v:rect style="position:absolute;left:4960;top:3584;width:305;height:252" id="docshape39" filled="true" fillcolor="#93bdff" stroked="false">
                  <v:fill type="solid"/>
                </v:rect>
                <v:shape style="position:absolute;left:4960;top:3584;width:305;height:252" id="docshape40" coordorigin="4960,3585" coordsize="305,252" path="m5265,3836l5265,3585,4960,3585,4960,3836e" filled="false" stroked="true" strokeweight=".254688pt" strokecolor="#000000">
                  <v:path arrowok="t"/>
                  <v:stroke dashstyle="solid"/>
                </v:shape>
                <v:rect style="position:absolute;left:5264;top:2056;width:306;height:1780" id="docshape41" filled="true" fillcolor="#93bdff" stroked="false">
                  <v:fill type="solid"/>
                </v:rect>
                <v:shape style="position:absolute;left:5264;top:2056;width:306;height:1780" id="docshape42" coordorigin="5265,2056" coordsize="306,1780" path="m5570,3836l5570,2056,5265,2056,5265,3836e" filled="false" stroked="true" strokeweight=".255030pt" strokecolor="#000000">
                  <v:path arrowok="t"/>
                  <v:stroke dashstyle="solid"/>
                </v:shape>
                <v:rect style="position:absolute;left:5569;top:2565;width:305;height:1271" id="docshape43" filled="true" fillcolor="#93bdff" stroked="false">
                  <v:fill type="solid"/>
                </v:rect>
                <v:shape style="position:absolute;left:5569;top:2565;width:305;height:1271" id="docshape44" coordorigin="5570,2565" coordsize="305,1271" path="m5874,3836l5874,2565,5570,2565,5570,3836e" filled="false" stroked="true" strokeweight=".255014pt" strokecolor="#000000">
                  <v:path arrowok="t"/>
                  <v:stroke dashstyle="solid"/>
                </v:shape>
                <v:rect style="position:absolute;left:5874;top:3075;width:303;height:761" id="docshape45" filled="true" fillcolor="#93bdff" stroked="false">
                  <v:fill type="solid"/>
                </v:rect>
                <v:shape style="position:absolute;left:5874;top:3075;width:303;height:761" id="docshape46" coordorigin="5875,3075" coordsize="303,761" path="m6177,3836l6177,3075,5875,3075,5875,3836e" filled="false" stroked="true" strokeweight=".254964pt" strokecolor="#000000">
                  <v:path arrowok="t"/>
                  <v:stroke dashstyle="solid"/>
                </v:shape>
                <v:rect style="position:absolute;left:6177;top:3330;width:305;height:506" id="docshape47" filled="true" fillcolor="#93bdff" stroked="false">
                  <v:fill type="solid"/>
                </v:rect>
                <v:shape style="position:absolute;left:6177;top:3330;width:305;height:506" id="docshape48" coordorigin="6178,3330" coordsize="305,506" path="m6482,3836l6482,3330,6178,3330,6178,3836e" filled="false" stroked="true" strokeweight=".254887pt" strokecolor="#000000">
                  <v:path arrowok="t"/>
                  <v:stroke dashstyle="solid"/>
                </v:shape>
                <v:rect style="position:absolute;left:6481;top:3330;width:305;height:506" id="docshape49" filled="true" fillcolor="#93bdff" stroked="false">
                  <v:fill type="solid"/>
                </v:rect>
                <v:shape style="position:absolute;left:6481;top:3330;width:305;height:506" id="docshape50" coordorigin="6482,3330" coordsize="305,506" path="m6786,3836l6786,3330,6482,3330,6482,3836e" filled="false" stroked="true" strokeweight=".254887pt" strokecolor="#000000">
                  <v:path arrowok="t"/>
                  <v:stroke dashstyle="solid"/>
                </v:shape>
                <v:rect style="position:absolute;left:7091;top:3584;width:305;height:252" id="docshape51" filled="true" fillcolor="#93bdff" stroked="false">
                  <v:fill type="solid"/>
                </v:rect>
                <v:shape style="position:absolute;left:7091;top:3584;width:305;height:252" id="docshape52" coordorigin="7092,3585" coordsize="305,252" path="m7396,3836l7396,3585,7092,3585,7092,3836e" filled="false" stroked="true" strokeweight=".254688pt" strokecolor="#000000">
                  <v:path arrowok="t"/>
                  <v:stroke dashstyle="solid"/>
                </v:shape>
                <v:rect style="position:absolute;left:7396;top:3330;width:305;height:506" id="docshape53" filled="true" fillcolor="#93bdff" stroked="false">
                  <v:fill type="solid"/>
                </v:rect>
                <v:shape style="position:absolute;left:7396;top:3330;width:305;height:506" id="docshape54" coordorigin="7396,3330" coordsize="305,506" path="m7701,3836l7701,3330,7396,3330,7396,3836e" filled="false" stroked="true" strokeweight=".254887pt" strokecolor="#000000">
                  <v:path arrowok="t"/>
                  <v:stroke dashstyle="solid"/>
                </v:shape>
                <v:rect style="position:absolute;left:7700;top:3584;width:303;height:252" id="docshape55" filled="true" fillcolor="#93bdff" stroked="false">
                  <v:fill type="solid"/>
                </v:rect>
                <v:shape style="position:absolute;left:7700;top:3584;width:303;height:252" id="docshape56" coordorigin="7701,3585" coordsize="303,252" path="m8004,3836l8004,3585,7701,3585,7701,3836e" filled="false" stroked="true" strokeweight=".254689pt" strokecolor="#000000">
                  <v:path arrowok="t"/>
                  <v:stroke dashstyle="solid"/>
                </v:shape>
                <v:rect style="position:absolute;left:8003;top:3330;width:306;height:506" id="docshape57" filled="true" fillcolor="#93bdff" stroked="false">
                  <v:fill type="solid"/>
                </v:rect>
                <v:shape style="position:absolute;left:8003;top:3330;width:306;height:506" id="docshape58" coordorigin="8004,3330" coordsize="306,506" path="m8309,3836l8309,3330,8004,3330,8004,3836e" filled="false" stroked="true" strokeweight=".254886pt" strokecolor="#000000">
                  <v:path arrowok="t"/>
                  <v:stroke dashstyle="solid"/>
                </v:shape>
                <v:rect style="position:absolute;left:8613;top:3075;width:305;height:761" id="docshape59" filled="true" fillcolor="#93bdff" stroked="false">
                  <v:fill type="solid"/>
                </v:rect>
                <v:shape style="position:absolute;left:8613;top:3075;width:305;height:761" id="docshape60" coordorigin="8613,3075" coordsize="305,761" path="m8918,3836l8918,3075,8613,3075,8613,3836e" filled="false" stroked="true" strokeweight=".254964pt" strokecolor="#000000">
                  <v:path arrowok="t"/>
                  <v:stroke dashstyle="solid"/>
                </v:shape>
                <v:rect style="position:absolute;left:8917;top:3330;width:306;height:506" id="docshape61" filled="true" fillcolor="#93bdff" stroked="false">
                  <v:fill type="solid"/>
                </v:rect>
                <v:shape style="position:absolute;left:8917;top:3330;width:306;height:506" id="docshape62" coordorigin="8918,3330" coordsize="306,506" path="m9223,3836l9223,3330,8918,3330,8918,3836e" filled="false" stroked="true" strokeweight=".254886pt" strokecolor="#000000">
                  <v:path arrowok="t"/>
                  <v:stroke dashstyle="solid"/>
                </v:shape>
                <v:rect style="position:absolute;left:9222;top:3584;width:305;height:252" id="docshape63" filled="true" fillcolor="#93bdff" stroked="false">
                  <v:fill type="solid"/>
                </v:rect>
                <v:shape style="position:absolute;left:9222;top:3584;width:305;height:252" id="docshape64" coordorigin="9223,3585" coordsize="305,252" path="m9527,3836l9527,3585,9223,3585,9223,3836e" filled="false" stroked="true" strokeweight=".254688pt" strokecolor="#000000">
                  <v:path arrowok="t"/>
                  <v:stroke dashstyle="solid"/>
                </v:shape>
                <v:shape style="position:absolute;left:3619;top:265;width:5971;height:3580" id="docshape65" coordorigin="3619,265" coordsize="5971,3580" path="m3619,265l3619,3845m3619,3845l9589,3845m9589,3845l9589,265m9589,265l3619,265e" filled="false" stroked="true" strokeweight=".433073pt" strokecolor="#000000">
                  <v:path arrowok="t"/>
                  <v:stroke dashstyle="solid"/>
                </v:shape>
                <w10:wrap type="none"/>
              </v:group>
            </w:pict>
          </mc:Fallback>
        </mc:AlternateContent>
      </w:r>
      <w:r>
        <w:rPr>
          <w:rFonts w:ascii="Arial MT"/>
          <w:spacing w:val="-5"/>
          <w:w w:val="105"/>
          <w:sz w:val="16"/>
        </w:rPr>
        <w:t>14</w:t>
      </w:r>
    </w:p>
    <w:p>
      <w:pPr>
        <w:pStyle w:val="BodyText"/>
        <w:spacing w:before="141"/>
        <w:rPr>
          <w:rFonts w:ascii="Arial MT"/>
          <w:sz w:val="16"/>
        </w:rPr>
      </w:pPr>
    </w:p>
    <w:p>
      <w:pPr>
        <w:spacing w:before="0"/>
        <w:ind w:left="1890" w:right="0" w:firstLine="0"/>
        <w:jc w:val="left"/>
        <w:rPr>
          <w:rFonts w:ascii="Arial MT"/>
          <w:sz w:val="16"/>
        </w:rPr>
      </w:pPr>
      <w:r>
        <w:rPr>
          <w:rFonts w:ascii="Arial MT"/>
          <w:spacing w:val="-5"/>
          <w:w w:val="105"/>
          <w:sz w:val="16"/>
        </w:rPr>
        <w:t>12</w:t>
      </w:r>
    </w:p>
    <w:p>
      <w:pPr>
        <w:pStyle w:val="BodyText"/>
        <w:spacing w:before="142"/>
        <w:rPr>
          <w:rFonts w:ascii="Arial MT"/>
          <w:sz w:val="16"/>
        </w:rPr>
      </w:pPr>
    </w:p>
    <w:p>
      <w:pPr>
        <w:spacing w:before="0"/>
        <w:ind w:left="1890" w:right="0" w:firstLine="0"/>
        <w:jc w:val="left"/>
        <w:rPr>
          <w:rFonts w:ascii="Arial MT"/>
          <w:sz w:val="16"/>
        </w:rPr>
      </w:pPr>
      <w:r>
        <w:rPr>
          <w:rFonts w:ascii="Arial MT"/>
          <w:spacing w:val="-5"/>
          <w:w w:val="105"/>
          <w:sz w:val="16"/>
        </w:rPr>
        <w:t>10</w:t>
      </w:r>
    </w:p>
    <w:p>
      <w:pPr>
        <w:pStyle w:val="BodyText"/>
        <w:spacing w:before="142"/>
        <w:rPr>
          <w:rFonts w:ascii="Arial MT"/>
          <w:sz w:val="16"/>
        </w:rPr>
      </w:pPr>
    </w:p>
    <w:p>
      <w:pPr>
        <w:spacing w:before="0"/>
        <w:ind w:left="1982"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36320">
                <wp:simplePos x="0" y="0"/>
                <wp:positionH relativeFrom="page">
                  <wp:posOffset>1815204</wp:posOffset>
                </wp:positionH>
                <wp:positionV relativeFrom="paragraph">
                  <wp:posOffset>-15017</wp:posOffset>
                </wp:positionV>
                <wp:extent cx="143510" cy="52768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143510" cy="527685"/>
                        </a:xfrm>
                        <a:prstGeom prst="rect">
                          <a:avLst/>
                        </a:prstGeom>
                      </wps:spPr>
                      <wps:txbx>
                        <w:txbxContent>
                          <w:p>
                            <w:pPr>
                              <w:spacing w:before="20"/>
                              <w:ind w:left="20" w:right="0" w:firstLine="0"/>
                              <w:jc w:val="left"/>
                              <w:rPr>
                                <w:rFonts w:ascii="Arial MT"/>
                                <w:sz w:val="16"/>
                              </w:rPr>
                            </w:pPr>
                            <w:r>
                              <w:rPr>
                                <w:rFonts w:ascii="Arial MT"/>
                                <w:spacing w:val="-2"/>
                                <w:w w:val="105"/>
                                <w:sz w:val="16"/>
                              </w:rPr>
                              <w:t>Frequency</w:t>
                            </w:r>
                          </w:p>
                        </w:txbxContent>
                      </wps:txbx>
                      <wps:bodyPr wrap="square" lIns="0" tIns="0" rIns="0" bIns="0" rtlCol="0" vert="vert270">
                        <a:noAutofit/>
                      </wps:bodyPr>
                    </wps:wsp>
                  </a:graphicData>
                </a:graphic>
              </wp:anchor>
            </w:drawing>
          </mc:Choice>
          <mc:Fallback>
            <w:pict>
              <v:shape style="position:absolute;margin-left:142.929474pt;margin-top:-1.182498pt;width:11.3pt;height:41.55pt;mso-position-horizontal-relative:page;mso-position-vertical-relative:paragraph;z-index:15736320" type="#_x0000_t202" id="docshape66" filled="false" stroked="false">
                <v:textbox inset="0,0,0,0" style="layout-flow:vertical;mso-layout-flow-alt:bottom-to-top">
                  <w:txbxContent>
                    <w:p>
                      <w:pPr>
                        <w:spacing w:before="20"/>
                        <w:ind w:left="20" w:right="0" w:firstLine="0"/>
                        <w:jc w:val="left"/>
                        <w:rPr>
                          <w:rFonts w:ascii="Arial MT"/>
                          <w:sz w:val="16"/>
                        </w:rPr>
                      </w:pPr>
                      <w:r>
                        <w:rPr>
                          <w:rFonts w:ascii="Arial MT"/>
                          <w:spacing w:val="-2"/>
                          <w:w w:val="105"/>
                          <w:sz w:val="16"/>
                        </w:rPr>
                        <w:t>Frequency</w:t>
                      </w:r>
                    </w:p>
                  </w:txbxContent>
                </v:textbox>
                <w10:wrap type="none"/>
              </v:shape>
            </w:pict>
          </mc:Fallback>
        </mc:AlternateContent>
      </w:r>
      <w:r>
        <w:rPr>
          <w:rFonts w:ascii="Arial MT"/>
          <w:spacing w:val="-10"/>
          <w:w w:val="105"/>
          <w:sz w:val="16"/>
        </w:rPr>
        <w:t>8</w:t>
      </w:r>
    </w:p>
    <w:p>
      <w:pPr>
        <w:pStyle w:val="BodyText"/>
        <w:spacing w:before="143"/>
        <w:rPr>
          <w:rFonts w:ascii="Arial MT"/>
          <w:sz w:val="16"/>
        </w:rPr>
      </w:pPr>
    </w:p>
    <w:p>
      <w:pPr>
        <w:spacing w:before="0"/>
        <w:ind w:left="1982" w:right="0" w:firstLine="0"/>
        <w:jc w:val="left"/>
        <w:rPr>
          <w:rFonts w:ascii="Arial MT"/>
          <w:sz w:val="16"/>
        </w:rPr>
      </w:pPr>
      <w:r>
        <w:rPr>
          <w:rFonts w:ascii="Arial MT"/>
          <w:spacing w:val="-10"/>
          <w:w w:val="105"/>
          <w:sz w:val="16"/>
        </w:rPr>
        <w:t>6</w:t>
      </w:r>
    </w:p>
    <w:p>
      <w:pPr>
        <w:pStyle w:val="BodyText"/>
        <w:spacing w:before="142"/>
        <w:rPr>
          <w:rFonts w:ascii="Arial MT"/>
          <w:sz w:val="16"/>
        </w:rPr>
      </w:pPr>
    </w:p>
    <w:p>
      <w:pPr>
        <w:spacing w:before="0"/>
        <w:ind w:left="1982" w:right="0" w:firstLine="0"/>
        <w:jc w:val="left"/>
        <w:rPr>
          <w:rFonts w:ascii="Arial MT"/>
          <w:sz w:val="16"/>
        </w:rPr>
      </w:pPr>
      <w:r>
        <w:rPr>
          <w:rFonts w:ascii="Arial MT"/>
          <w:spacing w:val="-10"/>
          <w:w w:val="105"/>
          <w:sz w:val="16"/>
        </w:rPr>
        <w:t>4</w:t>
      </w:r>
    </w:p>
    <w:p>
      <w:pPr>
        <w:pStyle w:val="BodyText"/>
        <w:spacing w:before="141"/>
        <w:rPr>
          <w:rFonts w:ascii="Arial MT"/>
          <w:sz w:val="16"/>
        </w:rPr>
      </w:pPr>
    </w:p>
    <w:p>
      <w:pPr>
        <w:spacing w:before="1"/>
        <w:ind w:left="1982" w:right="0" w:firstLine="0"/>
        <w:jc w:val="left"/>
        <w:rPr>
          <w:rFonts w:ascii="Arial MT"/>
          <w:sz w:val="16"/>
        </w:rPr>
      </w:pPr>
      <w:r>
        <w:rPr>
          <w:rFonts w:ascii="Arial MT"/>
          <w:spacing w:val="-10"/>
          <w:w w:val="105"/>
          <w:sz w:val="16"/>
        </w:rPr>
        <w:t>2</w:t>
      </w:r>
    </w:p>
    <w:p>
      <w:pPr>
        <w:pStyle w:val="BodyText"/>
        <w:spacing w:before="143"/>
        <w:rPr>
          <w:rFonts w:ascii="Arial MT"/>
          <w:sz w:val="16"/>
        </w:rPr>
      </w:pPr>
    </w:p>
    <w:p>
      <w:pPr>
        <w:spacing w:before="0"/>
        <w:ind w:left="1982" w:right="0" w:firstLine="0"/>
        <w:jc w:val="left"/>
        <w:rPr>
          <w:rFonts w:ascii="Arial MT"/>
          <w:sz w:val="16"/>
        </w:rPr>
      </w:pPr>
      <w:r>
        <w:rPr>
          <w:rFonts w:ascii="Arial MT"/>
          <w:spacing w:val="-10"/>
          <w:w w:val="105"/>
          <w:sz w:val="16"/>
        </w:rPr>
        <w:t>0</w:t>
      </w:r>
    </w:p>
    <w:p>
      <w:pPr>
        <w:tabs>
          <w:tab w:pos="2632" w:val="left" w:leader="none"/>
          <w:tab w:pos="3119" w:val="left" w:leader="none"/>
          <w:tab w:pos="3607" w:val="left" w:leader="none"/>
          <w:tab w:pos="4094" w:val="left" w:leader="none"/>
          <w:tab w:pos="4581" w:val="left" w:leader="none"/>
          <w:tab w:pos="5068" w:val="left" w:leader="none"/>
          <w:tab w:pos="5555" w:val="left" w:leader="none"/>
          <w:tab w:pos="6042" w:val="left" w:leader="none"/>
          <w:tab w:pos="6529" w:val="left" w:leader="none"/>
          <w:tab w:pos="7016" w:val="left" w:leader="none"/>
          <w:tab w:pos="7504" w:val="left" w:leader="none"/>
          <w:tab w:pos="7991" w:val="left" w:leader="none"/>
        </w:tabs>
        <w:spacing w:before="46"/>
        <w:ind w:left="2147" w:right="0" w:firstLine="0"/>
        <w:jc w:val="left"/>
        <w:rPr>
          <w:rFonts w:ascii="Arial MT"/>
          <w:sz w:val="16"/>
        </w:rPr>
      </w:pPr>
      <w:r>
        <w:rPr>
          <w:rFonts w:ascii="Arial MT"/>
          <w:spacing w:val="-5"/>
          <w:w w:val="105"/>
          <w:sz w:val="16"/>
        </w:rPr>
        <w:t>1.2</w:t>
      </w:r>
      <w:r>
        <w:rPr>
          <w:rFonts w:ascii="Arial MT"/>
          <w:sz w:val="16"/>
        </w:rPr>
        <w:tab/>
      </w:r>
      <w:r>
        <w:rPr>
          <w:rFonts w:ascii="Arial MT"/>
          <w:spacing w:val="-5"/>
          <w:w w:val="105"/>
          <w:sz w:val="16"/>
        </w:rPr>
        <w:t>1.6</w:t>
      </w:r>
      <w:r>
        <w:rPr>
          <w:rFonts w:ascii="Arial MT"/>
          <w:sz w:val="16"/>
        </w:rPr>
        <w:tab/>
      </w:r>
      <w:r>
        <w:rPr>
          <w:rFonts w:ascii="Arial MT"/>
          <w:spacing w:val="-5"/>
          <w:w w:val="105"/>
          <w:sz w:val="16"/>
        </w:rPr>
        <w:t>2.0</w:t>
      </w:r>
      <w:r>
        <w:rPr>
          <w:rFonts w:ascii="Arial MT"/>
          <w:sz w:val="16"/>
        </w:rPr>
        <w:tab/>
      </w:r>
      <w:r>
        <w:rPr>
          <w:rFonts w:ascii="Arial MT"/>
          <w:spacing w:val="-5"/>
          <w:w w:val="105"/>
          <w:sz w:val="16"/>
        </w:rPr>
        <w:t>2.4</w:t>
      </w:r>
      <w:r>
        <w:rPr>
          <w:rFonts w:ascii="Arial MT"/>
          <w:sz w:val="16"/>
        </w:rPr>
        <w:tab/>
      </w:r>
      <w:r>
        <w:rPr>
          <w:rFonts w:ascii="Arial MT"/>
          <w:spacing w:val="-5"/>
          <w:w w:val="105"/>
          <w:sz w:val="16"/>
        </w:rPr>
        <w:t>2.8</w:t>
      </w:r>
      <w:r>
        <w:rPr>
          <w:rFonts w:ascii="Arial MT"/>
          <w:sz w:val="16"/>
        </w:rPr>
        <w:tab/>
      </w:r>
      <w:r>
        <w:rPr>
          <w:rFonts w:ascii="Arial MT"/>
          <w:spacing w:val="-5"/>
          <w:w w:val="105"/>
          <w:sz w:val="16"/>
        </w:rPr>
        <w:t>3.2</w:t>
      </w:r>
      <w:r>
        <w:rPr>
          <w:rFonts w:ascii="Arial MT"/>
          <w:sz w:val="16"/>
        </w:rPr>
        <w:tab/>
      </w:r>
      <w:r>
        <w:rPr>
          <w:rFonts w:ascii="Arial MT"/>
          <w:spacing w:val="-5"/>
          <w:w w:val="105"/>
          <w:sz w:val="16"/>
        </w:rPr>
        <w:t>3.6</w:t>
      </w:r>
      <w:r>
        <w:rPr>
          <w:rFonts w:ascii="Arial MT"/>
          <w:sz w:val="16"/>
        </w:rPr>
        <w:tab/>
      </w:r>
      <w:r>
        <w:rPr>
          <w:rFonts w:ascii="Arial MT"/>
          <w:spacing w:val="-5"/>
          <w:w w:val="105"/>
          <w:sz w:val="16"/>
        </w:rPr>
        <w:t>4.0</w:t>
      </w:r>
      <w:r>
        <w:rPr>
          <w:rFonts w:ascii="Arial MT"/>
          <w:sz w:val="16"/>
        </w:rPr>
        <w:tab/>
      </w:r>
      <w:r>
        <w:rPr>
          <w:rFonts w:ascii="Arial MT"/>
          <w:spacing w:val="-5"/>
          <w:w w:val="105"/>
          <w:sz w:val="16"/>
        </w:rPr>
        <w:t>4.4</w:t>
      </w:r>
      <w:r>
        <w:rPr>
          <w:rFonts w:ascii="Arial MT"/>
          <w:sz w:val="16"/>
        </w:rPr>
        <w:tab/>
      </w:r>
      <w:r>
        <w:rPr>
          <w:rFonts w:ascii="Arial MT"/>
          <w:spacing w:val="-5"/>
          <w:w w:val="105"/>
          <w:sz w:val="16"/>
        </w:rPr>
        <w:t>4.8</w:t>
      </w:r>
      <w:r>
        <w:rPr>
          <w:rFonts w:ascii="Arial MT"/>
          <w:sz w:val="16"/>
        </w:rPr>
        <w:tab/>
      </w:r>
      <w:r>
        <w:rPr>
          <w:rFonts w:ascii="Arial MT"/>
          <w:spacing w:val="-5"/>
          <w:w w:val="105"/>
          <w:sz w:val="16"/>
        </w:rPr>
        <w:t>5.2</w:t>
      </w:r>
      <w:r>
        <w:rPr>
          <w:rFonts w:ascii="Arial MT"/>
          <w:sz w:val="16"/>
        </w:rPr>
        <w:tab/>
      </w:r>
      <w:r>
        <w:rPr>
          <w:rFonts w:ascii="Arial MT"/>
          <w:spacing w:val="-5"/>
          <w:w w:val="105"/>
          <w:sz w:val="16"/>
        </w:rPr>
        <w:t>5.6</w:t>
      </w:r>
      <w:r>
        <w:rPr>
          <w:rFonts w:ascii="Arial MT"/>
          <w:sz w:val="16"/>
        </w:rPr>
        <w:tab/>
      </w:r>
      <w:r>
        <w:rPr>
          <w:rFonts w:ascii="Arial MT"/>
          <w:spacing w:val="-5"/>
          <w:w w:val="105"/>
          <w:sz w:val="16"/>
        </w:rPr>
        <w:t>6.0</w:t>
      </w:r>
    </w:p>
    <w:p>
      <w:pPr>
        <w:pStyle w:val="BodyText"/>
        <w:spacing w:before="145"/>
        <w:ind w:left="743"/>
        <w:jc w:val="both"/>
      </w:pPr>
      <w:r>
        <w:rPr/>
        <w:t>Sumber:</w:t>
      </w:r>
      <w:r>
        <w:rPr>
          <w:spacing w:val="-4"/>
        </w:rPr>
        <w:t> </w:t>
      </w:r>
      <w:r>
        <w:rPr/>
        <w:t>Data</w:t>
      </w:r>
      <w:r>
        <w:rPr>
          <w:spacing w:val="-1"/>
        </w:rPr>
        <w:t> </w:t>
      </w:r>
      <w:r>
        <w:rPr/>
        <w:t>diolah</w:t>
      </w:r>
      <w:r>
        <w:rPr>
          <w:spacing w:val="-1"/>
        </w:rPr>
        <w:t> </w:t>
      </w:r>
      <w:r>
        <w:rPr>
          <w:spacing w:val="-2"/>
        </w:rPr>
        <w:t>(2025)</w:t>
      </w:r>
    </w:p>
    <w:p>
      <w:pPr>
        <w:pStyle w:val="BodyText"/>
        <w:spacing w:line="360" w:lineRule="auto" w:before="136"/>
        <w:ind w:left="383" w:right="161" w:firstLine="359"/>
        <w:jc w:val="both"/>
      </w:pPr>
      <w:r>
        <w:rPr/>
        <w:t>Selama lima tahun terakhir, kondisi inflasi di Indonesia cukup fluktatif. Pada tahun 2021-2022</w:t>
      </w:r>
      <w:r>
        <w:rPr>
          <w:spacing w:val="-13"/>
        </w:rPr>
        <w:t> </w:t>
      </w:r>
      <w:r>
        <w:rPr/>
        <w:t>awal,</w:t>
      </w:r>
      <w:r>
        <w:rPr>
          <w:spacing w:val="-13"/>
        </w:rPr>
        <w:t> </w:t>
      </w:r>
      <w:r>
        <w:rPr/>
        <w:t>lonjakan</w:t>
      </w:r>
      <w:r>
        <w:rPr>
          <w:spacing w:val="-13"/>
        </w:rPr>
        <w:t> </w:t>
      </w:r>
      <w:r>
        <w:rPr/>
        <w:t>inflasi</w:t>
      </w:r>
      <w:r>
        <w:rPr>
          <w:spacing w:val="-12"/>
        </w:rPr>
        <w:t> </w:t>
      </w:r>
      <w:r>
        <w:rPr/>
        <w:t>tidak</w:t>
      </w:r>
      <w:r>
        <w:rPr>
          <w:spacing w:val="-13"/>
        </w:rPr>
        <w:t> </w:t>
      </w:r>
      <w:r>
        <w:rPr/>
        <w:t>terlalu</w:t>
      </w:r>
      <w:r>
        <w:rPr>
          <w:spacing w:val="-13"/>
        </w:rPr>
        <w:t> </w:t>
      </w:r>
      <w:r>
        <w:rPr/>
        <w:t>tinggi</w:t>
      </w:r>
      <w:r>
        <w:rPr>
          <w:spacing w:val="-13"/>
        </w:rPr>
        <w:t> </w:t>
      </w:r>
      <w:r>
        <w:rPr/>
        <w:t>dan</w:t>
      </w:r>
      <w:r>
        <w:rPr>
          <w:spacing w:val="-13"/>
        </w:rPr>
        <w:t> </w:t>
      </w:r>
      <w:r>
        <w:rPr/>
        <w:t>tergolong</w:t>
      </w:r>
      <w:r>
        <w:rPr>
          <w:spacing w:val="-13"/>
        </w:rPr>
        <w:t> </w:t>
      </w:r>
      <w:r>
        <w:rPr/>
        <w:t>stabil</w:t>
      </w:r>
      <w:r>
        <w:rPr>
          <w:spacing w:val="-12"/>
        </w:rPr>
        <w:t> </w:t>
      </w:r>
      <w:r>
        <w:rPr/>
        <w:t>dengan</w:t>
      </w:r>
      <w:r>
        <w:rPr>
          <w:spacing w:val="-13"/>
        </w:rPr>
        <w:t> </w:t>
      </w:r>
      <w:r>
        <w:rPr/>
        <w:t>persentase dibawah 2%. Namun angka tersebut membengkak hingga pada pertengahan tahun 2022 yaitu pada bulan September berada di puncaknya dengan tingkat inflasi sebesar 5,95%. Penyebab hal tersebut disinyalir karena kenaikan Bahan Bakar Minyak (BBM), gangguan komoditas</w:t>
      </w:r>
      <w:r>
        <w:rPr>
          <w:spacing w:val="-9"/>
        </w:rPr>
        <w:t> </w:t>
      </w:r>
      <w:r>
        <w:rPr/>
        <w:t>pangan</w:t>
      </w:r>
      <w:r>
        <w:rPr>
          <w:spacing w:val="-8"/>
        </w:rPr>
        <w:t> </w:t>
      </w:r>
      <w:r>
        <w:rPr/>
        <w:t>setelah</w:t>
      </w:r>
      <w:r>
        <w:rPr>
          <w:spacing w:val="-8"/>
        </w:rPr>
        <w:t> </w:t>
      </w:r>
      <w:r>
        <w:rPr/>
        <w:t>pemulihan</w:t>
      </w:r>
      <w:r>
        <w:rPr>
          <w:spacing w:val="-9"/>
        </w:rPr>
        <w:t> </w:t>
      </w:r>
      <w:r>
        <w:rPr/>
        <w:t>masa</w:t>
      </w:r>
      <w:r>
        <w:rPr>
          <w:spacing w:val="-9"/>
        </w:rPr>
        <w:t> </w:t>
      </w:r>
      <w:r>
        <w:rPr/>
        <w:t>pandemi,</w:t>
      </w:r>
      <w:r>
        <w:rPr>
          <w:spacing w:val="-8"/>
        </w:rPr>
        <w:t> </w:t>
      </w:r>
      <w:r>
        <w:rPr/>
        <w:t>serta</w:t>
      </w:r>
      <w:r>
        <w:rPr>
          <w:spacing w:val="-9"/>
        </w:rPr>
        <w:t> </w:t>
      </w:r>
      <w:r>
        <w:rPr/>
        <w:t>tingginya</w:t>
      </w:r>
      <w:r>
        <w:rPr>
          <w:spacing w:val="-9"/>
        </w:rPr>
        <w:t> </w:t>
      </w:r>
      <w:r>
        <w:rPr/>
        <w:t>harga</w:t>
      </w:r>
      <w:r>
        <w:rPr>
          <w:spacing w:val="-5"/>
        </w:rPr>
        <w:t> </w:t>
      </w:r>
      <w:r>
        <w:rPr>
          <w:i/>
        </w:rPr>
        <w:t>Crude</w:t>
      </w:r>
      <w:r>
        <w:rPr>
          <w:i/>
          <w:spacing w:val="-9"/>
        </w:rPr>
        <w:t> </w:t>
      </w:r>
      <w:r>
        <w:rPr>
          <w:i/>
        </w:rPr>
        <w:t>Palm</w:t>
      </w:r>
      <w:r>
        <w:rPr>
          <w:i/>
          <w:spacing w:val="-9"/>
        </w:rPr>
        <w:t> </w:t>
      </w:r>
      <w:r>
        <w:rPr>
          <w:i/>
        </w:rPr>
        <w:t>Oil </w:t>
      </w:r>
      <w:r>
        <w:rPr/>
        <w:t>(CPO).</w:t>
      </w:r>
      <w:r>
        <w:rPr>
          <w:spacing w:val="48"/>
        </w:rPr>
        <w:t> </w:t>
      </w:r>
      <w:r>
        <w:rPr/>
        <w:t>Namun</w:t>
      </w:r>
      <w:r>
        <w:rPr>
          <w:spacing w:val="51"/>
        </w:rPr>
        <w:t> </w:t>
      </w:r>
      <w:r>
        <w:rPr/>
        <w:t>setelahnya</w:t>
      </w:r>
      <w:r>
        <w:rPr>
          <w:spacing w:val="49"/>
        </w:rPr>
        <w:t> </w:t>
      </w:r>
      <w:r>
        <w:rPr/>
        <w:t>perekonomian</w:t>
      </w:r>
      <w:r>
        <w:rPr>
          <w:spacing w:val="51"/>
        </w:rPr>
        <w:t> </w:t>
      </w:r>
      <w:r>
        <w:rPr/>
        <w:t>Indonesia</w:t>
      </w:r>
      <w:r>
        <w:rPr>
          <w:spacing w:val="51"/>
        </w:rPr>
        <w:t> </w:t>
      </w:r>
      <w:r>
        <w:rPr/>
        <w:t>terus</w:t>
      </w:r>
      <w:r>
        <w:rPr>
          <w:spacing w:val="50"/>
        </w:rPr>
        <w:t> </w:t>
      </w:r>
      <w:r>
        <w:rPr/>
        <w:t>berbenah</w:t>
      </w:r>
      <w:r>
        <w:rPr>
          <w:spacing w:val="50"/>
        </w:rPr>
        <w:t> </w:t>
      </w:r>
      <w:r>
        <w:rPr/>
        <w:t>hingga</w:t>
      </w:r>
      <w:r>
        <w:rPr>
          <w:spacing w:val="50"/>
        </w:rPr>
        <w:t> </w:t>
      </w:r>
      <w:r>
        <w:rPr/>
        <w:t>kini</w:t>
      </w:r>
      <w:r>
        <w:rPr>
          <w:spacing w:val="51"/>
        </w:rPr>
        <w:t> </w:t>
      </w:r>
      <w:r>
        <w:rPr>
          <w:spacing w:val="-2"/>
        </w:rPr>
        <w:t>angka</w:t>
      </w:r>
    </w:p>
    <w:p>
      <w:pPr>
        <w:pStyle w:val="BodyText"/>
        <w:spacing w:before="85"/>
        <w:rPr>
          <w:sz w:val="20"/>
        </w:rPr>
      </w:pPr>
      <w:r>
        <w:rPr>
          <w:sz w:val="20"/>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215615</wp:posOffset>
                </wp:positionV>
                <wp:extent cx="1829435" cy="9525"/>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6.977627pt;width:144.020pt;height:.72003pt;mso-position-horizontal-relative:page;mso-position-vertical-relative:paragraph;z-index:-15721984;mso-wrap-distance-left:0;mso-wrap-distance-right:0" id="docshape67" filled="true" fillcolor="#000000" stroked="false">
                <v:fill type="solid"/>
                <w10:wrap type="topAndBottom"/>
              </v:rect>
            </w:pict>
          </mc:Fallback>
        </mc:AlternateContent>
      </w:r>
    </w:p>
    <w:p>
      <w:pPr>
        <w:spacing w:before="101"/>
        <w:ind w:left="23" w:right="0" w:firstLine="719"/>
        <w:jc w:val="left"/>
        <w:rPr>
          <w:i/>
          <w:sz w:val="20"/>
        </w:rPr>
      </w:pPr>
      <w:bookmarkStart w:name="_bookmark34" w:id="35"/>
      <w:bookmarkEnd w:id="35"/>
      <w:r>
        <w:rPr/>
      </w:r>
      <w:r>
        <w:rPr>
          <w:sz w:val="20"/>
          <w:vertAlign w:val="superscript"/>
        </w:rPr>
        <w:t>22</w:t>
      </w:r>
      <w:r>
        <w:rPr>
          <w:spacing w:val="40"/>
          <w:sz w:val="20"/>
          <w:vertAlign w:val="baseline"/>
        </w:rPr>
        <w:t> </w:t>
      </w:r>
      <w:r>
        <w:rPr>
          <w:sz w:val="20"/>
          <w:vertAlign w:val="baseline"/>
        </w:rPr>
        <w:t>Pebriana</w:t>
      </w:r>
      <w:r>
        <w:rPr>
          <w:spacing w:val="40"/>
          <w:sz w:val="20"/>
          <w:vertAlign w:val="baseline"/>
        </w:rPr>
        <w:t> </w:t>
      </w:r>
      <w:r>
        <w:rPr>
          <w:sz w:val="20"/>
          <w:vertAlign w:val="baseline"/>
        </w:rPr>
        <w:t>Nur</w:t>
      </w:r>
      <w:r>
        <w:rPr>
          <w:spacing w:val="40"/>
          <w:sz w:val="20"/>
          <w:vertAlign w:val="baseline"/>
        </w:rPr>
        <w:t> </w:t>
      </w:r>
      <w:r>
        <w:rPr>
          <w:sz w:val="20"/>
          <w:vertAlign w:val="baseline"/>
        </w:rPr>
        <w:t>Halisania</w:t>
      </w:r>
      <w:r>
        <w:rPr>
          <w:spacing w:val="40"/>
          <w:sz w:val="20"/>
          <w:vertAlign w:val="baseline"/>
        </w:rPr>
        <w:t> </w:t>
      </w:r>
      <w:r>
        <w:rPr>
          <w:sz w:val="20"/>
          <w:vertAlign w:val="baseline"/>
        </w:rPr>
        <w:t>and</w:t>
      </w:r>
      <w:r>
        <w:rPr>
          <w:spacing w:val="40"/>
          <w:sz w:val="20"/>
          <w:vertAlign w:val="baseline"/>
        </w:rPr>
        <w:t> </w:t>
      </w:r>
      <w:r>
        <w:rPr>
          <w:sz w:val="20"/>
          <w:vertAlign w:val="baseline"/>
        </w:rPr>
        <w:t>others,</w:t>
      </w:r>
      <w:r>
        <w:rPr>
          <w:spacing w:val="40"/>
          <w:sz w:val="20"/>
          <w:vertAlign w:val="baseline"/>
        </w:rPr>
        <w:t> </w:t>
      </w:r>
      <w:r>
        <w:rPr>
          <w:sz w:val="20"/>
          <w:vertAlign w:val="baseline"/>
        </w:rPr>
        <w:t>‘PENGARUH</w:t>
      </w:r>
      <w:r>
        <w:rPr>
          <w:spacing w:val="40"/>
          <w:sz w:val="20"/>
          <w:vertAlign w:val="baseline"/>
        </w:rPr>
        <w:t> </w:t>
      </w:r>
      <w:r>
        <w:rPr>
          <w:sz w:val="20"/>
          <w:vertAlign w:val="baseline"/>
        </w:rPr>
        <w:t>INFLASI,</w:t>
      </w:r>
      <w:r>
        <w:rPr>
          <w:spacing w:val="40"/>
          <w:sz w:val="20"/>
          <w:vertAlign w:val="baseline"/>
        </w:rPr>
        <w:t> </w:t>
      </w:r>
      <w:r>
        <w:rPr>
          <w:sz w:val="20"/>
          <w:vertAlign w:val="baseline"/>
        </w:rPr>
        <w:t>KURS,</w:t>
      </w:r>
      <w:r>
        <w:rPr>
          <w:spacing w:val="40"/>
          <w:sz w:val="20"/>
          <w:vertAlign w:val="baseline"/>
        </w:rPr>
        <w:t> </w:t>
      </w:r>
      <w:r>
        <w:rPr>
          <w:sz w:val="20"/>
          <w:vertAlign w:val="baseline"/>
        </w:rPr>
        <w:t>PDB,</w:t>
      </w:r>
      <w:r>
        <w:rPr>
          <w:spacing w:val="40"/>
          <w:sz w:val="20"/>
          <w:vertAlign w:val="baseline"/>
        </w:rPr>
        <w:t> </w:t>
      </w:r>
      <w:r>
        <w:rPr>
          <w:sz w:val="20"/>
          <w:vertAlign w:val="baseline"/>
        </w:rPr>
        <w:t>JUMLAH</w:t>
      </w:r>
      <w:r>
        <w:rPr>
          <w:spacing w:val="40"/>
          <w:sz w:val="20"/>
          <w:vertAlign w:val="baseline"/>
        </w:rPr>
        <w:t> </w:t>
      </w:r>
      <w:r>
        <w:rPr>
          <w:sz w:val="20"/>
          <w:vertAlign w:val="baseline"/>
        </w:rPr>
        <w:t>UANG BEREDAR,</w:t>
      </w:r>
      <w:r>
        <w:rPr>
          <w:spacing w:val="26"/>
          <w:sz w:val="20"/>
          <w:vertAlign w:val="baseline"/>
        </w:rPr>
        <w:t> </w:t>
      </w:r>
      <w:r>
        <w:rPr>
          <w:sz w:val="20"/>
          <w:vertAlign w:val="baseline"/>
        </w:rPr>
        <w:t>DAN</w:t>
      </w:r>
      <w:r>
        <w:rPr>
          <w:spacing w:val="28"/>
          <w:sz w:val="20"/>
          <w:vertAlign w:val="baseline"/>
        </w:rPr>
        <w:t> </w:t>
      </w:r>
      <w:r>
        <w:rPr>
          <w:sz w:val="20"/>
          <w:vertAlign w:val="baseline"/>
        </w:rPr>
        <w:t>BI</w:t>
      </w:r>
      <w:r>
        <w:rPr>
          <w:spacing w:val="28"/>
          <w:sz w:val="20"/>
          <w:vertAlign w:val="baseline"/>
        </w:rPr>
        <w:t> </w:t>
      </w:r>
      <w:r>
        <w:rPr>
          <w:sz w:val="20"/>
          <w:vertAlign w:val="baseline"/>
        </w:rPr>
        <w:t>RATE</w:t>
      </w:r>
      <w:r>
        <w:rPr>
          <w:spacing w:val="28"/>
          <w:sz w:val="20"/>
          <w:vertAlign w:val="baseline"/>
        </w:rPr>
        <w:t> </w:t>
      </w:r>
      <w:r>
        <w:rPr>
          <w:sz w:val="20"/>
          <w:vertAlign w:val="baseline"/>
        </w:rPr>
        <w:t>TERHADAP</w:t>
      </w:r>
      <w:r>
        <w:rPr>
          <w:spacing w:val="25"/>
          <w:sz w:val="20"/>
          <w:vertAlign w:val="baseline"/>
        </w:rPr>
        <w:t> </w:t>
      </w:r>
      <w:r>
        <w:rPr>
          <w:sz w:val="20"/>
          <w:vertAlign w:val="baseline"/>
        </w:rPr>
        <w:t>INDEKS</w:t>
      </w:r>
      <w:r>
        <w:rPr>
          <w:spacing w:val="28"/>
          <w:sz w:val="20"/>
          <w:vertAlign w:val="baseline"/>
        </w:rPr>
        <w:t> </w:t>
      </w:r>
      <w:r>
        <w:rPr>
          <w:sz w:val="20"/>
          <w:vertAlign w:val="baseline"/>
        </w:rPr>
        <w:t>SAHAM</w:t>
      </w:r>
      <w:r>
        <w:rPr>
          <w:spacing w:val="26"/>
          <w:sz w:val="20"/>
          <w:vertAlign w:val="baseline"/>
        </w:rPr>
        <w:t> </w:t>
      </w:r>
      <w:r>
        <w:rPr>
          <w:sz w:val="20"/>
          <w:vertAlign w:val="baseline"/>
        </w:rPr>
        <w:t>SYARIAH</w:t>
      </w:r>
      <w:r>
        <w:rPr>
          <w:spacing w:val="26"/>
          <w:sz w:val="20"/>
          <w:vertAlign w:val="baseline"/>
        </w:rPr>
        <w:t> </w:t>
      </w:r>
      <w:r>
        <w:rPr>
          <w:sz w:val="20"/>
          <w:vertAlign w:val="baseline"/>
        </w:rPr>
        <w:t>INDONESIA’,</w:t>
      </w:r>
      <w:r>
        <w:rPr>
          <w:spacing w:val="33"/>
          <w:sz w:val="20"/>
          <w:vertAlign w:val="baseline"/>
        </w:rPr>
        <w:t> </w:t>
      </w:r>
      <w:r>
        <w:rPr>
          <w:i/>
          <w:sz w:val="20"/>
          <w:vertAlign w:val="baseline"/>
        </w:rPr>
        <w:t>Advance</w:t>
      </w:r>
      <w:r>
        <w:rPr>
          <w:i/>
          <w:spacing w:val="26"/>
          <w:sz w:val="20"/>
          <w:vertAlign w:val="baseline"/>
        </w:rPr>
        <w:t> </w:t>
      </w:r>
      <w:r>
        <w:rPr>
          <w:i/>
          <w:sz w:val="20"/>
          <w:vertAlign w:val="baseline"/>
        </w:rPr>
        <w:t>in</w:t>
      </w:r>
      <w:r>
        <w:rPr>
          <w:i/>
          <w:spacing w:val="25"/>
          <w:sz w:val="20"/>
          <w:vertAlign w:val="baseline"/>
        </w:rPr>
        <w:t> </w:t>
      </w:r>
      <w:r>
        <w:rPr>
          <w:i/>
          <w:spacing w:val="-2"/>
          <w:sz w:val="20"/>
          <w:vertAlign w:val="baseline"/>
        </w:rPr>
        <w:t>Social</w:t>
      </w:r>
    </w:p>
    <w:p>
      <w:pPr>
        <w:spacing w:before="1"/>
        <w:ind w:left="23" w:right="0" w:firstLine="0"/>
        <w:jc w:val="left"/>
        <w:rPr>
          <w:sz w:val="20"/>
        </w:rPr>
      </w:pPr>
      <w:r>
        <w:rPr>
          <w:i/>
          <w:sz w:val="20"/>
        </w:rPr>
        <w:t>Humanities</w:t>
      </w:r>
      <w:r>
        <w:rPr>
          <w:i/>
          <w:spacing w:val="-8"/>
          <w:sz w:val="20"/>
        </w:rPr>
        <w:t> </w:t>
      </w:r>
      <w:r>
        <w:rPr>
          <w:i/>
          <w:sz w:val="20"/>
        </w:rPr>
        <w:t>Research</w:t>
      </w:r>
      <w:r>
        <w:rPr>
          <w:sz w:val="20"/>
        </w:rPr>
        <w:t>,</w:t>
      </w:r>
      <w:r>
        <w:rPr>
          <w:spacing w:val="-6"/>
          <w:sz w:val="20"/>
        </w:rPr>
        <w:t> </w:t>
      </w:r>
      <w:r>
        <w:rPr>
          <w:sz w:val="20"/>
        </w:rPr>
        <w:t>2.1</w:t>
      </w:r>
      <w:r>
        <w:rPr>
          <w:spacing w:val="-5"/>
          <w:sz w:val="20"/>
        </w:rPr>
        <w:t> </w:t>
      </w:r>
      <w:r>
        <w:rPr>
          <w:sz w:val="20"/>
        </w:rPr>
        <w:t>(2024),</w:t>
      </w:r>
      <w:r>
        <w:rPr>
          <w:spacing w:val="-8"/>
          <w:sz w:val="20"/>
        </w:rPr>
        <w:t> </w:t>
      </w:r>
      <w:r>
        <w:rPr>
          <w:spacing w:val="-4"/>
          <w:sz w:val="20"/>
        </w:rPr>
        <w:t>1–14.</w:t>
      </w:r>
    </w:p>
    <w:p>
      <w:pPr>
        <w:spacing w:after="0"/>
        <w:jc w:val="left"/>
        <w:rPr>
          <w:sz w:val="20"/>
        </w:rPr>
        <w:sectPr>
          <w:pgSz w:w="11910" w:h="16840"/>
          <w:pgMar w:header="0" w:footer="1000" w:top="1360" w:bottom="1200" w:left="1417" w:right="1275"/>
        </w:sectPr>
      </w:pPr>
    </w:p>
    <w:p>
      <w:pPr>
        <w:pStyle w:val="BodyText"/>
        <w:spacing w:line="360" w:lineRule="auto" w:before="60"/>
        <w:ind w:left="383" w:right="158"/>
        <w:jc w:val="both"/>
      </w:pPr>
      <w:r>
        <w:rPr/>
        <w:t>inflasi dapat dikendalikan. Akan tetapi masih terdapat beberapa penelitian yang berbeda dalam</w:t>
      </w:r>
      <w:r>
        <w:rPr>
          <w:spacing w:val="-4"/>
        </w:rPr>
        <w:t> </w:t>
      </w:r>
      <w:r>
        <w:rPr/>
        <w:t>menilai</w:t>
      </w:r>
      <w:r>
        <w:rPr>
          <w:spacing w:val="-4"/>
        </w:rPr>
        <w:t> </w:t>
      </w:r>
      <w:r>
        <w:rPr/>
        <w:t>inflasi.</w:t>
      </w:r>
      <w:r>
        <w:rPr>
          <w:spacing w:val="-4"/>
        </w:rPr>
        <w:t> </w:t>
      </w:r>
      <w:r>
        <w:rPr/>
        <w:t>Menurut</w:t>
      </w:r>
      <w:r>
        <w:rPr>
          <w:spacing w:val="-4"/>
        </w:rPr>
        <w:t> </w:t>
      </w:r>
      <w:r>
        <w:rPr/>
        <w:t>Elvina,</w:t>
      </w:r>
      <w:r>
        <w:rPr>
          <w:spacing w:val="-4"/>
        </w:rPr>
        <w:t> </w:t>
      </w:r>
      <w:r>
        <w:rPr/>
        <w:t>inflasi</w:t>
      </w:r>
      <w:r>
        <w:rPr>
          <w:spacing w:val="-4"/>
        </w:rPr>
        <w:t> </w:t>
      </w:r>
      <w:r>
        <w:rPr/>
        <w:t>tidak</w:t>
      </w:r>
      <w:r>
        <w:rPr>
          <w:spacing w:val="-4"/>
        </w:rPr>
        <w:t> </w:t>
      </w:r>
      <w:r>
        <w:rPr/>
        <w:t>berpengaruh</w:t>
      </w:r>
      <w:r>
        <w:rPr>
          <w:spacing w:val="-4"/>
        </w:rPr>
        <w:t> </w:t>
      </w:r>
      <w:r>
        <w:rPr/>
        <w:t>terhadap</w:t>
      </w:r>
      <w:r>
        <w:rPr>
          <w:spacing w:val="-2"/>
        </w:rPr>
        <w:t> </w:t>
      </w:r>
      <w:r>
        <w:rPr/>
        <w:t>IHSG.</w:t>
      </w:r>
      <w:hyperlink w:history="true" w:anchor="_bookmark35">
        <w:r>
          <w:rPr>
            <w:vertAlign w:val="superscript"/>
          </w:rPr>
          <w:t>23</w:t>
        </w:r>
      </w:hyperlink>
      <w:r>
        <w:rPr>
          <w:spacing w:val="-3"/>
          <w:vertAlign w:val="baseline"/>
        </w:rPr>
        <w:t> </w:t>
      </w:r>
      <w:r>
        <w:rPr>
          <w:vertAlign w:val="baseline"/>
        </w:rPr>
        <w:t>Namun penelitian Maulana menemukan bahwasanya inflasi berpengaruh positif dan signifikan terhadap harga saham.</w:t>
      </w:r>
      <w:hyperlink w:history="true" w:anchor="_bookmark36">
        <w:r>
          <w:rPr>
            <w:vertAlign w:val="superscript"/>
          </w:rPr>
          <w:t>24</w:t>
        </w:r>
      </w:hyperlink>
    </w:p>
    <w:p>
      <w:pPr>
        <w:pStyle w:val="BodyText"/>
        <w:spacing w:line="360" w:lineRule="auto" w:before="1"/>
        <w:ind w:left="383" w:right="163" w:firstLine="359"/>
        <w:jc w:val="both"/>
      </w:pPr>
      <w:r>
        <w:rPr/>
        <w:t>Salah satu ukuran yang menunjukkan kondisi indeks produksi suatu negara adalah Indeks Produksi Industri (</w:t>
      </w:r>
      <w:r>
        <w:rPr>
          <w:i/>
        </w:rPr>
        <w:t>Industrial Production Index</w:t>
      </w:r>
      <w:r>
        <w:rPr/>
        <w:t>/IPI). Secara umum, indeks saham syariah</w:t>
      </w:r>
      <w:r>
        <w:rPr>
          <w:spacing w:val="-3"/>
        </w:rPr>
        <w:t> </w:t>
      </w:r>
      <w:r>
        <w:rPr/>
        <w:t>akan</w:t>
      </w:r>
      <w:r>
        <w:rPr>
          <w:spacing w:val="-6"/>
        </w:rPr>
        <w:t> </w:t>
      </w:r>
      <w:r>
        <w:rPr/>
        <w:t>terpengaruh</w:t>
      </w:r>
      <w:r>
        <w:rPr>
          <w:spacing w:val="-4"/>
        </w:rPr>
        <w:t> </w:t>
      </w:r>
      <w:r>
        <w:rPr/>
        <w:t>ketika</w:t>
      </w:r>
      <w:r>
        <w:rPr>
          <w:spacing w:val="-4"/>
        </w:rPr>
        <w:t> </w:t>
      </w:r>
      <w:r>
        <w:rPr/>
        <w:t>IPI</w:t>
      </w:r>
      <w:r>
        <w:rPr>
          <w:spacing w:val="-7"/>
        </w:rPr>
        <w:t> </w:t>
      </w:r>
      <w:r>
        <w:rPr/>
        <w:t>naik.</w:t>
      </w:r>
      <w:r>
        <w:rPr>
          <w:spacing w:val="-2"/>
        </w:rPr>
        <w:t> </w:t>
      </w:r>
      <w:r>
        <w:rPr/>
        <w:t>Nilai</w:t>
      </w:r>
      <w:r>
        <w:rPr>
          <w:spacing w:val="-6"/>
        </w:rPr>
        <w:t> </w:t>
      </w:r>
      <w:r>
        <w:rPr/>
        <w:t>barang</w:t>
      </w:r>
      <w:r>
        <w:rPr>
          <w:spacing w:val="-6"/>
        </w:rPr>
        <w:t> </w:t>
      </w:r>
      <w:r>
        <w:rPr/>
        <w:t>dan</w:t>
      </w:r>
      <w:r>
        <w:rPr>
          <w:spacing w:val="-4"/>
        </w:rPr>
        <w:t> </w:t>
      </w:r>
      <w:r>
        <w:rPr/>
        <w:t>jasa</w:t>
      </w:r>
      <w:r>
        <w:rPr>
          <w:spacing w:val="-7"/>
        </w:rPr>
        <w:t> </w:t>
      </w:r>
      <w:r>
        <w:rPr/>
        <w:t>dalam</w:t>
      </w:r>
      <w:r>
        <w:rPr>
          <w:spacing w:val="-6"/>
        </w:rPr>
        <w:t> </w:t>
      </w:r>
      <w:r>
        <w:rPr/>
        <w:t>suatu</w:t>
      </w:r>
      <w:r>
        <w:rPr>
          <w:spacing w:val="-3"/>
        </w:rPr>
        <w:t> </w:t>
      </w:r>
      <w:r>
        <w:rPr/>
        <w:t>perekonomian dapat meningkat sebagai respon terhadap peningkatan aktivitas manufaktur. Kenaikan pendapatan nasional dipengaruhi oleh hal ini. Salah satu ukuran evolusi aktual dari data produksi, termasuk IPI, adalah kenaikan nilai produk domestik bruto. Hasilnya, IPI dapat digunakan untuk melacak pertumbuhan sektor manufaktur yang pada akhirnya mempengaruhi harga saham</w:t>
      </w:r>
      <w:hyperlink w:history="true" w:anchor="_bookmark37">
        <w:r>
          <w:rPr/>
          <w:t>.</w:t>
        </w:r>
        <w:r>
          <w:rPr>
            <w:vertAlign w:val="superscript"/>
          </w:rPr>
          <w:t>25</w:t>
        </w:r>
      </w:hyperlink>
    </w:p>
    <w:p>
      <w:pPr>
        <w:pStyle w:val="Heading2"/>
        <w:spacing w:before="1"/>
        <w:ind w:left="580"/>
        <w:jc w:val="center"/>
      </w:pPr>
      <w:r>
        <w:rPr/>
        <w:t>Grafik</w:t>
      </w:r>
      <w:r>
        <w:rPr>
          <w:spacing w:val="-4"/>
        </w:rPr>
        <w:t> </w:t>
      </w:r>
      <w:r>
        <w:rPr>
          <w:spacing w:val="-5"/>
        </w:rPr>
        <w:t>1.5</w:t>
      </w:r>
    </w:p>
    <w:p>
      <w:pPr>
        <w:spacing w:before="137"/>
        <w:ind w:left="578" w:right="0" w:firstLine="0"/>
        <w:jc w:val="center"/>
        <w:rPr>
          <w:b/>
          <w:sz w:val="24"/>
        </w:rPr>
      </w:pPr>
      <w:r>
        <w:rPr>
          <w:b/>
          <w:sz w:val="24"/>
        </w:rPr>
        <w:t>Indeks</w:t>
      </w:r>
      <w:r>
        <w:rPr>
          <w:b/>
          <w:spacing w:val="-5"/>
          <w:sz w:val="24"/>
        </w:rPr>
        <w:t> </w:t>
      </w:r>
      <w:r>
        <w:rPr>
          <w:b/>
          <w:sz w:val="24"/>
        </w:rPr>
        <w:t>Produksi</w:t>
      </w:r>
      <w:r>
        <w:rPr>
          <w:b/>
          <w:spacing w:val="-2"/>
          <w:sz w:val="24"/>
        </w:rPr>
        <w:t> </w:t>
      </w:r>
      <w:r>
        <w:rPr>
          <w:b/>
          <w:sz w:val="24"/>
        </w:rPr>
        <w:t>Industri</w:t>
      </w:r>
      <w:r>
        <w:rPr>
          <w:b/>
          <w:spacing w:val="-2"/>
          <w:sz w:val="24"/>
        </w:rPr>
        <w:t> </w:t>
      </w:r>
      <w:r>
        <w:rPr>
          <w:b/>
          <w:sz w:val="24"/>
        </w:rPr>
        <w:t>di</w:t>
      </w:r>
      <w:r>
        <w:rPr>
          <w:b/>
          <w:spacing w:val="-3"/>
          <w:sz w:val="24"/>
        </w:rPr>
        <w:t> </w:t>
      </w:r>
      <w:r>
        <w:rPr>
          <w:b/>
          <w:spacing w:val="-2"/>
          <w:sz w:val="24"/>
        </w:rPr>
        <w:t>Indonesia</w:t>
      </w:r>
    </w:p>
    <w:p>
      <w:pPr>
        <w:pStyle w:val="BodyText"/>
        <w:spacing w:before="115"/>
        <w:rPr>
          <w:b/>
          <w:sz w:val="16"/>
        </w:rPr>
      </w:pPr>
    </w:p>
    <w:p>
      <w:pPr>
        <w:spacing w:before="0"/>
        <w:ind w:left="749"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37344">
                <wp:simplePos x="0" y="0"/>
                <wp:positionH relativeFrom="page">
                  <wp:posOffset>1619823</wp:posOffset>
                </wp:positionH>
                <wp:positionV relativeFrom="paragraph">
                  <wp:posOffset>83087</wp:posOffset>
                </wp:positionV>
                <wp:extent cx="4492625" cy="232346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4492625" cy="2323465"/>
                          <a:chExt cx="4492625" cy="2323465"/>
                        </a:xfrm>
                      </wpg:grpSpPr>
                      <wps:wsp>
                        <wps:cNvPr id="73" name="Graphic 73"/>
                        <wps:cNvSpPr/>
                        <wps:spPr>
                          <a:xfrm>
                            <a:off x="56384" y="2731"/>
                            <a:ext cx="4432935" cy="2268220"/>
                          </a:xfrm>
                          <a:custGeom>
                            <a:avLst/>
                            <a:gdLst/>
                            <a:ahLst/>
                            <a:cxnLst/>
                            <a:rect l="l" t="t" r="r" b="b"/>
                            <a:pathLst>
                              <a:path w="4432935" h="2268220">
                                <a:moveTo>
                                  <a:pt x="0" y="0"/>
                                </a:moveTo>
                                <a:lnTo>
                                  <a:pt x="0" y="2267929"/>
                                </a:lnTo>
                              </a:path>
                              <a:path w="4432935" h="2268220">
                                <a:moveTo>
                                  <a:pt x="0" y="2267929"/>
                                </a:moveTo>
                                <a:lnTo>
                                  <a:pt x="4432428" y="2267929"/>
                                </a:lnTo>
                              </a:path>
                              <a:path w="4432935" h="2268220">
                                <a:moveTo>
                                  <a:pt x="4432428" y="2267929"/>
                                </a:moveTo>
                                <a:lnTo>
                                  <a:pt x="4432428" y="0"/>
                                </a:lnTo>
                              </a:path>
                              <a:path w="4432935" h="2268220">
                                <a:moveTo>
                                  <a:pt x="4432428" y="0"/>
                                </a:moveTo>
                                <a:lnTo>
                                  <a:pt x="0" y="0"/>
                                </a:lnTo>
                              </a:path>
                            </a:pathLst>
                          </a:custGeom>
                          <a:ln w="5947">
                            <a:solidFill>
                              <a:srgbClr val="000000"/>
                            </a:solidFill>
                            <a:prstDash val="solid"/>
                          </a:ln>
                        </wps:spPr>
                        <wps:bodyPr wrap="square" lIns="0" tIns="0" rIns="0" bIns="0" rtlCol="0">
                          <a:prstTxWarp prst="textNoShape">
                            <a:avLst/>
                          </a:prstTxWarp>
                          <a:noAutofit/>
                        </wps:bodyPr>
                      </wps:wsp>
                      <wps:wsp>
                        <wps:cNvPr id="74" name="Graphic 74"/>
                        <wps:cNvSpPr/>
                        <wps:spPr>
                          <a:xfrm>
                            <a:off x="0" y="5989"/>
                            <a:ext cx="4449445" cy="2317750"/>
                          </a:xfrm>
                          <a:custGeom>
                            <a:avLst/>
                            <a:gdLst/>
                            <a:ahLst/>
                            <a:cxnLst/>
                            <a:rect l="l" t="t" r="r" b="b"/>
                            <a:pathLst>
                              <a:path w="4449445" h="2317750">
                                <a:moveTo>
                                  <a:pt x="51091" y="2262417"/>
                                </a:moveTo>
                                <a:lnTo>
                                  <a:pt x="0" y="2262417"/>
                                </a:lnTo>
                              </a:path>
                              <a:path w="4449445" h="2317750">
                                <a:moveTo>
                                  <a:pt x="51091" y="1938924"/>
                                </a:moveTo>
                                <a:lnTo>
                                  <a:pt x="0" y="1938924"/>
                                </a:lnTo>
                              </a:path>
                              <a:path w="4449445" h="2317750">
                                <a:moveTo>
                                  <a:pt x="51091" y="1615757"/>
                                </a:moveTo>
                                <a:lnTo>
                                  <a:pt x="0" y="1615757"/>
                                </a:lnTo>
                              </a:path>
                              <a:path w="4449445" h="2317750">
                                <a:moveTo>
                                  <a:pt x="51091" y="1292277"/>
                                </a:moveTo>
                                <a:lnTo>
                                  <a:pt x="0" y="1292277"/>
                                </a:lnTo>
                              </a:path>
                              <a:path w="4449445" h="2317750">
                                <a:moveTo>
                                  <a:pt x="51091" y="968849"/>
                                </a:moveTo>
                                <a:lnTo>
                                  <a:pt x="0" y="968849"/>
                                </a:lnTo>
                              </a:path>
                              <a:path w="4449445" h="2317750">
                                <a:moveTo>
                                  <a:pt x="51091" y="645682"/>
                                </a:moveTo>
                                <a:lnTo>
                                  <a:pt x="0" y="645682"/>
                                </a:lnTo>
                              </a:path>
                              <a:path w="4449445" h="2317750">
                                <a:moveTo>
                                  <a:pt x="51091" y="322124"/>
                                </a:moveTo>
                                <a:lnTo>
                                  <a:pt x="0" y="322124"/>
                                </a:lnTo>
                              </a:path>
                              <a:path w="4449445" h="2317750">
                                <a:moveTo>
                                  <a:pt x="51091" y="0"/>
                                </a:moveTo>
                                <a:lnTo>
                                  <a:pt x="0" y="0"/>
                                </a:lnTo>
                              </a:path>
                              <a:path w="4449445" h="2317750">
                                <a:moveTo>
                                  <a:pt x="94602" y="2268854"/>
                                </a:moveTo>
                                <a:lnTo>
                                  <a:pt x="94602" y="2293639"/>
                                </a:lnTo>
                              </a:path>
                              <a:path w="4449445" h="2317750">
                                <a:moveTo>
                                  <a:pt x="169520" y="2268854"/>
                                </a:moveTo>
                                <a:lnTo>
                                  <a:pt x="169520" y="2293639"/>
                                </a:lnTo>
                              </a:path>
                              <a:path w="4449445" h="2317750">
                                <a:moveTo>
                                  <a:pt x="245574" y="2268854"/>
                                </a:moveTo>
                                <a:lnTo>
                                  <a:pt x="245574" y="2293639"/>
                                </a:lnTo>
                              </a:path>
                              <a:path w="4449445" h="2317750">
                                <a:moveTo>
                                  <a:pt x="320108" y="2268854"/>
                                </a:moveTo>
                                <a:lnTo>
                                  <a:pt x="320108" y="2293639"/>
                                </a:lnTo>
                              </a:path>
                              <a:path w="4449445" h="2317750">
                                <a:moveTo>
                                  <a:pt x="395042" y="2268854"/>
                                </a:moveTo>
                                <a:lnTo>
                                  <a:pt x="395042" y="2293639"/>
                                </a:lnTo>
                              </a:path>
                              <a:path w="4449445" h="2317750">
                                <a:moveTo>
                                  <a:pt x="469960" y="2268854"/>
                                </a:moveTo>
                                <a:lnTo>
                                  <a:pt x="469960" y="2293639"/>
                                </a:lnTo>
                              </a:path>
                              <a:path w="4449445" h="2317750">
                                <a:moveTo>
                                  <a:pt x="544878" y="2268854"/>
                                </a:moveTo>
                                <a:lnTo>
                                  <a:pt x="544878" y="2293639"/>
                                </a:lnTo>
                              </a:path>
                              <a:path w="4449445" h="2317750">
                                <a:moveTo>
                                  <a:pt x="620932" y="2268854"/>
                                </a:moveTo>
                                <a:lnTo>
                                  <a:pt x="620932" y="2293639"/>
                                </a:lnTo>
                              </a:path>
                              <a:path w="4449445" h="2317750">
                                <a:moveTo>
                                  <a:pt x="695850" y="2268854"/>
                                </a:moveTo>
                                <a:lnTo>
                                  <a:pt x="695850" y="2293639"/>
                                </a:lnTo>
                              </a:path>
                              <a:path w="4449445" h="2317750">
                                <a:moveTo>
                                  <a:pt x="770400" y="2268854"/>
                                </a:moveTo>
                                <a:lnTo>
                                  <a:pt x="770400" y="2293639"/>
                                </a:lnTo>
                              </a:path>
                              <a:path w="4449445" h="2317750">
                                <a:moveTo>
                                  <a:pt x="845318" y="2268854"/>
                                </a:moveTo>
                                <a:lnTo>
                                  <a:pt x="845318" y="2293639"/>
                                </a:lnTo>
                              </a:path>
                              <a:path w="4449445" h="2317750">
                                <a:moveTo>
                                  <a:pt x="920236" y="2268854"/>
                                </a:moveTo>
                                <a:lnTo>
                                  <a:pt x="920236" y="2293639"/>
                                </a:lnTo>
                              </a:path>
                              <a:path w="4449445" h="2317750">
                                <a:moveTo>
                                  <a:pt x="996290" y="2268854"/>
                                </a:moveTo>
                                <a:lnTo>
                                  <a:pt x="996290" y="2293639"/>
                                </a:lnTo>
                              </a:path>
                              <a:path w="4449445" h="2317750">
                                <a:moveTo>
                                  <a:pt x="1071208" y="2268854"/>
                                </a:moveTo>
                                <a:lnTo>
                                  <a:pt x="1071208" y="2293639"/>
                                </a:lnTo>
                              </a:path>
                              <a:path w="4449445" h="2317750">
                                <a:moveTo>
                                  <a:pt x="1145758" y="2268854"/>
                                </a:moveTo>
                                <a:lnTo>
                                  <a:pt x="1145758" y="2293639"/>
                                </a:lnTo>
                              </a:path>
                              <a:path w="4449445" h="2317750">
                                <a:moveTo>
                                  <a:pt x="1220676" y="2268854"/>
                                </a:moveTo>
                                <a:lnTo>
                                  <a:pt x="1220676" y="2293639"/>
                                </a:lnTo>
                              </a:path>
                              <a:path w="4449445" h="2317750">
                                <a:moveTo>
                                  <a:pt x="1295548" y="2268854"/>
                                </a:moveTo>
                                <a:lnTo>
                                  <a:pt x="1295548" y="2293639"/>
                                </a:lnTo>
                              </a:path>
                              <a:path w="4449445" h="2317750">
                                <a:moveTo>
                                  <a:pt x="1371647" y="2268854"/>
                                </a:moveTo>
                                <a:lnTo>
                                  <a:pt x="1371647" y="2293639"/>
                                </a:lnTo>
                              </a:path>
                              <a:path w="4449445" h="2317750">
                                <a:moveTo>
                                  <a:pt x="1446519" y="2268854"/>
                                </a:moveTo>
                                <a:lnTo>
                                  <a:pt x="1446519" y="2293639"/>
                                </a:lnTo>
                              </a:path>
                              <a:path w="4449445" h="2317750">
                                <a:moveTo>
                                  <a:pt x="1521085" y="2268854"/>
                                </a:moveTo>
                                <a:lnTo>
                                  <a:pt x="1521085" y="2293639"/>
                                </a:lnTo>
                              </a:path>
                              <a:path w="4449445" h="2317750">
                                <a:moveTo>
                                  <a:pt x="1595957" y="2268854"/>
                                </a:moveTo>
                                <a:lnTo>
                                  <a:pt x="1595957" y="2293639"/>
                                </a:lnTo>
                              </a:path>
                              <a:path w="4449445" h="2317750">
                                <a:moveTo>
                                  <a:pt x="1670982" y="2268854"/>
                                </a:moveTo>
                                <a:lnTo>
                                  <a:pt x="1670982" y="2293639"/>
                                </a:lnTo>
                              </a:path>
                              <a:path w="4449445" h="2317750">
                                <a:moveTo>
                                  <a:pt x="1746928" y="2268854"/>
                                </a:moveTo>
                                <a:lnTo>
                                  <a:pt x="1746928" y="2293639"/>
                                </a:lnTo>
                              </a:path>
                              <a:path w="4449445" h="2317750">
                                <a:moveTo>
                                  <a:pt x="1821954" y="2268854"/>
                                </a:moveTo>
                                <a:lnTo>
                                  <a:pt x="1821954" y="2293639"/>
                                </a:lnTo>
                              </a:path>
                              <a:path w="4449445" h="2317750">
                                <a:moveTo>
                                  <a:pt x="1896519" y="2268854"/>
                                </a:moveTo>
                                <a:lnTo>
                                  <a:pt x="1896519" y="2293639"/>
                                </a:lnTo>
                              </a:path>
                              <a:path w="4449445" h="2317750">
                                <a:moveTo>
                                  <a:pt x="1971391" y="2268854"/>
                                </a:moveTo>
                                <a:lnTo>
                                  <a:pt x="1971391" y="2293639"/>
                                </a:lnTo>
                              </a:path>
                              <a:path w="4449445" h="2317750">
                                <a:moveTo>
                                  <a:pt x="2046263" y="2268854"/>
                                </a:moveTo>
                                <a:lnTo>
                                  <a:pt x="2046263" y="2293639"/>
                                </a:lnTo>
                              </a:path>
                              <a:path w="4449445" h="2317750">
                                <a:moveTo>
                                  <a:pt x="2122363" y="2268854"/>
                                </a:moveTo>
                                <a:lnTo>
                                  <a:pt x="2122363" y="2293639"/>
                                </a:lnTo>
                              </a:path>
                              <a:path w="4449445" h="2317750">
                                <a:moveTo>
                                  <a:pt x="2197235" y="2268854"/>
                                </a:moveTo>
                                <a:lnTo>
                                  <a:pt x="2197235" y="2293639"/>
                                </a:lnTo>
                              </a:path>
                              <a:path w="4449445" h="2317750">
                                <a:moveTo>
                                  <a:pt x="2271800" y="2268854"/>
                                </a:moveTo>
                                <a:lnTo>
                                  <a:pt x="2271800" y="2293639"/>
                                </a:lnTo>
                              </a:path>
                              <a:path w="4449445" h="2317750">
                                <a:moveTo>
                                  <a:pt x="2346672" y="2268854"/>
                                </a:moveTo>
                                <a:lnTo>
                                  <a:pt x="2346672" y="2293639"/>
                                </a:lnTo>
                              </a:path>
                              <a:path w="4449445" h="2317750">
                                <a:moveTo>
                                  <a:pt x="2421698" y="2268854"/>
                                </a:moveTo>
                                <a:lnTo>
                                  <a:pt x="2421698" y="2293639"/>
                                </a:lnTo>
                              </a:path>
                              <a:path w="4449445" h="2317750">
                                <a:moveTo>
                                  <a:pt x="2497644" y="2268854"/>
                                </a:moveTo>
                                <a:lnTo>
                                  <a:pt x="2497644" y="2293639"/>
                                </a:lnTo>
                              </a:path>
                              <a:path w="4449445" h="2317750">
                                <a:moveTo>
                                  <a:pt x="2572670" y="2268854"/>
                                </a:moveTo>
                                <a:lnTo>
                                  <a:pt x="2572670" y="2293639"/>
                                </a:lnTo>
                              </a:path>
                              <a:path w="4449445" h="2317750">
                                <a:moveTo>
                                  <a:pt x="2647235" y="2268854"/>
                                </a:moveTo>
                                <a:lnTo>
                                  <a:pt x="2647235" y="2293639"/>
                                </a:lnTo>
                              </a:path>
                              <a:path w="4449445" h="2317750">
                                <a:moveTo>
                                  <a:pt x="2722107" y="2268854"/>
                                </a:moveTo>
                                <a:lnTo>
                                  <a:pt x="2722107" y="2293639"/>
                                </a:lnTo>
                              </a:path>
                              <a:path w="4449445" h="2317750">
                                <a:moveTo>
                                  <a:pt x="2796979" y="2268854"/>
                                </a:moveTo>
                                <a:lnTo>
                                  <a:pt x="2796979" y="2293639"/>
                                </a:lnTo>
                              </a:path>
                              <a:path w="4449445" h="2317750">
                                <a:moveTo>
                                  <a:pt x="2873079" y="2268854"/>
                                </a:moveTo>
                                <a:lnTo>
                                  <a:pt x="2873079" y="2293639"/>
                                </a:lnTo>
                              </a:path>
                              <a:path w="4449445" h="2317750">
                                <a:moveTo>
                                  <a:pt x="2947951" y="2268854"/>
                                </a:moveTo>
                                <a:lnTo>
                                  <a:pt x="2947951" y="2293639"/>
                                </a:lnTo>
                              </a:path>
                              <a:path w="4449445" h="2317750">
                                <a:moveTo>
                                  <a:pt x="3022516" y="2268854"/>
                                </a:moveTo>
                                <a:lnTo>
                                  <a:pt x="3022516" y="2293639"/>
                                </a:lnTo>
                              </a:path>
                              <a:path w="4449445" h="2317750">
                                <a:moveTo>
                                  <a:pt x="3097388" y="2268854"/>
                                </a:moveTo>
                                <a:lnTo>
                                  <a:pt x="3097388" y="2293639"/>
                                </a:lnTo>
                              </a:path>
                              <a:path w="4449445" h="2317750">
                                <a:moveTo>
                                  <a:pt x="3172414" y="2268854"/>
                                </a:moveTo>
                                <a:lnTo>
                                  <a:pt x="3172414" y="2293639"/>
                                </a:lnTo>
                              </a:path>
                              <a:path w="4449445" h="2317750">
                                <a:moveTo>
                                  <a:pt x="3248360" y="2268854"/>
                                </a:moveTo>
                                <a:lnTo>
                                  <a:pt x="3248360" y="2293639"/>
                                </a:lnTo>
                              </a:path>
                              <a:path w="4449445" h="2317750">
                                <a:moveTo>
                                  <a:pt x="3323385" y="2268854"/>
                                </a:moveTo>
                                <a:lnTo>
                                  <a:pt x="3323385" y="2293639"/>
                                </a:lnTo>
                              </a:path>
                              <a:path w="4449445" h="2317750">
                                <a:moveTo>
                                  <a:pt x="3397951" y="2268854"/>
                                </a:moveTo>
                                <a:lnTo>
                                  <a:pt x="3397951" y="2293639"/>
                                </a:lnTo>
                              </a:path>
                              <a:path w="4449445" h="2317750">
                                <a:moveTo>
                                  <a:pt x="3472823" y="2268854"/>
                                </a:moveTo>
                                <a:lnTo>
                                  <a:pt x="3472823" y="2293639"/>
                                </a:lnTo>
                              </a:path>
                              <a:path w="4449445" h="2317750">
                                <a:moveTo>
                                  <a:pt x="3547695" y="2268854"/>
                                </a:moveTo>
                                <a:lnTo>
                                  <a:pt x="3547695" y="2293639"/>
                                </a:lnTo>
                              </a:path>
                              <a:path w="4449445" h="2317750">
                                <a:moveTo>
                                  <a:pt x="3623794" y="2268854"/>
                                </a:moveTo>
                                <a:lnTo>
                                  <a:pt x="3623794" y="2293639"/>
                                </a:lnTo>
                              </a:path>
                              <a:path w="4449445" h="2317750">
                                <a:moveTo>
                                  <a:pt x="3698666" y="2268854"/>
                                </a:moveTo>
                                <a:lnTo>
                                  <a:pt x="3698666" y="2293639"/>
                                </a:lnTo>
                              </a:path>
                              <a:path w="4449445" h="2317750">
                                <a:moveTo>
                                  <a:pt x="3773232" y="2268854"/>
                                </a:moveTo>
                                <a:lnTo>
                                  <a:pt x="3773232" y="2293639"/>
                                </a:lnTo>
                              </a:path>
                              <a:path w="4449445" h="2317750">
                                <a:moveTo>
                                  <a:pt x="3848104" y="2268854"/>
                                </a:moveTo>
                                <a:lnTo>
                                  <a:pt x="3848104" y="2293639"/>
                                </a:lnTo>
                              </a:path>
                              <a:path w="4449445" h="2317750">
                                <a:moveTo>
                                  <a:pt x="3923129" y="2268854"/>
                                </a:moveTo>
                                <a:lnTo>
                                  <a:pt x="3923129" y="2293639"/>
                                </a:lnTo>
                              </a:path>
                              <a:path w="4449445" h="2317750">
                                <a:moveTo>
                                  <a:pt x="3999075" y="2268854"/>
                                </a:moveTo>
                                <a:lnTo>
                                  <a:pt x="3999075" y="2293639"/>
                                </a:lnTo>
                              </a:path>
                              <a:path w="4449445" h="2317750">
                                <a:moveTo>
                                  <a:pt x="4074101" y="2268854"/>
                                </a:moveTo>
                                <a:lnTo>
                                  <a:pt x="4074101" y="2293639"/>
                                </a:lnTo>
                              </a:path>
                              <a:path w="4449445" h="2317750">
                                <a:moveTo>
                                  <a:pt x="4148666" y="2268854"/>
                                </a:moveTo>
                                <a:lnTo>
                                  <a:pt x="4148666" y="2293639"/>
                                </a:lnTo>
                              </a:path>
                              <a:path w="4449445" h="2317750">
                                <a:moveTo>
                                  <a:pt x="4223538" y="2268854"/>
                                </a:moveTo>
                                <a:lnTo>
                                  <a:pt x="4223538" y="2293639"/>
                                </a:lnTo>
                              </a:path>
                              <a:path w="4449445" h="2317750">
                                <a:moveTo>
                                  <a:pt x="4299638" y="2268854"/>
                                </a:moveTo>
                                <a:lnTo>
                                  <a:pt x="4299638" y="2293639"/>
                                </a:lnTo>
                              </a:path>
                              <a:path w="4449445" h="2317750">
                                <a:moveTo>
                                  <a:pt x="4374510" y="2268854"/>
                                </a:moveTo>
                                <a:lnTo>
                                  <a:pt x="4374510" y="2293639"/>
                                </a:lnTo>
                              </a:path>
                              <a:path w="4449445" h="2317750">
                                <a:moveTo>
                                  <a:pt x="4449382" y="2268854"/>
                                </a:moveTo>
                                <a:lnTo>
                                  <a:pt x="4449382" y="2293639"/>
                                </a:lnTo>
                              </a:path>
                              <a:path w="4449445" h="2317750">
                                <a:moveTo>
                                  <a:pt x="245574" y="2268854"/>
                                </a:moveTo>
                                <a:lnTo>
                                  <a:pt x="245574" y="2317134"/>
                                </a:lnTo>
                              </a:path>
                              <a:path w="4449445" h="2317750">
                                <a:moveTo>
                                  <a:pt x="469960" y="2268854"/>
                                </a:moveTo>
                                <a:lnTo>
                                  <a:pt x="469960" y="2317134"/>
                                </a:lnTo>
                              </a:path>
                              <a:path w="4449445" h="2317750">
                                <a:moveTo>
                                  <a:pt x="695850" y="2268854"/>
                                </a:moveTo>
                                <a:lnTo>
                                  <a:pt x="695850" y="2317134"/>
                                </a:lnTo>
                              </a:path>
                              <a:path w="4449445" h="2317750">
                                <a:moveTo>
                                  <a:pt x="920236" y="2268854"/>
                                </a:moveTo>
                                <a:lnTo>
                                  <a:pt x="920236" y="2317134"/>
                                </a:lnTo>
                              </a:path>
                              <a:path w="4449445" h="2317750">
                                <a:moveTo>
                                  <a:pt x="1145758" y="2268854"/>
                                </a:moveTo>
                                <a:lnTo>
                                  <a:pt x="1145758" y="2317134"/>
                                </a:lnTo>
                              </a:path>
                              <a:path w="4449445" h="2317750">
                                <a:moveTo>
                                  <a:pt x="1371647" y="2268854"/>
                                </a:moveTo>
                                <a:lnTo>
                                  <a:pt x="1371647" y="2317134"/>
                                </a:lnTo>
                              </a:path>
                              <a:path w="4449445" h="2317750">
                                <a:moveTo>
                                  <a:pt x="1595957" y="2268854"/>
                                </a:moveTo>
                                <a:lnTo>
                                  <a:pt x="1595957" y="2317134"/>
                                </a:lnTo>
                              </a:path>
                              <a:path w="4449445" h="2317750">
                                <a:moveTo>
                                  <a:pt x="1821954" y="2268854"/>
                                </a:moveTo>
                                <a:lnTo>
                                  <a:pt x="1821954" y="2317134"/>
                                </a:lnTo>
                              </a:path>
                              <a:path w="4449445" h="2317750">
                                <a:moveTo>
                                  <a:pt x="2046263" y="2268854"/>
                                </a:moveTo>
                                <a:lnTo>
                                  <a:pt x="2046263" y="2317134"/>
                                </a:lnTo>
                              </a:path>
                              <a:path w="4449445" h="2317750">
                                <a:moveTo>
                                  <a:pt x="2271800" y="2268854"/>
                                </a:moveTo>
                                <a:lnTo>
                                  <a:pt x="2271800" y="2317134"/>
                                </a:lnTo>
                              </a:path>
                              <a:path w="4449445" h="2317750">
                                <a:moveTo>
                                  <a:pt x="2497644" y="2268854"/>
                                </a:moveTo>
                                <a:lnTo>
                                  <a:pt x="2497644" y="2317134"/>
                                </a:lnTo>
                              </a:path>
                              <a:path w="4449445" h="2317750">
                                <a:moveTo>
                                  <a:pt x="2722107" y="2268854"/>
                                </a:moveTo>
                                <a:lnTo>
                                  <a:pt x="2722107" y="2317134"/>
                                </a:lnTo>
                              </a:path>
                              <a:path w="4449445" h="2317750">
                                <a:moveTo>
                                  <a:pt x="2947951" y="2268854"/>
                                </a:moveTo>
                                <a:lnTo>
                                  <a:pt x="2947951" y="2317134"/>
                                </a:lnTo>
                              </a:path>
                              <a:path w="4449445" h="2317750">
                                <a:moveTo>
                                  <a:pt x="3172414" y="2268854"/>
                                </a:moveTo>
                                <a:lnTo>
                                  <a:pt x="3172414" y="2317134"/>
                                </a:lnTo>
                              </a:path>
                              <a:path w="4449445" h="2317750">
                                <a:moveTo>
                                  <a:pt x="3397951" y="2268854"/>
                                </a:moveTo>
                                <a:lnTo>
                                  <a:pt x="3397951" y="2317134"/>
                                </a:lnTo>
                              </a:path>
                              <a:path w="4449445" h="2317750">
                                <a:moveTo>
                                  <a:pt x="3623794" y="2268854"/>
                                </a:moveTo>
                                <a:lnTo>
                                  <a:pt x="3623794" y="2317134"/>
                                </a:lnTo>
                              </a:path>
                              <a:path w="4449445" h="2317750">
                                <a:moveTo>
                                  <a:pt x="3848104" y="2268854"/>
                                </a:moveTo>
                                <a:lnTo>
                                  <a:pt x="3848104" y="2317134"/>
                                </a:lnTo>
                              </a:path>
                              <a:path w="4449445" h="2317750">
                                <a:moveTo>
                                  <a:pt x="4074101" y="2268854"/>
                                </a:moveTo>
                                <a:lnTo>
                                  <a:pt x="4074101" y="2317134"/>
                                </a:lnTo>
                              </a:path>
                              <a:path w="4449445" h="2317750">
                                <a:moveTo>
                                  <a:pt x="4299638" y="2268854"/>
                                </a:moveTo>
                                <a:lnTo>
                                  <a:pt x="4299638" y="2317134"/>
                                </a:lnTo>
                              </a:path>
                              <a:path w="4449445" h="2317750">
                                <a:moveTo>
                                  <a:pt x="920236" y="2268854"/>
                                </a:moveTo>
                                <a:lnTo>
                                  <a:pt x="920236" y="2317134"/>
                                </a:lnTo>
                              </a:path>
                              <a:path w="4449445" h="2317750">
                                <a:moveTo>
                                  <a:pt x="1821954" y="2268854"/>
                                </a:moveTo>
                                <a:lnTo>
                                  <a:pt x="1821954" y="2317134"/>
                                </a:lnTo>
                              </a:path>
                              <a:path w="4449445" h="2317750">
                                <a:moveTo>
                                  <a:pt x="2722107" y="2268854"/>
                                </a:moveTo>
                                <a:lnTo>
                                  <a:pt x="2722107" y="2317134"/>
                                </a:lnTo>
                              </a:path>
                              <a:path w="4449445" h="2317750">
                                <a:moveTo>
                                  <a:pt x="3623794" y="2268854"/>
                                </a:moveTo>
                                <a:lnTo>
                                  <a:pt x="3623794" y="2317134"/>
                                </a:lnTo>
                              </a:path>
                            </a:pathLst>
                          </a:custGeom>
                          <a:ln w="4898">
                            <a:solidFill>
                              <a:srgbClr val="000000"/>
                            </a:solidFill>
                            <a:prstDash val="solid"/>
                          </a:ln>
                        </wps:spPr>
                        <wps:bodyPr wrap="square" lIns="0" tIns="0" rIns="0" bIns="0" rtlCol="0">
                          <a:prstTxWarp prst="textNoShape">
                            <a:avLst/>
                          </a:prstTxWarp>
                          <a:noAutofit/>
                        </wps:bodyPr>
                      </wps:wsp>
                      <wps:wsp>
                        <wps:cNvPr id="75" name="Graphic 75"/>
                        <wps:cNvSpPr/>
                        <wps:spPr>
                          <a:xfrm>
                            <a:off x="62812" y="639032"/>
                            <a:ext cx="74930" cy="1629410"/>
                          </a:xfrm>
                          <a:custGeom>
                            <a:avLst/>
                            <a:gdLst/>
                            <a:ahLst/>
                            <a:cxnLst/>
                            <a:rect l="l" t="t" r="r" b="b"/>
                            <a:pathLst>
                              <a:path w="74930" h="1629410">
                                <a:moveTo>
                                  <a:pt x="0" y="0"/>
                                </a:moveTo>
                                <a:lnTo>
                                  <a:pt x="0" y="1629205"/>
                                </a:lnTo>
                                <a:lnTo>
                                  <a:pt x="74549" y="1629205"/>
                                </a:lnTo>
                                <a:lnTo>
                                  <a:pt x="74549" y="163277"/>
                                </a:lnTo>
                                <a:lnTo>
                                  <a:pt x="0" y="0"/>
                                </a:lnTo>
                                <a:close/>
                              </a:path>
                            </a:pathLst>
                          </a:custGeom>
                          <a:solidFill>
                            <a:srgbClr val="93BDFF"/>
                          </a:solidFill>
                        </wps:spPr>
                        <wps:bodyPr wrap="square" lIns="0" tIns="0" rIns="0" bIns="0" rtlCol="0">
                          <a:prstTxWarp prst="textNoShape">
                            <a:avLst/>
                          </a:prstTxWarp>
                          <a:noAutofit/>
                        </wps:bodyPr>
                      </wps:wsp>
                      <wps:wsp>
                        <wps:cNvPr id="76" name="Graphic 76"/>
                        <wps:cNvSpPr/>
                        <wps:spPr>
                          <a:xfrm>
                            <a:off x="62812" y="639032"/>
                            <a:ext cx="74930" cy="1629410"/>
                          </a:xfrm>
                          <a:custGeom>
                            <a:avLst/>
                            <a:gdLst/>
                            <a:ahLst/>
                            <a:cxnLst/>
                            <a:rect l="l" t="t" r="r" b="b"/>
                            <a:pathLst>
                              <a:path w="74930" h="1629410">
                                <a:moveTo>
                                  <a:pt x="0" y="1629205"/>
                                </a:moveTo>
                                <a:lnTo>
                                  <a:pt x="0" y="0"/>
                                </a:lnTo>
                                <a:lnTo>
                                  <a:pt x="74549" y="163277"/>
                                </a:lnTo>
                                <a:lnTo>
                                  <a:pt x="74549" y="1629205"/>
                                </a:lnTo>
                              </a:path>
                            </a:pathLst>
                          </a:custGeom>
                          <a:ln w="2147">
                            <a:solidFill>
                              <a:srgbClr val="93BDFF"/>
                            </a:solidFill>
                            <a:prstDash val="solid"/>
                          </a:ln>
                        </wps:spPr>
                        <wps:bodyPr wrap="square" lIns="0" tIns="0" rIns="0" bIns="0" rtlCol="0">
                          <a:prstTxWarp prst="textNoShape">
                            <a:avLst/>
                          </a:prstTxWarp>
                          <a:noAutofit/>
                        </wps:bodyPr>
                      </wps:wsp>
                      <wps:wsp>
                        <wps:cNvPr id="77" name="Graphic 77"/>
                        <wps:cNvSpPr/>
                        <wps:spPr>
                          <a:xfrm>
                            <a:off x="62812" y="639032"/>
                            <a:ext cx="74930" cy="163830"/>
                          </a:xfrm>
                          <a:custGeom>
                            <a:avLst/>
                            <a:gdLst/>
                            <a:ahLst/>
                            <a:cxnLst/>
                            <a:rect l="l" t="t" r="r" b="b"/>
                            <a:pathLst>
                              <a:path w="74930" h="163830">
                                <a:moveTo>
                                  <a:pt x="0" y="0"/>
                                </a:moveTo>
                                <a:lnTo>
                                  <a:pt x="73414" y="162235"/>
                                </a:lnTo>
                              </a:path>
                              <a:path w="74930" h="163830">
                                <a:moveTo>
                                  <a:pt x="74549" y="163277"/>
                                </a:moveTo>
                                <a:lnTo>
                                  <a:pt x="73414" y="163277"/>
                                </a:lnTo>
                              </a:path>
                            </a:pathLst>
                          </a:custGeom>
                          <a:ln w="2449">
                            <a:solidFill>
                              <a:srgbClr val="000000"/>
                            </a:solidFill>
                            <a:prstDash val="solid"/>
                          </a:ln>
                        </wps:spPr>
                        <wps:bodyPr wrap="square" lIns="0" tIns="0" rIns="0" bIns="0" rtlCol="0">
                          <a:prstTxWarp prst="textNoShape">
                            <a:avLst/>
                          </a:prstTxWarp>
                          <a:noAutofit/>
                        </wps:bodyPr>
                      </wps:wsp>
                      <wps:wsp>
                        <wps:cNvPr id="78" name="Graphic 78"/>
                        <wps:cNvSpPr/>
                        <wps:spPr>
                          <a:xfrm>
                            <a:off x="137362" y="706011"/>
                            <a:ext cx="74930" cy="1562735"/>
                          </a:xfrm>
                          <a:custGeom>
                            <a:avLst/>
                            <a:gdLst/>
                            <a:ahLst/>
                            <a:cxnLst/>
                            <a:rect l="l" t="t" r="r" b="b"/>
                            <a:pathLst>
                              <a:path w="74930" h="1562735">
                                <a:moveTo>
                                  <a:pt x="74918" y="0"/>
                                </a:moveTo>
                                <a:lnTo>
                                  <a:pt x="0" y="96298"/>
                                </a:lnTo>
                                <a:lnTo>
                                  <a:pt x="0" y="1562226"/>
                                </a:lnTo>
                                <a:lnTo>
                                  <a:pt x="74918" y="1562226"/>
                                </a:lnTo>
                                <a:lnTo>
                                  <a:pt x="74918" y="0"/>
                                </a:lnTo>
                                <a:close/>
                              </a:path>
                            </a:pathLst>
                          </a:custGeom>
                          <a:solidFill>
                            <a:srgbClr val="93BDFF"/>
                          </a:solidFill>
                        </wps:spPr>
                        <wps:bodyPr wrap="square" lIns="0" tIns="0" rIns="0" bIns="0" rtlCol="0">
                          <a:prstTxWarp prst="textNoShape">
                            <a:avLst/>
                          </a:prstTxWarp>
                          <a:noAutofit/>
                        </wps:bodyPr>
                      </wps:wsp>
                      <wps:wsp>
                        <wps:cNvPr id="79" name="Graphic 79"/>
                        <wps:cNvSpPr/>
                        <wps:spPr>
                          <a:xfrm>
                            <a:off x="137362" y="706011"/>
                            <a:ext cx="74930" cy="1562735"/>
                          </a:xfrm>
                          <a:custGeom>
                            <a:avLst/>
                            <a:gdLst/>
                            <a:ahLst/>
                            <a:cxnLst/>
                            <a:rect l="l" t="t" r="r" b="b"/>
                            <a:pathLst>
                              <a:path w="74930" h="1562735">
                                <a:moveTo>
                                  <a:pt x="0" y="1562226"/>
                                </a:moveTo>
                                <a:lnTo>
                                  <a:pt x="0" y="96298"/>
                                </a:lnTo>
                                <a:lnTo>
                                  <a:pt x="74918" y="0"/>
                                </a:lnTo>
                                <a:lnTo>
                                  <a:pt x="74918" y="1562226"/>
                                </a:lnTo>
                              </a:path>
                            </a:pathLst>
                          </a:custGeom>
                          <a:ln w="2147">
                            <a:solidFill>
                              <a:srgbClr val="93BDFF"/>
                            </a:solidFill>
                            <a:prstDash val="solid"/>
                          </a:ln>
                        </wps:spPr>
                        <wps:bodyPr wrap="square" lIns="0" tIns="0" rIns="0" bIns="0" rtlCol="0">
                          <a:prstTxWarp prst="textNoShape">
                            <a:avLst/>
                          </a:prstTxWarp>
                          <a:noAutofit/>
                        </wps:bodyPr>
                      </wps:wsp>
                      <wps:wsp>
                        <wps:cNvPr id="80" name="Graphic 80"/>
                        <wps:cNvSpPr/>
                        <wps:spPr>
                          <a:xfrm>
                            <a:off x="62812" y="639032"/>
                            <a:ext cx="149860" cy="163830"/>
                          </a:xfrm>
                          <a:custGeom>
                            <a:avLst/>
                            <a:gdLst/>
                            <a:ahLst/>
                            <a:cxnLst/>
                            <a:rect l="l" t="t" r="r" b="b"/>
                            <a:pathLst>
                              <a:path w="149860" h="163830">
                                <a:moveTo>
                                  <a:pt x="0" y="0"/>
                                </a:moveTo>
                                <a:lnTo>
                                  <a:pt x="73414" y="162235"/>
                                </a:lnTo>
                              </a:path>
                              <a:path w="149860" h="163830">
                                <a:moveTo>
                                  <a:pt x="74549" y="163277"/>
                                </a:moveTo>
                                <a:lnTo>
                                  <a:pt x="149468" y="68282"/>
                                </a:lnTo>
                              </a:path>
                            </a:pathLst>
                          </a:custGeom>
                          <a:ln w="2449">
                            <a:solidFill>
                              <a:srgbClr val="000000"/>
                            </a:solidFill>
                            <a:prstDash val="solid"/>
                          </a:ln>
                        </wps:spPr>
                        <wps:bodyPr wrap="square" lIns="0" tIns="0" rIns="0" bIns="0" rtlCol="0">
                          <a:prstTxWarp prst="textNoShape">
                            <a:avLst/>
                          </a:prstTxWarp>
                          <a:noAutofit/>
                        </wps:bodyPr>
                      </wps:wsp>
                      <wps:wsp>
                        <wps:cNvPr id="81" name="Graphic 81"/>
                        <wps:cNvSpPr/>
                        <wps:spPr>
                          <a:xfrm>
                            <a:off x="212280" y="706011"/>
                            <a:ext cx="74930" cy="1562735"/>
                          </a:xfrm>
                          <a:custGeom>
                            <a:avLst/>
                            <a:gdLst/>
                            <a:ahLst/>
                            <a:cxnLst/>
                            <a:rect l="l" t="t" r="r" b="b"/>
                            <a:pathLst>
                              <a:path w="74930" h="1562735">
                                <a:moveTo>
                                  <a:pt x="0" y="0"/>
                                </a:moveTo>
                                <a:lnTo>
                                  <a:pt x="0" y="1562226"/>
                                </a:lnTo>
                                <a:lnTo>
                                  <a:pt x="74918" y="1562226"/>
                                </a:lnTo>
                                <a:lnTo>
                                  <a:pt x="74918" y="824649"/>
                                </a:lnTo>
                                <a:lnTo>
                                  <a:pt x="0" y="0"/>
                                </a:lnTo>
                                <a:close/>
                              </a:path>
                            </a:pathLst>
                          </a:custGeom>
                          <a:solidFill>
                            <a:srgbClr val="93BDFF"/>
                          </a:solidFill>
                        </wps:spPr>
                        <wps:bodyPr wrap="square" lIns="0" tIns="0" rIns="0" bIns="0" rtlCol="0">
                          <a:prstTxWarp prst="textNoShape">
                            <a:avLst/>
                          </a:prstTxWarp>
                          <a:noAutofit/>
                        </wps:bodyPr>
                      </wps:wsp>
                      <wps:wsp>
                        <wps:cNvPr id="82" name="Graphic 82"/>
                        <wps:cNvSpPr/>
                        <wps:spPr>
                          <a:xfrm>
                            <a:off x="212280" y="706011"/>
                            <a:ext cx="74930" cy="1562735"/>
                          </a:xfrm>
                          <a:custGeom>
                            <a:avLst/>
                            <a:gdLst/>
                            <a:ahLst/>
                            <a:cxnLst/>
                            <a:rect l="l" t="t" r="r" b="b"/>
                            <a:pathLst>
                              <a:path w="74930" h="1562735">
                                <a:moveTo>
                                  <a:pt x="0" y="1562226"/>
                                </a:moveTo>
                                <a:lnTo>
                                  <a:pt x="0" y="0"/>
                                </a:lnTo>
                                <a:lnTo>
                                  <a:pt x="74918" y="824649"/>
                                </a:lnTo>
                                <a:lnTo>
                                  <a:pt x="74918" y="1562226"/>
                                </a:lnTo>
                              </a:path>
                            </a:pathLst>
                          </a:custGeom>
                          <a:ln w="2147">
                            <a:solidFill>
                              <a:srgbClr val="93BDFF"/>
                            </a:solidFill>
                            <a:prstDash val="solid"/>
                          </a:ln>
                        </wps:spPr>
                        <wps:bodyPr wrap="square" lIns="0" tIns="0" rIns="0" bIns="0" rtlCol="0">
                          <a:prstTxWarp prst="textNoShape">
                            <a:avLst/>
                          </a:prstTxWarp>
                          <a:noAutofit/>
                        </wps:bodyPr>
                      </wps:wsp>
                      <wps:wsp>
                        <wps:cNvPr id="83" name="Graphic 83"/>
                        <wps:cNvSpPr/>
                        <wps:spPr>
                          <a:xfrm>
                            <a:off x="212280" y="706011"/>
                            <a:ext cx="74930" cy="824230"/>
                          </a:xfrm>
                          <a:custGeom>
                            <a:avLst/>
                            <a:gdLst/>
                            <a:ahLst/>
                            <a:cxnLst/>
                            <a:rect l="l" t="t" r="r" b="b"/>
                            <a:pathLst>
                              <a:path w="74930" h="824230">
                                <a:moveTo>
                                  <a:pt x="0" y="0"/>
                                </a:moveTo>
                                <a:lnTo>
                                  <a:pt x="74918" y="823685"/>
                                </a:lnTo>
                              </a:path>
                            </a:pathLst>
                          </a:custGeom>
                          <a:ln w="2645">
                            <a:solidFill>
                              <a:srgbClr val="000000"/>
                            </a:solidFill>
                            <a:prstDash val="solid"/>
                          </a:ln>
                        </wps:spPr>
                        <wps:bodyPr wrap="square" lIns="0" tIns="0" rIns="0" bIns="0" rtlCol="0">
                          <a:prstTxWarp prst="textNoShape">
                            <a:avLst/>
                          </a:prstTxWarp>
                          <a:noAutofit/>
                        </wps:bodyPr>
                      </wps:wsp>
                      <wps:wsp>
                        <wps:cNvPr id="84" name="Graphic 84"/>
                        <wps:cNvSpPr/>
                        <wps:spPr>
                          <a:xfrm>
                            <a:off x="287199" y="1530660"/>
                            <a:ext cx="74930" cy="737870"/>
                          </a:xfrm>
                          <a:custGeom>
                            <a:avLst/>
                            <a:gdLst/>
                            <a:ahLst/>
                            <a:cxnLst/>
                            <a:rect l="l" t="t" r="r" b="b"/>
                            <a:pathLst>
                              <a:path w="74930" h="737870">
                                <a:moveTo>
                                  <a:pt x="0" y="0"/>
                                </a:moveTo>
                                <a:lnTo>
                                  <a:pt x="0" y="737576"/>
                                </a:lnTo>
                                <a:lnTo>
                                  <a:pt x="74918" y="737576"/>
                                </a:lnTo>
                                <a:lnTo>
                                  <a:pt x="74918" y="610916"/>
                                </a:lnTo>
                                <a:lnTo>
                                  <a:pt x="0" y="0"/>
                                </a:lnTo>
                                <a:close/>
                              </a:path>
                            </a:pathLst>
                          </a:custGeom>
                          <a:solidFill>
                            <a:srgbClr val="93BDFF"/>
                          </a:solidFill>
                        </wps:spPr>
                        <wps:bodyPr wrap="square" lIns="0" tIns="0" rIns="0" bIns="0" rtlCol="0">
                          <a:prstTxWarp prst="textNoShape">
                            <a:avLst/>
                          </a:prstTxWarp>
                          <a:noAutofit/>
                        </wps:bodyPr>
                      </wps:wsp>
                      <wps:wsp>
                        <wps:cNvPr id="85" name="Graphic 85"/>
                        <wps:cNvSpPr/>
                        <wps:spPr>
                          <a:xfrm>
                            <a:off x="287199" y="1530660"/>
                            <a:ext cx="74930" cy="737870"/>
                          </a:xfrm>
                          <a:custGeom>
                            <a:avLst/>
                            <a:gdLst/>
                            <a:ahLst/>
                            <a:cxnLst/>
                            <a:rect l="l" t="t" r="r" b="b"/>
                            <a:pathLst>
                              <a:path w="74930" h="737870">
                                <a:moveTo>
                                  <a:pt x="0" y="737576"/>
                                </a:moveTo>
                                <a:lnTo>
                                  <a:pt x="0" y="0"/>
                                </a:lnTo>
                                <a:lnTo>
                                  <a:pt x="74918" y="610916"/>
                                </a:lnTo>
                                <a:lnTo>
                                  <a:pt x="74918" y="737576"/>
                                </a:lnTo>
                              </a:path>
                            </a:pathLst>
                          </a:custGeom>
                          <a:ln w="2144">
                            <a:solidFill>
                              <a:srgbClr val="93BDFF"/>
                            </a:solidFill>
                            <a:prstDash val="solid"/>
                          </a:ln>
                        </wps:spPr>
                        <wps:bodyPr wrap="square" lIns="0" tIns="0" rIns="0" bIns="0" rtlCol="0">
                          <a:prstTxWarp prst="textNoShape">
                            <a:avLst/>
                          </a:prstTxWarp>
                          <a:noAutofit/>
                        </wps:bodyPr>
                      </wps:wsp>
                      <wps:wsp>
                        <wps:cNvPr id="86" name="Graphic 86"/>
                        <wps:cNvSpPr/>
                        <wps:spPr>
                          <a:xfrm>
                            <a:off x="212280" y="706011"/>
                            <a:ext cx="149860" cy="1434465"/>
                          </a:xfrm>
                          <a:custGeom>
                            <a:avLst/>
                            <a:gdLst/>
                            <a:ahLst/>
                            <a:cxnLst/>
                            <a:rect l="l" t="t" r="r" b="b"/>
                            <a:pathLst>
                              <a:path w="149860" h="1434465">
                                <a:moveTo>
                                  <a:pt x="0" y="0"/>
                                </a:moveTo>
                                <a:lnTo>
                                  <a:pt x="74918" y="823685"/>
                                </a:lnTo>
                              </a:path>
                              <a:path w="149860" h="1434465">
                                <a:moveTo>
                                  <a:pt x="74918" y="824649"/>
                                </a:moveTo>
                                <a:lnTo>
                                  <a:pt x="149836" y="1434288"/>
                                </a:lnTo>
                              </a:path>
                            </a:pathLst>
                          </a:custGeom>
                          <a:ln w="2449">
                            <a:solidFill>
                              <a:srgbClr val="000000"/>
                            </a:solidFill>
                            <a:prstDash val="solid"/>
                          </a:ln>
                        </wps:spPr>
                        <wps:bodyPr wrap="square" lIns="0" tIns="0" rIns="0" bIns="0" rtlCol="0">
                          <a:prstTxWarp prst="textNoShape">
                            <a:avLst/>
                          </a:prstTxWarp>
                          <a:noAutofit/>
                        </wps:bodyPr>
                      </wps:wsp>
                      <wps:wsp>
                        <wps:cNvPr id="87" name="Graphic 87"/>
                        <wps:cNvSpPr/>
                        <wps:spPr>
                          <a:xfrm>
                            <a:off x="362117" y="1615635"/>
                            <a:ext cx="76200" cy="652780"/>
                          </a:xfrm>
                          <a:custGeom>
                            <a:avLst/>
                            <a:gdLst/>
                            <a:ahLst/>
                            <a:cxnLst/>
                            <a:rect l="l" t="t" r="r" b="b"/>
                            <a:pathLst>
                              <a:path w="76200" h="652780">
                                <a:moveTo>
                                  <a:pt x="76053" y="0"/>
                                </a:moveTo>
                                <a:lnTo>
                                  <a:pt x="0" y="525941"/>
                                </a:lnTo>
                                <a:lnTo>
                                  <a:pt x="0" y="652602"/>
                                </a:lnTo>
                                <a:lnTo>
                                  <a:pt x="76053" y="652602"/>
                                </a:lnTo>
                                <a:lnTo>
                                  <a:pt x="76053" y="0"/>
                                </a:lnTo>
                                <a:close/>
                              </a:path>
                            </a:pathLst>
                          </a:custGeom>
                          <a:solidFill>
                            <a:srgbClr val="93BDFF"/>
                          </a:solidFill>
                        </wps:spPr>
                        <wps:bodyPr wrap="square" lIns="0" tIns="0" rIns="0" bIns="0" rtlCol="0">
                          <a:prstTxWarp prst="textNoShape">
                            <a:avLst/>
                          </a:prstTxWarp>
                          <a:noAutofit/>
                        </wps:bodyPr>
                      </wps:wsp>
                      <wps:wsp>
                        <wps:cNvPr id="88" name="Graphic 88"/>
                        <wps:cNvSpPr/>
                        <wps:spPr>
                          <a:xfrm>
                            <a:off x="362117" y="1615635"/>
                            <a:ext cx="76200" cy="652780"/>
                          </a:xfrm>
                          <a:custGeom>
                            <a:avLst/>
                            <a:gdLst/>
                            <a:ahLst/>
                            <a:cxnLst/>
                            <a:rect l="l" t="t" r="r" b="b"/>
                            <a:pathLst>
                              <a:path w="76200" h="652780">
                                <a:moveTo>
                                  <a:pt x="0" y="652602"/>
                                </a:moveTo>
                                <a:lnTo>
                                  <a:pt x="0" y="525941"/>
                                </a:lnTo>
                                <a:lnTo>
                                  <a:pt x="76053" y="0"/>
                                </a:lnTo>
                                <a:lnTo>
                                  <a:pt x="76053" y="652602"/>
                                </a:lnTo>
                              </a:path>
                            </a:pathLst>
                          </a:custGeom>
                          <a:ln w="2143">
                            <a:solidFill>
                              <a:srgbClr val="93BDFF"/>
                            </a:solidFill>
                            <a:prstDash val="solid"/>
                          </a:ln>
                        </wps:spPr>
                        <wps:bodyPr wrap="square" lIns="0" tIns="0" rIns="0" bIns="0" rtlCol="0">
                          <a:prstTxWarp prst="textNoShape">
                            <a:avLst/>
                          </a:prstTxWarp>
                          <a:noAutofit/>
                        </wps:bodyPr>
                      </wps:wsp>
                      <wps:wsp>
                        <wps:cNvPr id="89" name="Graphic 89"/>
                        <wps:cNvSpPr/>
                        <wps:spPr>
                          <a:xfrm>
                            <a:off x="287198" y="1530660"/>
                            <a:ext cx="151130" cy="611505"/>
                          </a:xfrm>
                          <a:custGeom>
                            <a:avLst/>
                            <a:gdLst/>
                            <a:ahLst/>
                            <a:cxnLst/>
                            <a:rect l="l" t="t" r="r" b="b"/>
                            <a:pathLst>
                              <a:path w="151130" h="611505">
                                <a:moveTo>
                                  <a:pt x="0" y="0"/>
                                </a:moveTo>
                                <a:lnTo>
                                  <a:pt x="74918" y="609639"/>
                                </a:lnTo>
                              </a:path>
                              <a:path w="151130" h="611505">
                                <a:moveTo>
                                  <a:pt x="74918" y="610916"/>
                                </a:moveTo>
                                <a:lnTo>
                                  <a:pt x="150971" y="86264"/>
                                </a:lnTo>
                              </a:path>
                            </a:pathLst>
                          </a:custGeom>
                          <a:ln w="2449">
                            <a:solidFill>
                              <a:srgbClr val="000000"/>
                            </a:solidFill>
                            <a:prstDash val="solid"/>
                          </a:ln>
                        </wps:spPr>
                        <wps:bodyPr wrap="square" lIns="0" tIns="0" rIns="0" bIns="0" rtlCol="0">
                          <a:prstTxWarp prst="textNoShape">
                            <a:avLst/>
                          </a:prstTxWarp>
                          <a:noAutofit/>
                        </wps:bodyPr>
                      </wps:wsp>
                      <wps:wsp>
                        <wps:cNvPr id="90" name="Graphic 90"/>
                        <wps:cNvSpPr/>
                        <wps:spPr>
                          <a:xfrm>
                            <a:off x="438170" y="1321462"/>
                            <a:ext cx="74930" cy="946785"/>
                          </a:xfrm>
                          <a:custGeom>
                            <a:avLst/>
                            <a:gdLst/>
                            <a:ahLst/>
                            <a:cxnLst/>
                            <a:rect l="l" t="t" r="r" b="b"/>
                            <a:pathLst>
                              <a:path w="74930" h="946785">
                                <a:moveTo>
                                  <a:pt x="74918" y="0"/>
                                </a:moveTo>
                                <a:lnTo>
                                  <a:pt x="0" y="294173"/>
                                </a:lnTo>
                                <a:lnTo>
                                  <a:pt x="0" y="946775"/>
                                </a:lnTo>
                                <a:lnTo>
                                  <a:pt x="74918" y="946775"/>
                                </a:lnTo>
                                <a:lnTo>
                                  <a:pt x="74918" y="0"/>
                                </a:lnTo>
                                <a:close/>
                              </a:path>
                            </a:pathLst>
                          </a:custGeom>
                          <a:solidFill>
                            <a:srgbClr val="93BDFF"/>
                          </a:solidFill>
                        </wps:spPr>
                        <wps:bodyPr wrap="square" lIns="0" tIns="0" rIns="0" bIns="0" rtlCol="0">
                          <a:prstTxWarp prst="textNoShape">
                            <a:avLst/>
                          </a:prstTxWarp>
                          <a:noAutofit/>
                        </wps:bodyPr>
                      </wps:wsp>
                      <wps:wsp>
                        <wps:cNvPr id="91" name="Graphic 91"/>
                        <wps:cNvSpPr/>
                        <wps:spPr>
                          <a:xfrm>
                            <a:off x="438170" y="1321462"/>
                            <a:ext cx="74930" cy="946785"/>
                          </a:xfrm>
                          <a:custGeom>
                            <a:avLst/>
                            <a:gdLst/>
                            <a:ahLst/>
                            <a:cxnLst/>
                            <a:rect l="l" t="t" r="r" b="b"/>
                            <a:pathLst>
                              <a:path w="74930" h="946785">
                                <a:moveTo>
                                  <a:pt x="0" y="946775"/>
                                </a:moveTo>
                                <a:lnTo>
                                  <a:pt x="0" y="294173"/>
                                </a:lnTo>
                                <a:lnTo>
                                  <a:pt x="74918" y="0"/>
                                </a:lnTo>
                                <a:lnTo>
                                  <a:pt x="74918" y="946775"/>
                                </a:lnTo>
                              </a:path>
                            </a:pathLst>
                          </a:custGeom>
                          <a:ln w="2145">
                            <a:solidFill>
                              <a:srgbClr val="93BDFF"/>
                            </a:solidFill>
                            <a:prstDash val="solid"/>
                          </a:ln>
                        </wps:spPr>
                        <wps:bodyPr wrap="square" lIns="0" tIns="0" rIns="0" bIns="0" rtlCol="0">
                          <a:prstTxWarp prst="textNoShape">
                            <a:avLst/>
                          </a:prstTxWarp>
                          <a:noAutofit/>
                        </wps:bodyPr>
                      </wps:wsp>
                      <wps:wsp>
                        <wps:cNvPr id="92" name="Graphic 92"/>
                        <wps:cNvSpPr/>
                        <wps:spPr>
                          <a:xfrm>
                            <a:off x="362117" y="1322765"/>
                            <a:ext cx="151130" cy="819150"/>
                          </a:xfrm>
                          <a:custGeom>
                            <a:avLst/>
                            <a:gdLst/>
                            <a:ahLst/>
                            <a:cxnLst/>
                            <a:rect l="l" t="t" r="r" b="b"/>
                            <a:pathLst>
                              <a:path w="151130" h="819150">
                                <a:moveTo>
                                  <a:pt x="0" y="818811"/>
                                </a:moveTo>
                                <a:lnTo>
                                  <a:pt x="76053" y="294160"/>
                                </a:lnTo>
                              </a:path>
                              <a:path w="151130" h="819150">
                                <a:moveTo>
                                  <a:pt x="76053" y="292870"/>
                                </a:moveTo>
                                <a:lnTo>
                                  <a:pt x="150971" y="0"/>
                                </a:lnTo>
                              </a:path>
                            </a:pathLst>
                          </a:custGeom>
                          <a:ln w="2449">
                            <a:solidFill>
                              <a:srgbClr val="000000"/>
                            </a:solidFill>
                            <a:prstDash val="solid"/>
                          </a:ln>
                        </wps:spPr>
                        <wps:bodyPr wrap="square" lIns="0" tIns="0" rIns="0" bIns="0" rtlCol="0">
                          <a:prstTxWarp prst="textNoShape">
                            <a:avLst/>
                          </a:prstTxWarp>
                          <a:noAutofit/>
                        </wps:bodyPr>
                      </wps:wsp>
                      <wps:wsp>
                        <wps:cNvPr id="93" name="Graphic 93"/>
                        <wps:cNvSpPr/>
                        <wps:spPr>
                          <a:xfrm>
                            <a:off x="513088" y="1321462"/>
                            <a:ext cx="74930" cy="946785"/>
                          </a:xfrm>
                          <a:custGeom>
                            <a:avLst/>
                            <a:gdLst/>
                            <a:ahLst/>
                            <a:cxnLst/>
                            <a:rect l="l" t="t" r="r" b="b"/>
                            <a:pathLst>
                              <a:path w="74930" h="946785">
                                <a:moveTo>
                                  <a:pt x="0" y="0"/>
                                </a:moveTo>
                                <a:lnTo>
                                  <a:pt x="0" y="946775"/>
                                </a:lnTo>
                                <a:lnTo>
                                  <a:pt x="74549" y="946775"/>
                                </a:lnTo>
                                <a:lnTo>
                                  <a:pt x="74549" y="11206"/>
                                </a:lnTo>
                                <a:lnTo>
                                  <a:pt x="0" y="0"/>
                                </a:lnTo>
                                <a:close/>
                              </a:path>
                            </a:pathLst>
                          </a:custGeom>
                          <a:solidFill>
                            <a:srgbClr val="93BDFF"/>
                          </a:solidFill>
                        </wps:spPr>
                        <wps:bodyPr wrap="square" lIns="0" tIns="0" rIns="0" bIns="0" rtlCol="0">
                          <a:prstTxWarp prst="textNoShape">
                            <a:avLst/>
                          </a:prstTxWarp>
                          <a:noAutofit/>
                        </wps:bodyPr>
                      </wps:wsp>
                      <wps:wsp>
                        <wps:cNvPr id="94" name="Graphic 94"/>
                        <wps:cNvSpPr/>
                        <wps:spPr>
                          <a:xfrm>
                            <a:off x="513088" y="1321462"/>
                            <a:ext cx="74930" cy="946785"/>
                          </a:xfrm>
                          <a:custGeom>
                            <a:avLst/>
                            <a:gdLst/>
                            <a:ahLst/>
                            <a:cxnLst/>
                            <a:rect l="l" t="t" r="r" b="b"/>
                            <a:pathLst>
                              <a:path w="74930" h="946785">
                                <a:moveTo>
                                  <a:pt x="0" y="946775"/>
                                </a:moveTo>
                                <a:lnTo>
                                  <a:pt x="0" y="0"/>
                                </a:lnTo>
                                <a:lnTo>
                                  <a:pt x="74549" y="11206"/>
                                </a:lnTo>
                                <a:lnTo>
                                  <a:pt x="74549" y="946775"/>
                                </a:lnTo>
                              </a:path>
                            </a:pathLst>
                          </a:custGeom>
                          <a:ln w="2145">
                            <a:solidFill>
                              <a:srgbClr val="93BDFF"/>
                            </a:solidFill>
                            <a:prstDash val="solid"/>
                          </a:ln>
                        </wps:spPr>
                        <wps:bodyPr wrap="square" lIns="0" tIns="0" rIns="0" bIns="0" rtlCol="0">
                          <a:prstTxWarp prst="textNoShape">
                            <a:avLst/>
                          </a:prstTxWarp>
                          <a:noAutofit/>
                        </wps:bodyPr>
                      </wps:wsp>
                      <wps:wsp>
                        <wps:cNvPr id="95" name="Graphic 95"/>
                        <wps:cNvSpPr/>
                        <wps:spPr>
                          <a:xfrm>
                            <a:off x="438170" y="1321462"/>
                            <a:ext cx="147320" cy="294640"/>
                          </a:xfrm>
                          <a:custGeom>
                            <a:avLst/>
                            <a:gdLst/>
                            <a:ahLst/>
                            <a:cxnLst/>
                            <a:rect l="l" t="t" r="r" b="b"/>
                            <a:pathLst>
                              <a:path w="147320" h="294640">
                                <a:moveTo>
                                  <a:pt x="0" y="294173"/>
                                </a:moveTo>
                                <a:lnTo>
                                  <a:pt x="74918" y="1303"/>
                                </a:lnTo>
                              </a:path>
                              <a:path w="147320" h="294640">
                                <a:moveTo>
                                  <a:pt x="74918" y="0"/>
                                </a:moveTo>
                                <a:lnTo>
                                  <a:pt x="146813" y="11206"/>
                                </a:lnTo>
                              </a:path>
                            </a:pathLst>
                          </a:custGeom>
                          <a:ln w="2449">
                            <a:solidFill>
                              <a:srgbClr val="000000"/>
                            </a:solidFill>
                            <a:prstDash val="solid"/>
                          </a:ln>
                        </wps:spPr>
                        <wps:bodyPr wrap="square" lIns="0" tIns="0" rIns="0" bIns="0" rtlCol="0">
                          <a:prstTxWarp prst="textNoShape">
                            <a:avLst/>
                          </a:prstTxWarp>
                          <a:noAutofit/>
                        </wps:bodyPr>
                      </wps:wsp>
                      <wps:wsp>
                        <wps:cNvPr id="96" name="Graphic 96"/>
                        <wps:cNvSpPr/>
                        <wps:spPr>
                          <a:xfrm>
                            <a:off x="587638" y="1077522"/>
                            <a:ext cx="74930" cy="1191260"/>
                          </a:xfrm>
                          <a:custGeom>
                            <a:avLst/>
                            <a:gdLst/>
                            <a:ahLst/>
                            <a:cxnLst/>
                            <a:rect l="l" t="t" r="r" b="b"/>
                            <a:pathLst>
                              <a:path w="74930" h="1191260">
                                <a:moveTo>
                                  <a:pt x="74918" y="0"/>
                                </a:moveTo>
                                <a:lnTo>
                                  <a:pt x="0" y="255145"/>
                                </a:lnTo>
                                <a:lnTo>
                                  <a:pt x="0" y="1190714"/>
                                </a:lnTo>
                                <a:lnTo>
                                  <a:pt x="74918" y="1190714"/>
                                </a:lnTo>
                                <a:lnTo>
                                  <a:pt x="74918" y="0"/>
                                </a:lnTo>
                                <a:close/>
                              </a:path>
                            </a:pathLst>
                          </a:custGeom>
                          <a:solidFill>
                            <a:srgbClr val="93BDFF"/>
                          </a:solidFill>
                        </wps:spPr>
                        <wps:bodyPr wrap="square" lIns="0" tIns="0" rIns="0" bIns="0" rtlCol="0">
                          <a:prstTxWarp prst="textNoShape">
                            <a:avLst/>
                          </a:prstTxWarp>
                          <a:noAutofit/>
                        </wps:bodyPr>
                      </wps:wsp>
                      <wps:wsp>
                        <wps:cNvPr id="97" name="Graphic 97"/>
                        <wps:cNvSpPr/>
                        <wps:spPr>
                          <a:xfrm>
                            <a:off x="587638" y="1077522"/>
                            <a:ext cx="74930" cy="1191260"/>
                          </a:xfrm>
                          <a:custGeom>
                            <a:avLst/>
                            <a:gdLst/>
                            <a:ahLst/>
                            <a:cxnLst/>
                            <a:rect l="l" t="t" r="r" b="b"/>
                            <a:pathLst>
                              <a:path w="74930" h="1191260">
                                <a:moveTo>
                                  <a:pt x="0" y="1190714"/>
                                </a:moveTo>
                                <a:lnTo>
                                  <a:pt x="0" y="255145"/>
                                </a:lnTo>
                                <a:lnTo>
                                  <a:pt x="74918" y="0"/>
                                </a:lnTo>
                                <a:lnTo>
                                  <a:pt x="74918" y="1190714"/>
                                </a:lnTo>
                              </a:path>
                            </a:pathLst>
                          </a:custGeom>
                          <a:ln w="2146">
                            <a:solidFill>
                              <a:srgbClr val="93BDFF"/>
                            </a:solidFill>
                            <a:prstDash val="solid"/>
                          </a:ln>
                        </wps:spPr>
                        <wps:bodyPr wrap="square" lIns="0" tIns="0" rIns="0" bIns="0" rtlCol="0">
                          <a:prstTxWarp prst="textNoShape">
                            <a:avLst/>
                          </a:prstTxWarp>
                          <a:noAutofit/>
                        </wps:bodyPr>
                      </wps:wsp>
                      <wps:wsp>
                        <wps:cNvPr id="98" name="Graphic 98"/>
                        <wps:cNvSpPr/>
                        <wps:spPr>
                          <a:xfrm>
                            <a:off x="587638" y="1078695"/>
                            <a:ext cx="74930" cy="254000"/>
                          </a:xfrm>
                          <a:custGeom>
                            <a:avLst/>
                            <a:gdLst/>
                            <a:ahLst/>
                            <a:cxnLst/>
                            <a:rect l="l" t="t" r="r" b="b"/>
                            <a:pathLst>
                              <a:path w="74930" h="254000">
                                <a:moveTo>
                                  <a:pt x="0" y="253972"/>
                                </a:moveTo>
                                <a:lnTo>
                                  <a:pt x="74918" y="0"/>
                                </a:lnTo>
                              </a:path>
                            </a:pathLst>
                          </a:custGeom>
                          <a:ln w="2616">
                            <a:solidFill>
                              <a:srgbClr val="000000"/>
                            </a:solidFill>
                            <a:prstDash val="solid"/>
                          </a:ln>
                        </wps:spPr>
                        <wps:bodyPr wrap="square" lIns="0" tIns="0" rIns="0" bIns="0" rtlCol="0">
                          <a:prstTxWarp prst="textNoShape">
                            <a:avLst/>
                          </a:prstTxWarp>
                          <a:noAutofit/>
                        </wps:bodyPr>
                      </wps:wsp>
                      <wps:wsp>
                        <wps:cNvPr id="99" name="Graphic 99"/>
                        <wps:cNvSpPr/>
                        <wps:spPr>
                          <a:xfrm>
                            <a:off x="662556" y="1021750"/>
                            <a:ext cx="74930" cy="1246505"/>
                          </a:xfrm>
                          <a:custGeom>
                            <a:avLst/>
                            <a:gdLst/>
                            <a:ahLst/>
                            <a:cxnLst/>
                            <a:rect l="l" t="t" r="r" b="b"/>
                            <a:pathLst>
                              <a:path w="74930" h="1246505">
                                <a:moveTo>
                                  <a:pt x="74918" y="0"/>
                                </a:moveTo>
                                <a:lnTo>
                                  <a:pt x="0" y="55772"/>
                                </a:lnTo>
                                <a:lnTo>
                                  <a:pt x="0" y="1246486"/>
                                </a:lnTo>
                                <a:lnTo>
                                  <a:pt x="74918" y="1246486"/>
                                </a:lnTo>
                                <a:lnTo>
                                  <a:pt x="74918" y="0"/>
                                </a:lnTo>
                                <a:close/>
                              </a:path>
                            </a:pathLst>
                          </a:custGeom>
                          <a:solidFill>
                            <a:srgbClr val="93BDFF"/>
                          </a:solidFill>
                        </wps:spPr>
                        <wps:bodyPr wrap="square" lIns="0" tIns="0" rIns="0" bIns="0" rtlCol="0">
                          <a:prstTxWarp prst="textNoShape">
                            <a:avLst/>
                          </a:prstTxWarp>
                          <a:noAutofit/>
                        </wps:bodyPr>
                      </wps:wsp>
                      <wps:wsp>
                        <wps:cNvPr id="100" name="Graphic 100"/>
                        <wps:cNvSpPr/>
                        <wps:spPr>
                          <a:xfrm>
                            <a:off x="662556" y="1021750"/>
                            <a:ext cx="74930" cy="1246505"/>
                          </a:xfrm>
                          <a:custGeom>
                            <a:avLst/>
                            <a:gdLst/>
                            <a:ahLst/>
                            <a:cxnLst/>
                            <a:rect l="l" t="t" r="r" b="b"/>
                            <a:pathLst>
                              <a:path w="74930" h="1246505">
                                <a:moveTo>
                                  <a:pt x="0" y="1246486"/>
                                </a:moveTo>
                                <a:lnTo>
                                  <a:pt x="0" y="55772"/>
                                </a:lnTo>
                                <a:lnTo>
                                  <a:pt x="74918" y="0"/>
                                </a:lnTo>
                                <a:lnTo>
                                  <a:pt x="74918" y="1246486"/>
                                </a:lnTo>
                              </a:path>
                            </a:pathLst>
                          </a:custGeom>
                          <a:ln w="2146">
                            <a:solidFill>
                              <a:srgbClr val="93BDFF"/>
                            </a:solidFill>
                            <a:prstDash val="solid"/>
                          </a:ln>
                        </wps:spPr>
                        <wps:bodyPr wrap="square" lIns="0" tIns="0" rIns="0" bIns="0" rtlCol="0">
                          <a:prstTxWarp prst="textNoShape">
                            <a:avLst/>
                          </a:prstTxWarp>
                          <a:noAutofit/>
                        </wps:bodyPr>
                      </wps:wsp>
                      <wps:wsp>
                        <wps:cNvPr id="101" name="Graphic 101"/>
                        <wps:cNvSpPr/>
                        <wps:spPr>
                          <a:xfrm>
                            <a:off x="587638" y="1022793"/>
                            <a:ext cx="148590" cy="309880"/>
                          </a:xfrm>
                          <a:custGeom>
                            <a:avLst/>
                            <a:gdLst/>
                            <a:ahLst/>
                            <a:cxnLst/>
                            <a:rect l="l" t="t" r="r" b="b"/>
                            <a:pathLst>
                              <a:path w="148590" h="309880">
                                <a:moveTo>
                                  <a:pt x="0" y="309875"/>
                                </a:moveTo>
                                <a:lnTo>
                                  <a:pt x="74918" y="55902"/>
                                </a:lnTo>
                              </a:path>
                              <a:path w="148590" h="309880">
                                <a:moveTo>
                                  <a:pt x="74918" y="54729"/>
                                </a:moveTo>
                                <a:lnTo>
                                  <a:pt x="148317" y="0"/>
                                </a:lnTo>
                              </a:path>
                            </a:pathLst>
                          </a:custGeom>
                          <a:ln w="2449">
                            <a:solidFill>
                              <a:srgbClr val="000000"/>
                            </a:solidFill>
                            <a:prstDash val="solid"/>
                          </a:ln>
                        </wps:spPr>
                        <wps:bodyPr wrap="square" lIns="0" tIns="0" rIns="0" bIns="0" rtlCol="0">
                          <a:prstTxWarp prst="textNoShape">
                            <a:avLst/>
                          </a:prstTxWarp>
                          <a:noAutofit/>
                        </wps:bodyPr>
                      </wps:wsp>
                      <wps:wsp>
                        <wps:cNvPr id="102" name="Graphic 102"/>
                        <wps:cNvSpPr/>
                        <wps:spPr>
                          <a:xfrm>
                            <a:off x="737475" y="1019535"/>
                            <a:ext cx="76200" cy="1249045"/>
                          </a:xfrm>
                          <a:custGeom>
                            <a:avLst/>
                            <a:gdLst/>
                            <a:ahLst/>
                            <a:cxnLst/>
                            <a:rect l="l" t="t" r="r" b="b"/>
                            <a:pathLst>
                              <a:path w="76200" h="1249045">
                                <a:moveTo>
                                  <a:pt x="76053" y="0"/>
                                </a:moveTo>
                                <a:lnTo>
                                  <a:pt x="0" y="2215"/>
                                </a:lnTo>
                                <a:lnTo>
                                  <a:pt x="0" y="1248702"/>
                                </a:lnTo>
                                <a:lnTo>
                                  <a:pt x="76053" y="1248702"/>
                                </a:lnTo>
                                <a:lnTo>
                                  <a:pt x="76053" y="0"/>
                                </a:lnTo>
                                <a:close/>
                              </a:path>
                            </a:pathLst>
                          </a:custGeom>
                          <a:solidFill>
                            <a:srgbClr val="93BDFF"/>
                          </a:solidFill>
                        </wps:spPr>
                        <wps:bodyPr wrap="square" lIns="0" tIns="0" rIns="0" bIns="0" rtlCol="0">
                          <a:prstTxWarp prst="textNoShape">
                            <a:avLst/>
                          </a:prstTxWarp>
                          <a:noAutofit/>
                        </wps:bodyPr>
                      </wps:wsp>
                      <wps:wsp>
                        <wps:cNvPr id="103" name="Graphic 103"/>
                        <wps:cNvSpPr/>
                        <wps:spPr>
                          <a:xfrm>
                            <a:off x="737475" y="1019535"/>
                            <a:ext cx="76200" cy="1249045"/>
                          </a:xfrm>
                          <a:custGeom>
                            <a:avLst/>
                            <a:gdLst/>
                            <a:ahLst/>
                            <a:cxnLst/>
                            <a:rect l="l" t="t" r="r" b="b"/>
                            <a:pathLst>
                              <a:path w="76200" h="1249045">
                                <a:moveTo>
                                  <a:pt x="0" y="1248702"/>
                                </a:moveTo>
                                <a:lnTo>
                                  <a:pt x="0" y="2215"/>
                                </a:lnTo>
                                <a:lnTo>
                                  <a:pt x="76053" y="0"/>
                                </a:lnTo>
                                <a:lnTo>
                                  <a:pt x="76053" y="1248702"/>
                                </a:lnTo>
                              </a:path>
                            </a:pathLst>
                          </a:custGeom>
                          <a:ln w="2146">
                            <a:solidFill>
                              <a:srgbClr val="93BDFF"/>
                            </a:solidFill>
                            <a:prstDash val="solid"/>
                          </a:ln>
                        </wps:spPr>
                        <wps:bodyPr wrap="square" lIns="0" tIns="0" rIns="0" bIns="0" rtlCol="0">
                          <a:prstTxWarp prst="textNoShape">
                            <a:avLst/>
                          </a:prstTxWarp>
                          <a:noAutofit/>
                        </wps:bodyPr>
                      </wps:wsp>
                      <wps:wsp>
                        <wps:cNvPr id="104" name="Graphic 104"/>
                        <wps:cNvSpPr/>
                        <wps:spPr>
                          <a:xfrm>
                            <a:off x="737474" y="1019535"/>
                            <a:ext cx="73660" cy="2540"/>
                          </a:xfrm>
                          <a:custGeom>
                            <a:avLst/>
                            <a:gdLst/>
                            <a:ahLst/>
                            <a:cxnLst/>
                            <a:rect l="l" t="t" r="r" b="b"/>
                            <a:pathLst>
                              <a:path w="73660" h="2540">
                                <a:moveTo>
                                  <a:pt x="0" y="2215"/>
                                </a:moveTo>
                                <a:lnTo>
                                  <a:pt x="73399" y="0"/>
                                </a:lnTo>
                              </a:path>
                            </a:pathLst>
                          </a:custGeom>
                          <a:ln w="2250">
                            <a:solidFill>
                              <a:srgbClr val="000000"/>
                            </a:solidFill>
                            <a:prstDash val="solid"/>
                          </a:ln>
                        </wps:spPr>
                        <wps:bodyPr wrap="square" lIns="0" tIns="0" rIns="0" bIns="0" rtlCol="0">
                          <a:prstTxWarp prst="textNoShape">
                            <a:avLst/>
                          </a:prstTxWarp>
                          <a:noAutofit/>
                        </wps:bodyPr>
                      </wps:wsp>
                      <wps:wsp>
                        <wps:cNvPr id="105" name="Graphic 105"/>
                        <wps:cNvSpPr/>
                        <wps:spPr>
                          <a:xfrm>
                            <a:off x="813528" y="1017320"/>
                            <a:ext cx="74930" cy="1250950"/>
                          </a:xfrm>
                          <a:custGeom>
                            <a:avLst/>
                            <a:gdLst/>
                            <a:ahLst/>
                            <a:cxnLst/>
                            <a:rect l="l" t="t" r="r" b="b"/>
                            <a:pathLst>
                              <a:path w="74930" h="1250950">
                                <a:moveTo>
                                  <a:pt x="74918" y="0"/>
                                </a:moveTo>
                                <a:lnTo>
                                  <a:pt x="0" y="2215"/>
                                </a:lnTo>
                                <a:lnTo>
                                  <a:pt x="0" y="1250917"/>
                                </a:lnTo>
                                <a:lnTo>
                                  <a:pt x="74918" y="1250917"/>
                                </a:lnTo>
                                <a:lnTo>
                                  <a:pt x="74918" y="0"/>
                                </a:lnTo>
                                <a:close/>
                              </a:path>
                            </a:pathLst>
                          </a:custGeom>
                          <a:solidFill>
                            <a:srgbClr val="93BDFF"/>
                          </a:solidFill>
                        </wps:spPr>
                        <wps:bodyPr wrap="square" lIns="0" tIns="0" rIns="0" bIns="0" rtlCol="0">
                          <a:prstTxWarp prst="textNoShape">
                            <a:avLst/>
                          </a:prstTxWarp>
                          <a:noAutofit/>
                        </wps:bodyPr>
                      </wps:wsp>
                      <wps:wsp>
                        <wps:cNvPr id="106" name="Graphic 106"/>
                        <wps:cNvSpPr/>
                        <wps:spPr>
                          <a:xfrm>
                            <a:off x="813528" y="1017320"/>
                            <a:ext cx="74930" cy="1250950"/>
                          </a:xfrm>
                          <a:custGeom>
                            <a:avLst/>
                            <a:gdLst/>
                            <a:ahLst/>
                            <a:cxnLst/>
                            <a:rect l="l" t="t" r="r" b="b"/>
                            <a:pathLst>
                              <a:path w="74930" h="1250950">
                                <a:moveTo>
                                  <a:pt x="0" y="1250917"/>
                                </a:moveTo>
                                <a:lnTo>
                                  <a:pt x="0" y="2215"/>
                                </a:lnTo>
                                <a:lnTo>
                                  <a:pt x="74918" y="0"/>
                                </a:lnTo>
                                <a:lnTo>
                                  <a:pt x="74918" y="1250917"/>
                                </a:lnTo>
                              </a:path>
                            </a:pathLst>
                          </a:custGeom>
                          <a:ln w="2146">
                            <a:solidFill>
                              <a:srgbClr val="93BDFF"/>
                            </a:solidFill>
                            <a:prstDash val="solid"/>
                          </a:ln>
                        </wps:spPr>
                        <wps:bodyPr wrap="square" lIns="0" tIns="0" rIns="0" bIns="0" rtlCol="0">
                          <a:prstTxWarp prst="textNoShape">
                            <a:avLst/>
                          </a:prstTxWarp>
                          <a:noAutofit/>
                        </wps:bodyPr>
                      </wps:wsp>
                      <wps:wsp>
                        <wps:cNvPr id="107" name="Graphic 107"/>
                        <wps:cNvSpPr/>
                        <wps:spPr>
                          <a:xfrm>
                            <a:off x="813528" y="1017320"/>
                            <a:ext cx="73660" cy="2540"/>
                          </a:xfrm>
                          <a:custGeom>
                            <a:avLst/>
                            <a:gdLst/>
                            <a:ahLst/>
                            <a:cxnLst/>
                            <a:rect l="l" t="t" r="r" b="b"/>
                            <a:pathLst>
                              <a:path w="73660" h="2540">
                                <a:moveTo>
                                  <a:pt x="0" y="2215"/>
                                </a:moveTo>
                                <a:lnTo>
                                  <a:pt x="73414" y="0"/>
                                </a:lnTo>
                              </a:path>
                            </a:pathLst>
                          </a:custGeom>
                          <a:ln w="2250">
                            <a:solidFill>
                              <a:srgbClr val="000000"/>
                            </a:solidFill>
                            <a:prstDash val="solid"/>
                          </a:ln>
                        </wps:spPr>
                        <wps:bodyPr wrap="square" lIns="0" tIns="0" rIns="0" bIns="0" rtlCol="0">
                          <a:prstTxWarp prst="textNoShape">
                            <a:avLst/>
                          </a:prstTxWarp>
                          <a:noAutofit/>
                        </wps:bodyPr>
                      </wps:wsp>
                      <wps:wsp>
                        <wps:cNvPr id="108" name="Graphic 108"/>
                        <wps:cNvSpPr/>
                        <wps:spPr>
                          <a:xfrm>
                            <a:off x="888446" y="1017320"/>
                            <a:ext cx="74930" cy="1250950"/>
                          </a:xfrm>
                          <a:custGeom>
                            <a:avLst/>
                            <a:gdLst/>
                            <a:ahLst/>
                            <a:cxnLst/>
                            <a:rect l="l" t="t" r="r" b="b"/>
                            <a:pathLst>
                              <a:path w="74930" h="1250950">
                                <a:moveTo>
                                  <a:pt x="0" y="0"/>
                                </a:moveTo>
                                <a:lnTo>
                                  <a:pt x="0" y="1250917"/>
                                </a:lnTo>
                                <a:lnTo>
                                  <a:pt x="74549" y="1250917"/>
                                </a:lnTo>
                                <a:lnTo>
                                  <a:pt x="74549" y="7688"/>
                                </a:lnTo>
                                <a:lnTo>
                                  <a:pt x="0" y="0"/>
                                </a:lnTo>
                                <a:close/>
                              </a:path>
                            </a:pathLst>
                          </a:custGeom>
                          <a:solidFill>
                            <a:srgbClr val="93BDFF"/>
                          </a:solidFill>
                        </wps:spPr>
                        <wps:bodyPr wrap="square" lIns="0" tIns="0" rIns="0" bIns="0" rtlCol="0">
                          <a:prstTxWarp prst="textNoShape">
                            <a:avLst/>
                          </a:prstTxWarp>
                          <a:noAutofit/>
                        </wps:bodyPr>
                      </wps:wsp>
                      <wps:wsp>
                        <wps:cNvPr id="109" name="Graphic 109"/>
                        <wps:cNvSpPr/>
                        <wps:spPr>
                          <a:xfrm>
                            <a:off x="888446" y="1017320"/>
                            <a:ext cx="74930" cy="1250950"/>
                          </a:xfrm>
                          <a:custGeom>
                            <a:avLst/>
                            <a:gdLst/>
                            <a:ahLst/>
                            <a:cxnLst/>
                            <a:rect l="l" t="t" r="r" b="b"/>
                            <a:pathLst>
                              <a:path w="74930" h="1250950">
                                <a:moveTo>
                                  <a:pt x="0" y="1250917"/>
                                </a:moveTo>
                                <a:lnTo>
                                  <a:pt x="0" y="0"/>
                                </a:lnTo>
                                <a:lnTo>
                                  <a:pt x="74549" y="7688"/>
                                </a:lnTo>
                                <a:lnTo>
                                  <a:pt x="74549" y="1250917"/>
                                </a:lnTo>
                              </a:path>
                            </a:pathLst>
                          </a:custGeom>
                          <a:ln w="2146">
                            <a:solidFill>
                              <a:srgbClr val="93BDFF"/>
                            </a:solidFill>
                            <a:prstDash val="solid"/>
                          </a:ln>
                        </wps:spPr>
                        <wps:bodyPr wrap="square" lIns="0" tIns="0" rIns="0" bIns="0" rtlCol="0">
                          <a:prstTxWarp prst="textNoShape">
                            <a:avLst/>
                          </a:prstTxWarp>
                          <a:noAutofit/>
                        </wps:bodyPr>
                      </wps:wsp>
                      <wps:wsp>
                        <wps:cNvPr id="110" name="Graphic 110"/>
                        <wps:cNvSpPr/>
                        <wps:spPr>
                          <a:xfrm>
                            <a:off x="888446" y="1017320"/>
                            <a:ext cx="72390" cy="8255"/>
                          </a:xfrm>
                          <a:custGeom>
                            <a:avLst/>
                            <a:gdLst/>
                            <a:ahLst/>
                            <a:cxnLst/>
                            <a:rect l="l" t="t" r="r" b="b"/>
                            <a:pathLst>
                              <a:path w="72390" h="8255">
                                <a:moveTo>
                                  <a:pt x="0" y="0"/>
                                </a:moveTo>
                                <a:lnTo>
                                  <a:pt x="71895" y="7688"/>
                                </a:lnTo>
                              </a:path>
                            </a:pathLst>
                          </a:custGeom>
                          <a:ln w="2254">
                            <a:solidFill>
                              <a:srgbClr val="000000"/>
                            </a:solidFill>
                            <a:prstDash val="solid"/>
                          </a:ln>
                        </wps:spPr>
                        <wps:bodyPr wrap="square" lIns="0" tIns="0" rIns="0" bIns="0" rtlCol="0">
                          <a:prstTxWarp prst="textNoShape">
                            <a:avLst/>
                          </a:prstTxWarp>
                          <a:noAutofit/>
                        </wps:bodyPr>
                      </wps:wsp>
                      <wps:wsp>
                        <wps:cNvPr id="111" name="Graphic 111"/>
                        <wps:cNvSpPr/>
                        <wps:spPr>
                          <a:xfrm>
                            <a:off x="962996" y="1025008"/>
                            <a:ext cx="74930" cy="1243330"/>
                          </a:xfrm>
                          <a:custGeom>
                            <a:avLst/>
                            <a:gdLst/>
                            <a:ahLst/>
                            <a:cxnLst/>
                            <a:rect l="l" t="t" r="r" b="b"/>
                            <a:pathLst>
                              <a:path w="74930" h="1243330">
                                <a:moveTo>
                                  <a:pt x="0" y="0"/>
                                </a:moveTo>
                                <a:lnTo>
                                  <a:pt x="0" y="1243229"/>
                                </a:lnTo>
                                <a:lnTo>
                                  <a:pt x="74918" y="1243229"/>
                                </a:lnTo>
                                <a:lnTo>
                                  <a:pt x="74918" y="119754"/>
                                </a:lnTo>
                                <a:lnTo>
                                  <a:pt x="0" y="0"/>
                                </a:lnTo>
                                <a:close/>
                              </a:path>
                            </a:pathLst>
                          </a:custGeom>
                          <a:solidFill>
                            <a:srgbClr val="93BDFF"/>
                          </a:solidFill>
                        </wps:spPr>
                        <wps:bodyPr wrap="square" lIns="0" tIns="0" rIns="0" bIns="0" rtlCol="0">
                          <a:prstTxWarp prst="textNoShape">
                            <a:avLst/>
                          </a:prstTxWarp>
                          <a:noAutofit/>
                        </wps:bodyPr>
                      </wps:wsp>
                      <wps:wsp>
                        <wps:cNvPr id="112" name="Graphic 112"/>
                        <wps:cNvSpPr/>
                        <wps:spPr>
                          <a:xfrm>
                            <a:off x="962996" y="1025008"/>
                            <a:ext cx="74930" cy="1243330"/>
                          </a:xfrm>
                          <a:custGeom>
                            <a:avLst/>
                            <a:gdLst/>
                            <a:ahLst/>
                            <a:cxnLst/>
                            <a:rect l="l" t="t" r="r" b="b"/>
                            <a:pathLst>
                              <a:path w="74930" h="1243330">
                                <a:moveTo>
                                  <a:pt x="0" y="1243229"/>
                                </a:moveTo>
                                <a:lnTo>
                                  <a:pt x="0" y="0"/>
                                </a:lnTo>
                                <a:lnTo>
                                  <a:pt x="74918" y="119754"/>
                                </a:lnTo>
                                <a:lnTo>
                                  <a:pt x="74918" y="1243229"/>
                                </a:lnTo>
                              </a:path>
                            </a:pathLst>
                          </a:custGeom>
                          <a:ln w="2146">
                            <a:solidFill>
                              <a:srgbClr val="93BDFF"/>
                            </a:solidFill>
                            <a:prstDash val="solid"/>
                          </a:ln>
                        </wps:spPr>
                        <wps:bodyPr wrap="square" lIns="0" tIns="0" rIns="0" bIns="0" rtlCol="0">
                          <a:prstTxWarp prst="textNoShape">
                            <a:avLst/>
                          </a:prstTxWarp>
                          <a:noAutofit/>
                        </wps:bodyPr>
                      </wps:wsp>
                      <wps:wsp>
                        <wps:cNvPr id="113" name="Graphic 113"/>
                        <wps:cNvSpPr/>
                        <wps:spPr>
                          <a:xfrm>
                            <a:off x="962996" y="1025008"/>
                            <a:ext cx="74930" cy="118745"/>
                          </a:xfrm>
                          <a:custGeom>
                            <a:avLst/>
                            <a:gdLst/>
                            <a:ahLst/>
                            <a:cxnLst/>
                            <a:rect l="l" t="t" r="r" b="b"/>
                            <a:pathLst>
                              <a:path w="74930" h="118745">
                                <a:moveTo>
                                  <a:pt x="0" y="0"/>
                                </a:moveTo>
                                <a:lnTo>
                                  <a:pt x="74918" y="118451"/>
                                </a:lnTo>
                              </a:path>
                            </a:pathLst>
                          </a:custGeom>
                          <a:ln w="2534">
                            <a:solidFill>
                              <a:srgbClr val="000000"/>
                            </a:solidFill>
                            <a:prstDash val="solid"/>
                          </a:ln>
                        </wps:spPr>
                        <wps:bodyPr wrap="square" lIns="0" tIns="0" rIns="0" bIns="0" rtlCol="0">
                          <a:prstTxWarp prst="textNoShape">
                            <a:avLst/>
                          </a:prstTxWarp>
                          <a:noAutofit/>
                        </wps:bodyPr>
                      </wps:wsp>
                      <wps:wsp>
                        <wps:cNvPr id="114" name="Graphic 114"/>
                        <wps:cNvSpPr/>
                        <wps:spPr>
                          <a:xfrm>
                            <a:off x="1037914" y="679297"/>
                            <a:ext cx="74930" cy="1589405"/>
                          </a:xfrm>
                          <a:custGeom>
                            <a:avLst/>
                            <a:gdLst/>
                            <a:ahLst/>
                            <a:cxnLst/>
                            <a:rect l="l" t="t" r="r" b="b"/>
                            <a:pathLst>
                              <a:path w="74930" h="1589405">
                                <a:moveTo>
                                  <a:pt x="74918" y="0"/>
                                </a:moveTo>
                                <a:lnTo>
                                  <a:pt x="0" y="465464"/>
                                </a:lnTo>
                                <a:lnTo>
                                  <a:pt x="0" y="1588939"/>
                                </a:lnTo>
                                <a:lnTo>
                                  <a:pt x="74918" y="1588939"/>
                                </a:lnTo>
                                <a:lnTo>
                                  <a:pt x="74918" y="0"/>
                                </a:lnTo>
                                <a:close/>
                              </a:path>
                            </a:pathLst>
                          </a:custGeom>
                          <a:solidFill>
                            <a:srgbClr val="93BDFF"/>
                          </a:solidFill>
                        </wps:spPr>
                        <wps:bodyPr wrap="square" lIns="0" tIns="0" rIns="0" bIns="0" rtlCol="0">
                          <a:prstTxWarp prst="textNoShape">
                            <a:avLst/>
                          </a:prstTxWarp>
                          <a:noAutofit/>
                        </wps:bodyPr>
                      </wps:wsp>
                      <wps:wsp>
                        <wps:cNvPr id="115" name="Graphic 115"/>
                        <wps:cNvSpPr/>
                        <wps:spPr>
                          <a:xfrm>
                            <a:off x="1037914" y="679297"/>
                            <a:ext cx="74930" cy="1589405"/>
                          </a:xfrm>
                          <a:custGeom>
                            <a:avLst/>
                            <a:gdLst/>
                            <a:ahLst/>
                            <a:cxnLst/>
                            <a:rect l="l" t="t" r="r" b="b"/>
                            <a:pathLst>
                              <a:path w="74930" h="1589405">
                                <a:moveTo>
                                  <a:pt x="0" y="1588939"/>
                                </a:moveTo>
                                <a:lnTo>
                                  <a:pt x="0" y="465464"/>
                                </a:lnTo>
                                <a:lnTo>
                                  <a:pt x="74918" y="0"/>
                                </a:lnTo>
                                <a:lnTo>
                                  <a:pt x="74918" y="1588939"/>
                                </a:lnTo>
                              </a:path>
                            </a:pathLst>
                          </a:custGeom>
                          <a:ln w="2147">
                            <a:solidFill>
                              <a:srgbClr val="93BDFF"/>
                            </a:solidFill>
                            <a:prstDash val="solid"/>
                          </a:ln>
                        </wps:spPr>
                        <wps:bodyPr wrap="square" lIns="0" tIns="0" rIns="0" bIns="0" rtlCol="0">
                          <a:prstTxWarp prst="textNoShape">
                            <a:avLst/>
                          </a:prstTxWarp>
                          <a:noAutofit/>
                        </wps:bodyPr>
                      </wps:wsp>
                      <wps:wsp>
                        <wps:cNvPr id="116" name="Graphic 116"/>
                        <wps:cNvSpPr/>
                        <wps:spPr>
                          <a:xfrm>
                            <a:off x="1037914" y="680209"/>
                            <a:ext cx="74930" cy="464820"/>
                          </a:xfrm>
                          <a:custGeom>
                            <a:avLst/>
                            <a:gdLst/>
                            <a:ahLst/>
                            <a:cxnLst/>
                            <a:rect l="l" t="t" r="r" b="b"/>
                            <a:pathLst>
                              <a:path w="74930" h="464820">
                                <a:moveTo>
                                  <a:pt x="0" y="464552"/>
                                </a:moveTo>
                                <a:lnTo>
                                  <a:pt x="74918" y="0"/>
                                </a:lnTo>
                              </a:path>
                            </a:pathLst>
                          </a:custGeom>
                          <a:ln w="2638">
                            <a:solidFill>
                              <a:srgbClr val="000000"/>
                            </a:solidFill>
                            <a:prstDash val="solid"/>
                          </a:ln>
                        </wps:spPr>
                        <wps:bodyPr wrap="square" lIns="0" tIns="0" rIns="0" bIns="0" rtlCol="0">
                          <a:prstTxWarp prst="textNoShape">
                            <a:avLst/>
                          </a:prstTxWarp>
                          <a:noAutofit/>
                        </wps:bodyPr>
                      </wps:wsp>
                      <wps:wsp>
                        <wps:cNvPr id="117" name="Graphic 117"/>
                        <wps:cNvSpPr/>
                        <wps:spPr>
                          <a:xfrm>
                            <a:off x="1112832" y="679297"/>
                            <a:ext cx="76200" cy="1589405"/>
                          </a:xfrm>
                          <a:custGeom>
                            <a:avLst/>
                            <a:gdLst/>
                            <a:ahLst/>
                            <a:cxnLst/>
                            <a:rect l="l" t="t" r="r" b="b"/>
                            <a:pathLst>
                              <a:path w="76200" h="1589405">
                                <a:moveTo>
                                  <a:pt x="0" y="0"/>
                                </a:moveTo>
                                <a:lnTo>
                                  <a:pt x="0" y="1588939"/>
                                </a:lnTo>
                                <a:lnTo>
                                  <a:pt x="76053" y="1588939"/>
                                </a:lnTo>
                                <a:lnTo>
                                  <a:pt x="76053" y="81703"/>
                                </a:lnTo>
                                <a:lnTo>
                                  <a:pt x="0" y="0"/>
                                </a:lnTo>
                                <a:close/>
                              </a:path>
                            </a:pathLst>
                          </a:custGeom>
                          <a:solidFill>
                            <a:srgbClr val="93BDFF"/>
                          </a:solidFill>
                        </wps:spPr>
                        <wps:bodyPr wrap="square" lIns="0" tIns="0" rIns="0" bIns="0" rtlCol="0">
                          <a:prstTxWarp prst="textNoShape">
                            <a:avLst/>
                          </a:prstTxWarp>
                          <a:noAutofit/>
                        </wps:bodyPr>
                      </wps:wsp>
                      <wps:wsp>
                        <wps:cNvPr id="118" name="Graphic 118"/>
                        <wps:cNvSpPr/>
                        <wps:spPr>
                          <a:xfrm>
                            <a:off x="1112832" y="679297"/>
                            <a:ext cx="76200" cy="1589405"/>
                          </a:xfrm>
                          <a:custGeom>
                            <a:avLst/>
                            <a:gdLst/>
                            <a:ahLst/>
                            <a:cxnLst/>
                            <a:rect l="l" t="t" r="r" b="b"/>
                            <a:pathLst>
                              <a:path w="76200" h="1589405">
                                <a:moveTo>
                                  <a:pt x="0" y="1588939"/>
                                </a:moveTo>
                                <a:lnTo>
                                  <a:pt x="0" y="0"/>
                                </a:lnTo>
                                <a:lnTo>
                                  <a:pt x="76053" y="81703"/>
                                </a:lnTo>
                                <a:lnTo>
                                  <a:pt x="76053" y="1588939"/>
                                </a:lnTo>
                              </a:path>
                            </a:pathLst>
                          </a:custGeom>
                          <a:ln w="2147">
                            <a:solidFill>
                              <a:srgbClr val="93BDFF"/>
                            </a:solidFill>
                            <a:prstDash val="solid"/>
                          </a:ln>
                        </wps:spPr>
                        <wps:bodyPr wrap="square" lIns="0" tIns="0" rIns="0" bIns="0" rtlCol="0">
                          <a:prstTxWarp prst="textNoShape">
                            <a:avLst/>
                          </a:prstTxWarp>
                          <a:noAutofit/>
                        </wps:bodyPr>
                      </wps:wsp>
                      <wps:wsp>
                        <wps:cNvPr id="119" name="Graphic 119"/>
                        <wps:cNvSpPr/>
                        <wps:spPr>
                          <a:xfrm>
                            <a:off x="1037914" y="679297"/>
                            <a:ext cx="148590" cy="466090"/>
                          </a:xfrm>
                          <a:custGeom>
                            <a:avLst/>
                            <a:gdLst/>
                            <a:ahLst/>
                            <a:cxnLst/>
                            <a:rect l="l" t="t" r="r" b="b"/>
                            <a:pathLst>
                              <a:path w="148590" h="466090">
                                <a:moveTo>
                                  <a:pt x="0" y="465464"/>
                                </a:moveTo>
                                <a:lnTo>
                                  <a:pt x="74918" y="912"/>
                                </a:lnTo>
                              </a:path>
                              <a:path w="148590" h="466090">
                                <a:moveTo>
                                  <a:pt x="74918" y="0"/>
                                </a:moveTo>
                                <a:lnTo>
                                  <a:pt x="148317" y="80531"/>
                                </a:lnTo>
                              </a:path>
                            </a:pathLst>
                          </a:custGeom>
                          <a:ln w="2449">
                            <a:solidFill>
                              <a:srgbClr val="000000"/>
                            </a:solidFill>
                            <a:prstDash val="solid"/>
                          </a:ln>
                        </wps:spPr>
                        <wps:bodyPr wrap="square" lIns="0" tIns="0" rIns="0" bIns="0" rtlCol="0">
                          <a:prstTxWarp prst="textNoShape">
                            <a:avLst/>
                          </a:prstTxWarp>
                          <a:noAutofit/>
                        </wps:bodyPr>
                      </wps:wsp>
                      <wps:wsp>
                        <wps:cNvPr id="120" name="Graphic 120"/>
                        <wps:cNvSpPr/>
                        <wps:spPr>
                          <a:xfrm>
                            <a:off x="1188886" y="761001"/>
                            <a:ext cx="74930" cy="1507490"/>
                          </a:xfrm>
                          <a:custGeom>
                            <a:avLst/>
                            <a:gdLst/>
                            <a:ahLst/>
                            <a:cxnLst/>
                            <a:rect l="l" t="t" r="r" b="b"/>
                            <a:pathLst>
                              <a:path w="74930" h="1507490">
                                <a:moveTo>
                                  <a:pt x="0" y="0"/>
                                </a:moveTo>
                                <a:lnTo>
                                  <a:pt x="0" y="1507235"/>
                                </a:lnTo>
                                <a:lnTo>
                                  <a:pt x="74918" y="1507235"/>
                                </a:lnTo>
                                <a:lnTo>
                                  <a:pt x="74918" y="538177"/>
                                </a:lnTo>
                                <a:lnTo>
                                  <a:pt x="0" y="0"/>
                                </a:lnTo>
                                <a:close/>
                              </a:path>
                            </a:pathLst>
                          </a:custGeom>
                          <a:solidFill>
                            <a:srgbClr val="93BDFF"/>
                          </a:solidFill>
                        </wps:spPr>
                        <wps:bodyPr wrap="square" lIns="0" tIns="0" rIns="0" bIns="0" rtlCol="0">
                          <a:prstTxWarp prst="textNoShape">
                            <a:avLst/>
                          </a:prstTxWarp>
                          <a:noAutofit/>
                        </wps:bodyPr>
                      </wps:wsp>
                      <wps:wsp>
                        <wps:cNvPr id="121" name="Graphic 121"/>
                        <wps:cNvSpPr/>
                        <wps:spPr>
                          <a:xfrm>
                            <a:off x="1188886" y="761001"/>
                            <a:ext cx="74930" cy="1507490"/>
                          </a:xfrm>
                          <a:custGeom>
                            <a:avLst/>
                            <a:gdLst/>
                            <a:ahLst/>
                            <a:cxnLst/>
                            <a:rect l="l" t="t" r="r" b="b"/>
                            <a:pathLst>
                              <a:path w="74930" h="1507490">
                                <a:moveTo>
                                  <a:pt x="0" y="1507235"/>
                                </a:moveTo>
                                <a:lnTo>
                                  <a:pt x="0" y="0"/>
                                </a:lnTo>
                                <a:lnTo>
                                  <a:pt x="74918" y="538177"/>
                                </a:lnTo>
                                <a:lnTo>
                                  <a:pt x="74918" y="1507235"/>
                                </a:lnTo>
                              </a:path>
                            </a:pathLst>
                          </a:custGeom>
                          <a:ln w="2147">
                            <a:solidFill>
                              <a:srgbClr val="93BDFF"/>
                            </a:solidFill>
                            <a:prstDash val="solid"/>
                          </a:ln>
                        </wps:spPr>
                        <wps:bodyPr wrap="square" lIns="0" tIns="0" rIns="0" bIns="0" rtlCol="0">
                          <a:prstTxWarp prst="textNoShape">
                            <a:avLst/>
                          </a:prstTxWarp>
                          <a:noAutofit/>
                        </wps:bodyPr>
                      </wps:wsp>
                      <wps:wsp>
                        <wps:cNvPr id="122" name="Graphic 122"/>
                        <wps:cNvSpPr/>
                        <wps:spPr>
                          <a:xfrm>
                            <a:off x="1188886" y="761001"/>
                            <a:ext cx="74930" cy="537210"/>
                          </a:xfrm>
                          <a:custGeom>
                            <a:avLst/>
                            <a:gdLst/>
                            <a:ahLst/>
                            <a:cxnLst/>
                            <a:rect l="l" t="t" r="r" b="b"/>
                            <a:pathLst>
                              <a:path w="74930" h="537210">
                                <a:moveTo>
                                  <a:pt x="0" y="0"/>
                                </a:moveTo>
                                <a:lnTo>
                                  <a:pt x="74918" y="537004"/>
                                </a:lnTo>
                              </a:path>
                            </a:pathLst>
                          </a:custGeom>
                          <a:ln w="2641">
                            <a:solidFill>
                              <a:srgbClr val="000000"/>
                            </a:solidFill>
                            <a:prstDash val="solid"/>
                          </a:ln>
                        </wps:spPr>
                        <wps:bodyPr wrap="square" lIns="0" tIns="0" rIns="0" bIns="0" rtlCol="0">
                          <a:prstTxWarp prst="textNoShape">
                            <a:avLst/>
                          </a:prstTxWarp>
                          <a:noAutofit/>
                        </wps:bodyPr>
                      </wps:wsp>
                      <wps:wsp>
                        <wps:cNvPr id="123" name="Graphic 123"/>
                        <wps:cNvSpPr/>
                        <wps:spPr>
                          <a:xfrm>
                            <a:off x="1263804" y="738588"/>
                            <a:ext cx="74930" cy="1529715"/>
                          </a:xfrm>
                          <a:custGeom>
                            <a:avLst/>
                            <a:gdLst/>
                            <a:ahLst/>
                            <a:cxnLst/>
                            <a:rect l="l" t="t" r="r" b="b"/>
                            <a:pathLst>
                              <a:path w="74930" h="1529715">
                                <a:moveTo>
                                  <a:pt x="74549" y="0"/>
                                </a:moveTo>
                                <a:lnTo>
                                  <a:pt x="0" y="560590"/>
                                </a:lnTo>
                                <a:lnTo>
                                  <a:pt x="0" y="1529649"/>
                                </a:lnTo>
                                <a:lnTo>
                                  <a:pt x="74549" y="1529649"/>
                                </a:lnTo>
                                <a:lnTo>
                                  <a:pt x="74549" y="0"/>
                                </a:lnTo>
                                <a:close/>
                              </a:path>
                            </a:pathLst>
                          </a:custGeom>
                          <a:solidFill>
                            <a:srgbClr val="93BDFF"/>
                          </a:solidFill>
                        </wps:spPr>
                        <wps:bodyPr wrap="square" lIns="0" tIns="0" rIns="0" bIns="0" rtlCol="0">
                          <a:prstTxWarp prst="textNoShape">
                            <a:avLst/>
                          </a:prstTxWarp>
                          <a:noAutofit/>
                        </wps:bodyPr>
                      </wps:wsp>
                      <wps:wsp>
                        <wps:cNvPr id="124" name="Graphic 124"/>
                        <wps:cNvSpPr/>
                        <wps:spPr>
                          <a:xfrm>
                            <a:off x="1263804" y="738588"/>
                            <a:ext cx="74930" cy="1529715"/>
                          </a:xfrm>
                          <a:custGeom>
                            <a:avLst/>
                            <a:gdLst/>
                            <a:ahLst/>
                            <a:cxnLst/>
                            <a:rect l="l" t="t" r="r" b="b"/>
                            <a:pathLst>
                              <a:path w="74930" h="1529715">
                                <a:moveTo>
                                  <a:pt x="0" y="1529649"/>
                                </a:moveTo>
                                <a:lnTo>
                                  <a:pt x="0" y="560590"/>
                                </a:lnTo>
                                <a:lnTo>
                                  <a:pt x="74549" y="0"/>
                                </a:lnTo>
                                <a:lnTo>
                                  <a:pt x="74549" y="1529649"/>
                                </a:lnTo>
                              </a:path>
                            </a:pathLst>
                          </a:custGeom>
                          <a:ln w="2147">
                            <a:solidFill>
                              <a:srgbClr val="93BDFF"/>
                            </a:solidFill>
                            <a:prstDash val="solid"/>
                          </a:ln>
                        </wps:spPr>
                        <wps:bodyPr wrap="square" lIns="0" tIns="0" rIns="0" bIns="0" rtlCol="0">
                          <a:prstTxWarp prst="textNoShape">
                            <a:avLst/>
                          </a:prstTxWarp>
                          <a:noAutofit/>
                        </wps:bodyPr>
                      </wps:wsp>
                      <wps:wsp>
                        <wps:cNvPr id="125" name="Graphic 125"/>
                        <wps:cNvSpPr/>
                        <wps:spPr>
                          <a:xfrm>
                            <a:off x="1188886" y="739761"/>
                            <a:ext cx="149860" cy="559435"/>
                          </a:xfrm>
                          <a:custGeom>
                            <a:avLst/>
                            <a:gdLst/>
                            <a:ahLst/>
                            <a:cxnLst/>
                            <a:rect l="l" t="t" r="r" b="b"/>
                            <a:pathLst>
                              <a:path w="149860" h="559435">
                                <a:moveTo>
                                  <a:pt x="0" y="21240"/>
                                </a:moveTo>
                                <a:lnTo>
                                  <a:pt x="74918" y="558245"/>
                                </a:lnTo>
                              </a:path>
                              <a:path w="149860" h="559435">
                                <a:moveTo>
                                  <a:pt x="74918" y="559417"/>
                                </a:moveTo>
                                <a:lnTo>
                                  <a:pt x="149468" y="0"/>
                                </a:lnTo>
                              </a:path>
                            </a:pathLst>
                          </a:custGeom>
                          <a:ln w="2449">
                            <a:solidFill>
                              <a:srgbClr val="000000"/>
                            </a:solidFill>
                            <a:prstDash val="solid"/>
                          </a:ln>
                        </wps:spPr>
                        <wps:bodyPr wrap="square" lIns="0" tIns="0" rIns="0" bIns="0" rtlCol="0">
                          <a:prstTxWarp prst="textNoShape">
                            <a:avLst/>
                          </a:prstTxWarp>
                          <a:noAutofit/>
                        </wps:bodyPr>
                      </wps:wsp>
                      <wps:wsp>
                        <wps:cNvPr id="126" name="Graphic 126"/>
                        <wps:cNvSpPr/>
                        <wps:spPr>
                          <a:xfrm>
                            <a:off x="1338354" y="738588"/>
                            <a:ext cx="74930" cy="1529715"/>
                          </a:xfrm>
                          <a:custGeom>
                            <a:avLst/>
                            <a:gdLst/>
                            <a:ahLst/>
                            <a:cxnLst/>
                            <a:rect l="l" t="t" r="r" b="b"/>
                            <a:pathLst>
                              <a:path w="74930" h="1529715">
                                <a:moveTo>
                                  <a:pt x="0" y="0"/>
                                </a:moveTo>
                                <a:lnTo>
                                  <a:pt x="0" y="1529649"/>
                                </a:lnTo>
                                <a:lnTo>
                                  <a:pt x="74872" y="1529649"/>
                                </a:lnTo>
                                <a:lnTo>
                                  <a:pt x="74872" y="168880"/>
                                </a:lnTo>
                                <a:lnTo>
                                  <a:pt x="0" y="0"/>
                                </a:lnTo>
                                <a:close/>
                              </a:path>
                            </a:pathLst>
                          </a:custGeom>
                          <a:solidFill>
                            <a:srgbClr val="93BDFF"/>
                          </a:solidFill>
                        </wps:spPr>
                        <wps:bodyPr wrap="square" lIns="0" tIns="0" rIns="0" bIns="0" rtlCol="0">
                          <a:prstTxWarp prst="textNoShape">
                            <a:avLst/>
                          </a:prstTxWarp>
                          <a:noAutofit/>
                        </wps:bodyPr>
                      </wps:wsp>
                      <wps:wsp>
                        <wps:cNvPr id="127" name="Graphic 127"/>
                        <wps:cNvSpPr/>
                        <wps:spPr>
                          <a:xfrm>
                            <a:off x="1338354" y="738588"/>
                            <a:ext cx="74930" cy="1529715"/>
                          </a:xfrm>
                          <a:custGeom>
                            <a:avLst/>
                            <a:gdLst/>
                            <a:ahLst/>
                            <a:cxnLst/>
                            <a:rect l="l" t="t" r="r" b="b"/>
                            <a:pathLst>
                              <a:path w="74930" h="1529715">
                                <a:moveTo>
                                  <a:pt x="0" y="1529649"/>
                                </a:moveTo>
                                <a:lnTo>
                                  <a:pt x="0" y="0"/>
                                </a:lnTo>
                                <a:lnTo>
                                  <a:pt x="74872" y="168880"/>
                                </a:lnTo>
                                <a:lnTo>
                                  <a:pt x="74872" y="1529649"/>
                                </a:lnTo>
                              </a:path>
                            </a:pathLst>
                          </a:custGeom>
                          <a:ln w="2147">
                            <a:solidFill>
                              <a:srgbClr val="93BDFF"/>
                            </a:solidFill>
                            <a:prstDash val="solid"/>
                          </a:ln>
                        </wps:spPr>
                        <wps:bodyPr wrap="square" lIns="0" tIns="0" rIns="0" bIns="0" rtlCol="0">
                          <a:prstTxWarp prst="textNoShape">
                            <a:avLst/>
                          </a:prstTxWarp>
                          <a:noAutofit/>
                        </wps:bodyPr>
                      </wps:wsp>
                      <wps:wsp>
                        <wps:cNvPr id="128" name="Graphic 128"/>
                        <wps:cNvSpPr/>
                        <wps:spPr>
                          <a:xfrm>
                            <a:off x="1263804" y="738588"/>
                            <a:ext cx="149860" cy="560705"/>
                          </a:xfrm>
                          <a:custGeom>
                            <a:avLst/>
                            <a:gdLst/>
                            <a:ahLst/>
                            <a:cxnLst/>
                            <a:rect l="l" t="t" r="r" b="b"/>
                            <a:pathLst>
                              <a:path w="149860" h="560705">
                                <a:moveTo>
                                  <a:pt x="0" y="560590"/>
                                </a:moveTo>
                                <a:lnTo>
                                  <a:pt x="74549" y="1172"/>
                                </a:lnTo>
                              </a:path>
                              <a:path w="149860" h="560705">
                                <a:moveTo>
                                  <a:pt x="74549" y="0"/>
                                </a:moveTo>
                                <a:lnTo>
                                  <a:pt x="149422" y="167968"/>
                                </a:lnTo>
                              </a:path>
                            </a:pathLst>
                          </a:custGeom>
                          <a:ln w="2449">
                            <a:solidFill>
                              <a:srgbClr val="000000"/>
                            </a:solidFill>
                            <a:prstDash val="solid"/>
                          </a:ln>
                        </wps:spPr>
                        <wps:bodyPr wrap="square" lIns="0" tIns="0" rIns="0" bIns="0" rtlCol="0">
                          <a:prstTxWarp prst="textNoShape">
                            <a:avLst/>
                          </a:prstTxWarp>
                          <a:noAutofit/>
                        </wps:bodyPr>
                      </wps:wsp>
                      <wps:wsp>
                        <wps:cNvPr id="129" name="Graphic 129"/>
                        <wps:cNvSpPr/>
                        <wps:spPr>
                          <a:xfrm>
                            <a:off x="1413226" y="780026"/>
                            <a:ext cx="75565" cy="1488440"/>
                          </a:xfrm>
                          <a:custGeom>
                            <a:avLst/>
                            <a:gdLst/>
                            <a:ahLst/>
                            <a:cxnLst/>
                            <a:rect l="l" t="t" r="r" b="b"/>
                            <a:pathLst>
                              <a:path w="75565" h="1488440">
                                <a:moveTo>
                                  <a:pt x="75025" y="0"/>
                                </a:moveTo>
                                <a:lnTo>
                                  <a:pt x="0" y="127442"/>
                                </a:lnTo>
                                <a:lnTo>
                                  <a:pt x="0" y="1488210"/>
                                </a:lnTo>
                                <a:lnTo>
                                  <a:pt x="75025" y="1488210"/>
                                </a:lnTo>
                                <a:lnTo>
                                  <a:pt x="75025" y="0"/>
                                </a:lnTo>
                                <a:close/>
                              </a:path>
                            </a:pathLst>
                          </a:custGeom>
                          <a:solidFill>
                            <a:srgbClr val="93BDFF"/>
                          </a:solidFill>
                        </wps:spPr>
                        <wps:bodyPr wrap="square" lIns="0" tIns="0" rIns="0" bIns="0" rtlCol="0">
                          <a:prstTxWarp prst="textNoShape">
                            <a:avLst/>
                          </a:prstTxWarp>
                          <a:noAutofit/>
                        </wps:bodyPr>
                      </wps:wsp>
                      <wps:wsp>
                        <wps:cNvPr id="130" name="Graphic 130"/>
                        <wps:cNvSpPr/>
                        <wps:spPr>
                          <a:xfrm>
                            <a:off x="1413226" y="780026"/>
                            <a:ext cx="75565" cy="1488440"/>
                          </a:xfrm>
                          <a:custGeom>
                            <a:avLst/>
                            <a:gdLst/>
                            <a:ahLst/>
                            <a:cxnLst/>
                            <a:rect l="l" t="t" r="r" b="b"/>
                            <a:pathLst>
                              <a:path w="75565" h="1488440">
                                <a:moveTo>
                                  <a:pt x="0" y="1488210"/>
                                </a:moveTo>
                                <a:lnTo>
                                  <a:pt x="0" y="127442"/>
                                </a:lnTo>
                                <a:lnTo>
                                  <a:pt x="75025" y="0"/>
                                </a:lnTo>
                                <a:lnTo>
                                  <a:pt x="75025" y="1488210"/>
                                </a:lnTo>
                              </a:path>
                            </a:pathLst>
                          </a:custGeom>
                          <a:ln w="2147">
                            <a:solidFill>
                              <a:srgbClr val="93BDFF"/>
                            </a:solidFill>
                            <a:prstDash val="solid"/>
                          </a:ln>
                        </wps:spPr>
                        <wps:bodyPr wrap="square" lIns="0" tIns="0" rIns="0" bIns="0" rtlCol="0">
                          <a:prstTxWarp prst="textNoShape">
                            <a:avLst/>
                          </a:prstTxWarp>
                          <a:noAutofit/>
                        </wps:bodyPr>
                      </wps:wsp>
                      <wps:wsp>
                        <wps:cNvPr id="131" name="Graphic 131"/>
                        <wps:cNvSpPr/>
                        <wps:spPr>
                          <a:xfrm>
                            <a:off x="1338354" y="738588"/>
                            <a:ext cx="150495" cy="168910"/>
                          </a:xfrm>
                          <a:custGeom>
                            <a:avLst/>
                            <a:gdLst/>
                            <a:ahLst/>
                            <a:cxnLst/>
                            <a:rect l="l" t="t" r="r" b="b"/>
                            <a:pathLst>
                              <a:path w="150495" h="168910">
                                <a:moveTo>
                                  <a:pt x="0" y="0"/>
                                </a:moveTo>
                                <a:lnTo>
                                  <a:pt x="74872" y="167968"/>
                                </a:lnTo>
                              </a:path>
                              <a:path w="150495" h="168910">
                                <a:moveTo>
                                  <a:pt x="74872" y="168880"/>
                                </a:moveTo>
                                <a:lnTo>
                                  <a:pt x="149897" y="42480"/>
                                </a:lnTo>
                              </a:path>
                            </a:pathLst>
                          </a:custGeom>
                          <a:ln w="2449">
                            <a:solidFill>
                              <a:srgbClr val="000000"/>
                            </a:solidFill>
                            <a:prstDash val="solid"/>
                          </a:ln>
                        </wps:spPr>
                        <wps:bodyPr wrap="square" lIns="0" tIns="0" rIns="0" bIns="0" rtlCol="0">
                          <a:prstTxWarp prst="textNoShape">
                            <a:avLst/>
                          </a:prstTxWarp>
                          <a:noAutofit/>
                        </wps:bodyPr>
                      </wps:wsp>
                      <wps:wsp>
                        <wps:cNvPr id="132" name="Graphic 132"/>
                        <wps:cNvSpPr/>
                        <wps:spPr>
                          <a:xfrm>
                            <a:off x="1488252" y="748491"/>
                            <a:ext cx="76200" cy="1520190"/>
                          </a:xfrm>
                          <a:custGeom>
                            <a:avLst/>
                            <a:gdLst/>
                            <a:ahLst/>
                            <a:cxnLst/>
                            <a:rect l="l" t="t" r="r" b="b"/>
                            <a:pathLst>
                              <a:path w="76200" h="1520190">
                                <a:moveTo>
                                  <a:pt x="75946" y="0"/>
                                </a:moveTo>
                                <a:lnTo>
                                  <a:pt x="0" y="31534"/>
                                </a:lnTo>
                                <a:lnTo>
                                  <a:pt x="0" y="1519745"/>
                                </a:lnTo>
                                <a:lnTo>
                                  <a:pt x="75946" y="1519745"/>
                                </a:lnTo>
                                <a:lnTo>
                                  <a:pt x="75946" y="0"/>
                                </a:lnTo>
                                <a:close/>
                              </a:path>
                            </a:pathLst>
                          </a:custGeom>
                          <a:solidFill>
                            <a:srgbClr val="93BDFF"/>
                          </a:solidFill>
                        </wps:spPr>
                        <wps:bodyPr wrap="square" lIns="0" tIns="0" rIns="0" bIns="0" rtlCol="0">
                          <a:prstTxWarp prst="textNoShape">
                            <a:avLst/>
                          </a:prstTxWarp>
                          <a:noAutofit/>
                        </wps:bodyPr>
                      </wps:wsp>
                      <wps:wsp>
                        <wps:cNvPr id="133" name="Graphic 133"/>
                        <wps:cNvSpPr/>
                        <wps:spPr>
                          <a:xfrm>
                            <a:off x="1488252" y="748491"/>
                            <a:ext cx="76200" cy="1520190"/>
                          </a:xfrm>
                          <a:custGeom>
                            <a:avLst/>
                            <a:gdLst/>
                            <a:ahLst/>
                            <a:cxnLst/>
                            <a:rect l="l" t="t" r="r" b="b"/>
                            <a:pathLst>
                              <a:path w="76200" h="1520190">
                                <a:moveTo>
                                  <a:pt x="0" y="1519745"/>
                                </a:moveTo>
                                <a:lnTo>
                                  <a:pt x="0" y="31534"/>
                                </a:lnTo>
                                <a:lnTo>
                                  <a:pt x="75946" y="0"/>
                                </a:lnTo>
                                <a:lnTo>
                                  <a:pt x="75946" y="1519745"/>
                                </a:lnTo>
                              </a:path>
                            </a:pathLst>
                          </a:custGeom>
                          <a:ln w="2147">
                            <a:solidFill>
                              <a:srgbClr val="93BDFF"/>
                            </a:solidFill>
                            <a:prstDash val="solid"/>
                          </a:ln>
                        </wps:spPr>
                        <wps:bodyPr wrap="square" lIns="0" tIns="0" rIns="0" bIns="0" rtlCol="0">
                          <a:prstTxWarp prst="textNoShape">
                            <a:avLst/>
                          </a:prstTxWarp>
                          <a:noAutofit/>
                        </wps:bodyPr>
                      </wps:wsp>
                      <wps:wsp>
                        <wps:cNvPr id="134" name="Graphic 134"/>
                        <wps:cNvSpPr/>
                        <wps:spPr>
                          <a:xfrm>
                            <a:off x="1413226" y="748491"/>
                            <a:ext cx="148590" cy="159385"/>
                          </a:xfrm>
                          <a:custGeom>
                            <a:avLst/>
                            <a:gdLst/>
                            <a:ahLst/>
                            <a:cxnLst/>
                            <a:rect l="l" t="t" r="r" b="b"/>
                            <a:pathLst>
                              <a:path w="148590" h="159385">
                                <a:moveTo>
                                  <a:pt x="0" y="158977"/>
                                </a:moveTo>
                                <a:lnTo>
                                  <a:pt x="75025" y="32577"/>
                                </a:lnTo>
                              </a:path>
                              <a:path w="148590" h="159385">
                                <a:moveTo>
                                  <a:pt x="75025" y="31534"/>
                                </a:moveTo>
                                <a:lnTo>
                                  <a:pt x="148363" y="0"/>
                                </a:lnTo>
                              </a:path>
                            </a:pathLst>
                          </a:custGeom>
                          <a:ln w="2449">
                            <a:solidFill>
                              <a:srgbClr val="000000"/>
                            </a:solidFill>
                            <a:prstDash val="solid"/>
                          </a:ln>
                        </wps:spPr>
                        <wps:bodyPr wrap="square" lIns="0" tIns="0" rIns="0" bIns="0" rtlCol="0">
                          <a:prstTxWarp prst="textNoShape">
                            <a:avLst/>
                          </a:prstTxWarp>
                          <a:noAutofit/>
                        </wps:bodyPr>
                      </wps:wsp>
                      <wps:wsp>
                        <wps:cNvPr id="135" name="Graphic 135"/>
                        <wps:cNvSpPr/>
                        <wps:spPr>
                          <a:xfrm>
                            <a:off x="1564198" y="748491"/>
                            <a:ext cx="75565" cy="1520190"/>
                          </a:xfrm>
                          <a:custGeom>
                            <a:avLst/>
                            <a:gdLst/>
                            <a:ahLst/>
                            <a:cxnLst/>
                            <a:rect l="l" t="t" r="r" b="b"/>
                            <a:pathLst>
                              <a:path w="75565" h="1520190">
                                <a:moveTo>
                                  <a:pt x="0" y="0"/>
                                </a:moveTo>
                                <a:lnTo>
                                  <a:pt x="0" y="1519745"/>
                                </a:lnTo>
                                <a:lnTo>
                                  <a:pt x="75025" y="1519745"/>
                                </a:lnTo>
                                <a:lnTo>
                                  <a:pt x="75025" y="42871"/>
                                </a:lnTo>
                                <a:lnTo>
                                  <a:pt x="0" y="0"/>
                                </a:lnTo>
                                <a:close/>
                              </a:path>
                            </a:pathLst>
                          </a:custGeom>
                          <a:solidFill>
                            <a:srgbClr val="93BDFF"/>
                          </a:solidFill>
                        </wps:spPr>
                        <wps:bodyPr wrap="square" lIns="0" tIns="0" rIns="0" bIns="0" rtlCol="0">
                          <a:prstTxWarp prst="textNoShape">
                            <a:avLst/>
                          </a:prstTxWarp>
                          <a:noAutofit/>
                        </wps:bodyPr>
                      </wps:wsp>
                      <wps:wsp>
                        <wps:cNvPr id="136" name="Graphic 136"/>
                        <wps:cNvSpPr/>
                        <wps:spPr>
                          <a:xfrm>
                            <a:off x="1564198" y="748491"/>
                            <a:ext cx="75565" cy="1520190"/>
                          </a:xfrm>
                          <a:custGeom>
                            <a:avLst/>
                            <a:gdLst/>
                            <a:ahLst/>
                            <a:cxnLst/>
                            <a:rect l="l" t="t" r="r" b="b"/>
                            <a:pathLst>
                              <a:path w="75565" h="1520190">
                                <a:moveTo>
                                  <a:pt x="0" y="1519745"/>
                                </a:moveTo>
                                <a:lnTo>
                                  <a:pt x="0" y="0"/>
                                </a:lnTo>
                                <a:lnTo>
                                  <a:pt x="75025" y="42871"/>
                                </a:lnTo>
                                <a:lnTo>
                                  <a:pt x="75025" y="1519745"/>
                                </a:lnTo>
                              </a:path>
                            </a:pathLst>
                          </a:custGeom>
                          <a:ln w="2147">
                            <a:solidFill>
                              <a:srgbClr val="93BDFF"/>
                            </a:solidFill>
                            <a:prstDash val="solid"/>
                          </a:ln>
                        </wps:spPr>
                        <wps:bodyPr wrap="square" lIns="0" tIns="0" rIns="0" bIns="0" rtlCol="0">
                          <a:prstTxWarp prst="textNoShape">
                            <a:avLst/>
                          </a:prstTxWarp>
                          <a:noAutofit/>
                        </wps:bodyPr>
                      </wps:wsp>
                      <wps:wsp>
                        <wps:cNvPr id="137" name="Graphic 137"/>
                        <wps:cNvSpPr/>
                        <wps:spPr>
                          <a:xfrm>
                            <a:off x="1564198" y="748491"/>
                            <a:ext cx="73660" cy="41910"/>
                          </a:xfrm>
                          <a:custGeom>
                            <a:avLst/>
                            <a:gdLst/>
                            <a:ahLst/>
                            <a:cxnLst/>
                            <a:rect l="l" t="t" r="r" b="b"/>
                            <a:pathLst>
                              <a:path w="73660" h="41910">
                                <a:moveTo>
                                  <a:pt x="0" y="0"/>
                                </a:moveTo>
                                <a:lnTo>
                                  <a:pt x="73491" y="41568"/>
                                </a:lnTo>
                              </a:path>
                            </a:pathLst>
                          </a:custGeom>
                          <a:ln w="2346">
                            <a:solidFill>
                              <a:srgbClr val="000000"/>
                            </a:solidFill>
                            <a:prstDash val="solid"/>
                          </a:ln>
                        </wps:spPr>
                        <wps:bodyPr wrap="square" lIns="0" tIns="0" rIns="0" bIns="0" rtlCol="0">
                          <a:prstTxWarp prst="textNoShape">
                            <a:avLst/>
                          </a:prstTxWarp>
                          <a:noAutofit/>
                        </wps:bodyPr>
                      </wps:wsp>
                      <wps:wsp>
                        <wps:cNvPr id="138" name="Graphic 138"/>
                        <wps:cNvSpPr/>
                        <wps:spPr>
                          <a:xfrm>
                            <a:off x="1639223" y="679297"/>
                            <a:ext cx="74930" cy="1589405"/>
                          </a:xfrm>
                          <a:custGeom>
                            <a:avLst/>
                            <a:gdLst/>
                            <a:ahLst/>
                            <a:cxnLst/>
                            <a:rect l="l" t="t" r="r" b="b"/>
                            <a:pathLst>
                              <a:path w="74930" h="1589405">
                                <a:moveTo>
                                  <a:pt x="74411" y="0"/>
                                </a:moveTo>
                                <a:lnTo>
                                  <a:pt x="0" y="112066"/>
                                </a:lnTo>
                                <a:lnTo>
                                  <a:pt x="0" y="1588939"/>
                                </a:lnTo>
                                <a:lnTo>
                                  <a:pt x="74411" y="1588939"/>
                                </a:lnTo>
                                <a:lnTo>
                                  <a:pt x="74411" y="0"/>
                                </a:lnTo>
                                <a:close/>
                              </a:path>
                            </a:pathLst>
                          </a:custGeom>
                          <a:solidFill>
                            <a:srgbClr val="93BDFF"/>
                          </a:solidFill>
                        </wps:spPr>
                        <wps:bodyPr wrap="square" lIns="0" tIns="0" rIns="0" bIns="0" rtlCol="0">
                          <a:prstTxWarp prst="textNoShape">
                            <a:avLst/>
                          </a:prstTxWarp>
                          <a:noAutofit/>
                        </wps:bodyPr>
                      </wps:wsp>
                      <wps:wsp>
                        <wps:cNvPr id="139" name="Graphic 139"/>
                        <wps:cNvSpPr/>
                        <wps:spPr>
                          <a:xfrm>
                            <a:off x="1639223" y="679297"/>
                            <a:ext cx="74930" cy="1589405"/>
                          </a:xfrm>
                          <a:custGeom>
                            <a:avLst/>
                            <a:gdLst/>
                            <a:ahLst/>
                            <a:cxnLst/>
                            <a:rect l="l" t="t" r="r" b="b"/>
                            <a:pathLst>
                              <a:path w="74930" h="1589405">
                                <a:moveTo>
                                  <a:pt x="0" y="1588939"/>
                                </a:moveTo>
                                <a:lnTo>
                                  <a:pt x="0" y="112066"/>
                                </a:lnTo>
                                <a:lnTo>
                                  <a:pt x="74411" y="0"/>
                                </a:lnTo>
                                <a:lnTo>
                                  <a:pt x="74411" y="1588939"/>
                                </a:lnTo>
                              </a:path>
                            </a:pathLst>
                          </a:custGeom>
                          <a:ln w="2147">
                            <a:solidFill>
                              <a:srgbClr val="93BDFF"/>
                            </a:solidFill>
                            <a:prstDash val="solid"/>
                          </a:ln>
                        </wps:spPr>
                        <wps:bodyPr wrap="square" lIns="0" tIns="0" rIns="0" bIns="0" rtlCol="0">
                          <a:prstTxWarp prst="textNoShape">
                            <a:avLst/>
                          </a:prstTxWarp>
                          <a:noAutofit/>
                        </wps:bodyPr>
                      </wps:wsp>
                      <wps:wsp>
                        <wps:cNvPr id="140" name="Graphic 140"/>
                        <wps:cNvSpPr/>
                        <wps:spPr>
                          <a:xfrm>
                            <a:off x="1639223" y="680209"/>
                            <a:ext cx="74930" cy="111760"/>
                          </a:xfrm>
                          <a:custGeom>
                            <a:avLst/>
                            <a:gdLst/>
                            <a:ahLst/>
                            <a:cxnLst/>
                            <a:rect l="l" t="t" r="r" b="b"/>
                            <a:pathLst>
                              <a:path w="74930" h="111760">
                                <a:moveTo>
                                  <a:pt x="0" y="111153"/>
                                </a:moveTo>
                                <a:lnTo>
                                  <a:pt x="74411" y="0"/>
                                </a:lnTo>
                              </a:path>
                            </a:pathLst>
                          </a:custGeom>
                          <a:ln w="2525">
                            <a:solidFill>
                              <a:srgbClr val="000000"/>
                            </a:solidFill>
                            <a:prstDash val="solid"/>
                          </a:ln>
                        </wps:spPr>
                        <wps:bodyPr wrap="square" lIns="0" tIns="0" rIns="0" bIns="0" rtlCol="0">
                          <a:prstTxWarp prst="textNoShape">
                            <a:avLst/>
                          </a:prstTxWarp>
                          <a:noAutofit/>
                        </wps:bodyPr>
                      </wps:wsp>
                      <wps:wsp>
                        <wps:cNvPr id="141" name="Graphic 141"/>
                        <wps:cNvSpPr/>
                        <wps:spPr>
                          <a:xfrm>
                            <a:off x="1713635" y="679297"/>
                            <a:ext cx="75565" cy="1589405"/>
                          </a:xfrm>
                          <a:custGeom>
                            <a:avLst/>
                            <a:gdLst/>
                            <a:ahLst/>
                            <a:cxnLst/>
                            <a:rect l="l" t="t" r="r" b="b"/>
                            <a:pathLst>
                              <a:path w="75565" h="1589405">
                                <a:moveTo>
                                  <a:pt x="0" y="0"/>
                                </a:moveTo>
                                <a:lnTo>
                                  <a:pt x="0" y="1588939"/>
                                </a:lnTo>
                                <a:lnTo>
                                  <a:pt x="75025" y="1588939"/>
                                </a:lnTo>
                                <a:lnTo>
                                  <a:pt x="75025" y="98513"/>
                                </a:lnTo>
                                <a:lnTo>
                                  <a:pt x="0" y="0"/>
                                </a:lnTo>
                                <a:close/>
                              </a:path>
                            </a:pathLst>
                          </a:custGeom>
                          <a:solidFill>
                            <a:srgbClr val="93BDFF"/>
                          </a:solidFill>
                        </wps:spPr>
                        <wps:bodyPr wrap="square" lIns="0" tIns="0" rIns="0" bIns="0" rtlCol="0">
                          <a:prstTxWarp prst="textNoShape">
                            <a:avLst/>
                          </a:prstTxWarp>
                          <a:noAutofit/>
                        </wps:bodyPr>
                      </wps:wsp>
                      <wps:wsp>
                        <wps:cNvPr id="142" name="Graphic 142"/>
                        <wps:cNvSpPr/>
                        <wps:spPr>
                          <a:xfrm>
                            <a:off x="1713635" y="679297"/>
                            <a:ext cx="75565" cy="1589405"/>
                          </a:xfrm>
                          <a:custGeom>
                            <a:avLst/>
                            <a:gdLst/>
                            <a:ahLst/>
                            <a:cxnLst/>
                            <a:rect l="l" t="t" r="r" b="b"/>
                            <a:pathLst>
                              <a:path w="75565" h="1589405">
                                <a:moveTo>
                                  <a:pt x="0" y="1588939"/>
                                </a:moveTo>
                                <a:lnTo>
                                  <a:pt x="0" y="0"/>
                                </a:lnTo>
                                <a:lnTo>
                                  <a:pt x="75025" y="98513"/>
                                </a:lnTo>
                                <a:lnTo>
                                  <a:pt x="75025" y="1588939"/>
                                </a:lnTo>
                              </a:path>
                            </a:pathLst>
                          </a:custGeom>
                          <a:ln w="2147">
                            <a:solidFill>
                              <a:srgbClr val="93BDFF"/>
                            </a:solidFill>
                            <a:prstDash val="solid"/>
                          </a:ln>
                        </wps:spPr>
                        <wps:bodyPr wrap="square" lIns="0" tIns="0" rIns="0" bIns="0" rtlCol="0">
                          <a:prstTxWarp prst="textNoShape">
                            <a:avLst/>
                          </a:prstTxWarp>
                          <a:noAutofit/>
                        </wps:bodyPr>
                      </wps:wsp>
                      <wps:wsp>
                        <wps:cNvPr id="143" name="Graphic 143"/>
                        <wps:cNvSpPr/>
                        <wps:spPr>
                          <a:xfrm>
                            <a:off x="1713635" y="679297"/>
                            <a:ext cx="75565" cy="97790"/>
                          </a:xfrm>
                          <a:custGeom>
                            <a:avLst/>
                            <a:gdLst/>
                            <a:ahLst/>
                            <a:cxnLst/>
                            <a:rect l="l" t="t" r="r" b="b"/>
                            <a:pathLst>
                              <a:path w="75565" h="97790">
                                <a:moveTo>
                                  <a:pt x="0" y="0"/>
                                </a:moveTo>
                                <a:lnTo>
                                  <a:pt x="75025" y="97210"/>
                                </a:lnTo>
                              </a:path>
                            </a:pathLst>
                          </a:custGeom>
                          <a:ln w="2499">
                            <a:solidFill>
                              <a:srgbClr val="000000"/>
                            </a:solidFill>
                            <a:prstDash val="solid"/>
                          </a:ln>
                        </wps:spPr>
                        <wps:bodyPr wrap="square" lIns="0" tIns="0" rIns="0" bIns="0" rtlCol="0">
                          <a:prstTxWarp prst="textNoShape">
                            <a:avLst/>
                          </a:prstTxWarp>
                          <a:noAutofit/>
                        </wps:bodyPr>
                      </wps:wsp>
                      <wps:wsp>
                        <wps:cNvPr id="144" name="Graphic 144"/>
                        <wps:cNvSpPr/>
                        <wps:spPr>
                          <a:xfrm>
                            <a:off x="1788661" y="777811"/>
                            <a:ext cx="74930" cy="1490980"/>
                          </a:xfrm>
                          <a:custGeom>
                            <a:avLst/>
                            <a:gdLst/>
                            <a:ahLst/>
                            <a:cxnLst/>
                            <a:rect l="l" t="t" r="r" b="b"/>
                            <a:pathLst>
                              <a:path w="74930" h="1490980">
                                <a:moveTo>
                                  <a:pt x="0" y="0"/>
                                </a:moveTo>
                                <a:lnTo>
                                  <a:pt x="0" y="1490426"/>
                                </a:lnTo>
                                <a:lnTo>
                                  <a:pt x="74872" y="1490426"/>
                                </a:lnTo>
                                <a:lnTo>
                                  <a:pt x="74872" y="108417"/>
                                </a:lnTo>
                                <a:lnTo>
                                  <a:pt x="0" y="0"/>
                                </a:lnTo>
                                <a:close/>
                              </a:path>
                            </a:pathLst>
                          </a:custGeom>
                          <a:solidFill>
                            <a:srgbClr val="93BDFF"/>
                          </a:solidFill>
                        </wps:spPr>
                        <wps:bodyPr wrap="square" lIns="0" tIns="0" rIns="0" bIns="0" rtlCol="0">
                          <a:prstTxWarp prst="textNoShape">
                            <a:avLst/>
                          </a:prstTxWarp>
                          <a:noAutofit/>
                        </wps:bodyPr>
                      </wps:wsp>
                      <wps:wsp>
                        <wps:cNvPr id="145" name="Graphic 145"/>
                        <wps:cNvSpPr/>
                        <wps:spPr>
                          <a:xfrm>
                            <a:off x="1788661" y="777811"/>
                            <a:ext cx="74930" cy="1490980"/>
                          </a:xfrm>
                          <a:custGeom>
                            <a:avLst/>
                            <a:gdLst/>
                            <a:ahLst/>
                            <a:cxnLst/>
                            <a:rect l="l" t="t" r="r" b="b"/>
                            <a:pathLst>
                              <a:path w="74930" h="1490980">
                                <a:moveTo>
                                  <a:pt x="0" y="1490426"/>
                                </a:moveTo>
                                <a:lnTo>
                                  <a:pt x="0" y="0"/>
                                </a:lnTo>
                                <a:lnTo>
                                  <a:pt x="74872" y="108417"/>
                                </a:lnTo>
                                <a:lnTo>
                                  <a:pt x="74872" y="1490426"/>
                                </a:lnTo>
                              </a:path>
                            </a:pathLst>
                          </a:custGeom>
                          <a:ln w="2147">
                            <a:solidFill>
                              <a:srgbClr val="93BDFF"/>
                            </a:solidFill>
                            <a:prstDash val="solid"/>
                          </a:ln>
                        </wps:spPr>
                        <wps:bodyPr wrap="square" lIns="0" tIns="0" rIns="0" bIns="0" rtlCol="0">
                          <a:prstTxWarp prst="textNoShape">
                            <a:avLst/>
                          </a:prstTxWarp>
                          <a:noAutofit/>
                        </wps:bodyPr>
                      </wps:wsp>
                      <wps:wsp>
                        <wps:cNvPr id="146" name="Graphic 146"/>
                        <wps:cNvSpPr/>
                        <wps:spPr>
                          <a:xfrm>
                            <a:off x="1788660" y="777811"/>
                            <a:ext cx="74930" cy="107950"/>
                          </a:xfrm>
                          <a:custGeom>
                            <a:avLst/>
                            <a:gdLst/>
                            <a:ahLst/>
                            <a:cxnLst/>
                            <a:rect l="l" t="t" r="r" b="b"/>
                            <a:pathLst>
                              <a:path w="74930" h="107950">
                                <a:moveTo>
                                  <a:pt x="0" y="0"/>
                                </a:moveTo>
                                <a:lnTo>
                                  <a:pt x="74872" y="107505"/>
                                </a:lnTo>
                              </a:path>
                            </a:pathLst>
                          </a:custGeom>
                          <a:ln w="2518">
                            <a:solidFill>
                              <a:srgbClr val="000000"/>
                            </a:solidFill>
                            <a:prstDash val="solid"/>
                          </a:ln>
                        </wps:spPr>
                        <wps:bodyPr wrap="square" lIns="0" tIns="0" rIns="0" bIns="0" rtlCol="0">
                          <a:prstTxWarp prst="textNoShape">
                            <a:avLst/>
                          </a:prstTxWarp>
                          <a:noAutofit/>
                        </wps:bodyPr>
                      </wps:wsp>
                      <wps:wsp>
                        <wps:cNvPr id="147" name="Graphic 147"/>
                        <wps:cNvSpPr/>
                        <wps:spPr>
                          <a:xfrm>
                            <a:off x="1863533" y="886228"/>
                            <a:ext cx="76200" cy="1382395"/>
                          </a:xfrm>
                          <a:custGeom>
                            <a:avLst/>
                            <a:gdLst/>
                            <a:ahLst/>
                            <a:cxnLst/>
                            <a:rect l="l" t="t" r="r" b="b"/>
                            <a:pathLst>
                              <a:path w="76200" h="1382395">
                                <a:moveTo>
                                  <a:pt x="0" y="0"/>
                                </a:moveTo>
                                <a:lnTo>
                                  <a:pt x="0" y="1382008"/>
                                </a:lnTo>
                                <a:lnTo>
                                  <a:pt x="76099" y="1382008"/>
                                </a:lnTo>
                                <a:lnTo>
                                  <a:pt x="76099" y="275213"/>
                                </a:lnTo>
                                <a:lnTo>
                                  <a:pt x="0" y="0"/>
                                </a:lnTo>
                                <a:close/>
                              </a:path>
                            </a:pathLst>
                          </a:custGeom>
                          <a:solidFill>
                            <a:srgbClr val="93BDFF"/>
                          </a:solidFill>
                        </wps:spPr>
                        <wps:bodyPr wrap="square" lIns="0" tIns="0" rIns="0" bIns="0" rtlCol="0">
                          <a:prstTxWarp prst="textNoShape">
                            <a:avLst/>
                          </a:prstTxWarp>
                          <a:noAutofit/>
                        </wps:bodyPr>
                      </wps:wsp>
                      <wps:wsp>
                        <wps:cNvPr id="148" name="Graphic 148"/>
                        <wps:cNvSpPr/>
                        <wps:spPr>
                          <a:xfrm>
                            <a:off x="1863533" y="886228"/>
                            <a:ext cx="76200" cy="1382395"/>
                          </a:xfrm>
                          <a:custGeom>
                            <a:avLst/>
                            <a:gdLst/>
                            <a:ahLst/>
                            <a:cxnLst/>
                            <a:rect l="l" t="t" r="r" b="b"/>
                            <a:pathLst>
                              <a:path w="76200" h="1382395">
                                <a:moveTo>
                                  <a:pt x="0" y="1382008"/>
                                </a:moveTo>
                                <a:lnTo>
                                  <a:pt x="0" y="0"/>
                                </a:lnTo>
                                <a:lnTo>
                                  <a:pt x="76099" y="275213"/>
                                </a:lnTo>
                                <a:lnTo>
                                  <a:pt x="76099" y="1382008"/>
                                </a:lnTo>
                              </a:path>
                            </a:pathLst>
                          </a:custGeom>
                          <a:ln w="2146">
                            <a:solidFill>
                              <a:srgbClr val="93BDFF"/>
                            </a:solidFill>
                            <a:prstDash val="solid"/>
                          </a:ln>
                        </wps:spPr>
                        <wps:bodyPr wrap="square" lIns="0" tIns="0" rIns="0" bIns="0" rtlCol="0">
                          <a:prstTxWarp prst="textNoShape">
                            <a:avLst/>
                          </a:prstTxWarp>
                          <a:noAutofit/>
                        </wps:bodyPr>
                      </wps:wsp>
                      <wps:wsp>
                        <wps:cNvPr id="149" name="Graphic 149"/>
                        <wps:cNvSpPr/>
                        <wps:spPr>
                          <a:xfrm>
                            <a:off x="1863533" y="886228"/>
                            <a:ext cx="76200" cy="274320"/>
                          </a:xfrm>
                          <a:custGeom>
                            <a:avLst/>
                            <a:gdLst/>
                            <a:ahLst/>
                            <a:cxnLst/>
                            <a:rect l="l" t="t" r="r" b="b"/>
                            <a:pathLst>
                              <a:path w="76200" h="274320">
                                <a:moveTo>
                                  <a:pt x="0" y="0"/>
                                </a:moveTo>
                                <a:lnTo>
                                  <a:pt x="76099" y="274301"/>
                                </a:lnTo>
                              </a:path>
                            </a:pathLst>
                          </a:custGeom>
                          <a:ln w="2620">
                            <a:solidFill>
                              <a:srgbClr val="000000"/>
                            </a:solidFill>
                            <a:prstDash val="solid"/>
                          </a:ln>
                        </wps:spPr>
                        <wps:bodyPr wrap="square" lIns="0" tIns="0" rIns="0" bIns="0" rtlCol="0">
                          <a:prstTxWarp prst="textNoShape">
                            <a:avLst/>
                          </a:prstTxWarp>
                          <a:noAutofit/>
                        </wps:bodyPr>
                      </wps:wsp>
                      <wps:wsp>
                        <wps:cNvPr id="150" name="Graphic 150"/>
                        <wps:cNvSpPr/>
                        <wps:spPr>
                          <a:xfrm>
                            <a:off x="1939632" y="548336"/>
                            <a:ext cx="74930" cy="1720214"/>
                          </a:xfrm>
                          <a:custGeom>
                            <a:avLst/>
                            <a:gdLst/>
                            <a:ahLst/>
                            <a:cxnLst/>
                            <a:rect l="l" t="t" r="r" b="b"/>
                            <a:pathLst>
                              <a:path w="74930" h="1720214">
                                <a:moveTo>
                                  <a:pt x="74872" y="0"/>
                                </a:moveTo>
                                <a:lnTo>
                                  <a:pt x="0" y="613105"/>
                                </a:lnTo>
                                <a:lnTo>
                                  <a:pt x="0" y="1719900"/>
                                </a:lnTo>
                                <a:lnTo>
                                  <a:pt x="74872" y="1719900"/>
                                </a:lnTo>
                                <a:lnTo>
                                  <a:pt x="74872" y="0"/>
                                </a:lnTo>
                                <a:close/>
                              </a:path>
                            </a:pathLst>
                          </a:custGeom>
                          <a:solidFill>
                            <a:srgbClr val="93BDFF"/>
                          </a:solidFill>
                        </wps:spPr>
                        <wps:bodyPr wrap="square" lIns="0" tIns="0" rIns="0" bIns="0" rtlCol="0">
                          <a:prstTxWarp prst="textNoShape">
                            <a:avLst/>
                          </a:prstTxWarp>
                          <a:noAutofit/>
                        </wps:bodyPr>
                      </wps:wsp>
                      <wps:wsp>
                        <wps:cNvPr id="151" name="Graphic 151"/>
                        <wps:cNvSpPr/>
                        <wps:spPr>
                          <a:xfrm>
                            <a:off x="1939632" y="548336"/>
                            <a:ext cx="74930" cy="1720214"/>
                          </a:xfrm>
                          <a:custGeom>
                            <a:avLst/>
                            <a:gdLst/>
                            <a:ahLst/>
                            <a:cxnLst/>
                            <a:rect l="l" t="t" r="r" b="b"/>
                            <a:pathLst>
                              <a:path w="74930" h="1720214">
                                <a:moveTo>
                                  <a:pt x="0" y="1719900"/>
                                </a:moveTo>
                                <a:lnTo>
                                  <a:pt x="0" y="613105"/>
                                </a:lnTo>
                                <a:lnTo>
                                  <a:pt x="74872" y="0"/>
                                </a:lnTo>
                                <a:lnTo>
                                  <a:pt x="74872" y="1719900"/>
                                </a:lnTo>
                              </a:path>
                            </a:pathLst>
                          </a:custGeom>
                          <a:ln w="2147">
                            <a:solidFill>
                              <a:srgbClr val="93BDFF"/>
                            </a:solidFill>
                            <a:prstDash val="solid"/>
                          </a:ln>
                        </wps:spPr>
                        <wps:bodyPr wrap="square" lIns="0" tIns="0" rIns="0" bIns="0" rtlCol="0">
                          <a:prstTxWarp prst="textNoShape">
                            <a:avLst/>
                          </a:prstTxWarp>
                          <a:noAutofit/>
                        </wps:bodyPr>
                      </wps:wsp>
                      <wps:wsp>
                        <wps:cNvPr id="152" name="Graphic 152"/>
                        <wps:cNvSpPr/>
                        <wps:spPr>
                          <a:xfrm>
                            <a:off x="1863533" y="549639"/>
                            <a:ext cx="151130" cy="612140"/>
                          </a:xfrm>
                          <a:custGeom>
                            <a:avLst/>
                            <a:gdLst/>
                            <a:ahLst/>
                            <a:cxnLst/>
                            <a:rect l="l" t="t" r="r" b="b"/>
                            <a:pathLst>
                              <a:path w="151130" h="612140">
                                <a:moveTo>
                                  <a:pt x="0" y="336589"/>
                                </a:moveTo>
                                <a:lnTo>
                                  <a:pt x="76099" y="610890"/>
                                </a:lnTo>
                              </a:path>
                              <a:path w="151130" h="612140">
                                <a:moveTo>
                                  <a:pt x="76099" y="611802"/>
                                </a:moveTo>
                                <a:lnTo>
                                  <a:pt x="150971" y="0"/>
                                </a:lnTo>
                              </a:path>
                            </a:pathLst>
                          </a:custGeom>
                          <a:ln w="2449">
                            <a:solidFill>
                              <a:srgbClr val="000000"/>
                            </a:solidFill>
                            <a:prstDash val="solid"/>
                          </a:ln>
                        </wps:spPr>
                        <wps:bodyPr wrap="square" lIns="0" tIns="0" rIns="0" bIns="0" rtlCol="0">
                          <a:prstTxWarp prst="textNoShape">
                            <a:avLst/>
                          </a:prstTxWarp>
                          <a:noAutofit/>
                        </wps:bodyPr>
                      </wps:wsp>
                      <wps:wsp>
                        <wps:cNvPr id="153" name="Graphic 153"/>
                        <wps:cNvSpPr/>
                        <wps:spPr>
                          <a:xfrm>
                            <a:off x="2014504" y="548336"/>
                            <a:ext cx="74930" cy="1720214"/>
                          </a:xfrm>
                          <a:custGeom>
                            <a:avLst/>
                            <a:gdLst/>
                            <a:ahLst/>
                            <a:cxnLst/>
                            <a:rect l="l" t="t" r="r" b="b"/>
                            <a:pathLst>
                              <a:path w="74930" h="1720214">
                                <a:moveTo>
                                  <a:pt x="0" y="0"/>
                                </a:moveTo>
                                <a:lnTo>
                                  <a:pt x="0" y="1719900"/>
                                </a:lnTo>
                                <a:lnTo>
                                  <a:pt x="74565" y="1719900"/>
                                </a:lnTo>
                                <a:lnTo>
                                  <a:pt x="74565" y="135521"/>
                                </a:lnTo>
                                <a:lnTo>
                                  <a:pt x="0" y="0"/>
                                </a:lnTo>
                                <a:close/>
                              </a:path>
                            </a:pathLst>
                          </a:custGeom>
                          <a:solidFill>
                            <a:srgbClr val="93BDFF"/>
                          </a:solidFill>
                        </wps:spPr>
                        <wps:bodyPr wrap="square" lIns="0" tIns="0" rIns="0" bIns="0" rtlCol="0">
                          <a:prstTxWarp prst="textNoShape">
                            <a:avLst/>
                          </a:prstTxWarp>
                          <a:noAutofit/>
                        </wps:bodyPr>
                      </wps:wsp>
                      <wps:wsp>
                        <wps:cNvPr id="154" name="Graphic 154"/>
                        <wps:cNvSpPr/>
                        <wps:spPr>
                          <a:xfrm>
                            <a:off x="2014504" y="548336"/>
                            <a:ext cx="74930" cy="1720214"/>
                          </a:xfrm>
                          <a:custGeom>
                            <a:avLst/>
                            <a:gdLst/>
                            <a:ahLst/>
                            <a:cxnLst/>
                            <a:rect l="l" t="t" r="r" b="b"/>
                            <a:pathLst>
                              <a:path w="74930" h="1720214">
                                <a:moveTo>
                                  <a:pt x="0" y="1719900"/>
                                </a:moveTo>
                                <a:lnTo>
                                  <a:pt x="0" y="0"/>
                                </a:lnTo>
                                <a:lnTo>
                                  <a:pt x="74565" y="135521"/>
                                </a:lnTo>
                                <a:lnTo>
                                  <a:pt x="74565" y="1719900"/>
                                </a:lnTo>
                              </a:path>
                            </a:pathLst>
                          </a:custGeom>
                          <a:ln w="2147">
                            <a:solidFill>
                              <a:srgbClr val="93BDFF"/>
                            </a:solidFill>
                            <a:prstDash val="solid"/>
                          </a:ln>
                        </wps:spPr>
                        <wps:bodyPr wrap="square" lIns="0" tIns="0" rIns="0" bIns="0" rtlCol="0">
                          <a:prstTxWarp prst="textNoShape">
                            <a:avLst/>
                          </a:prstTxWarp>
                          <a:noAutofit/>
                        </wps:bodyPr>
                      </wps:wsp>
                      <wps:wsp>
                        <wps:cNvPr id="155" name="Graphic 155"/>
                        <wps:cNvSpPr/>
                        <wps:spPr>
                          <a:xfrm>
                            <a:off x="1939632" y="548336"/>
                            <a:ext cx="149860" cy="613410"/>
                          </a:xfrm>
                          <a:custGeom>
                            <a:avLst/>
                            <a:gdLst/>
                            <a:ahLst/>
                            <a:cxnLst/>
                            <a:rect l="l" t="t" r="r" b="b"/>
                            <a:pathLst>
                              <a:path w="149860" h="613410">
                                <a:moveTo>
                                  <a:pt x="0" y="613105"/>
                                </a:moveTo>
                                <a:lnTo>
                                  <a:pt x="74872" y="1303"/>
                                </a:lnTo>
                              </a:path>
                              <a:path w="149860" h="613410">
                                <a:moveTo>
                                  <a:pt x="74872" y="0"/>
                                </a:moveTo>
                                <a:lnTo>
                                  <a:pt x="149437" y="134218"/>
                                </a:lnTo>
                              </a:path>
                            </a:pathLst>
                          </a:custGeom>
                          <a:ln w="2449">
                            <a:solidFill>
                              <a:srgbClr val="000000"/>
                            </a:solidFill>
                            <a:prstDash val="solid"/>
                          </a:ln>
                        </wps:spPr>
                        <wps:bodyPr wrap="square" lIns="0" tIns="0" rIns="0" bIns="0" rtlCol="0">
                          <a:prstTxWarp prst="textNoShape">
                            <a:avLst/>
                          </a:prstTxWarp>
                          <a:noAutofit/>
                        </wps:bodyPr>
                      </wps:wsp>
                      <wps:wsp>
                        <wps:cNvPr id="156" name="Graphic 156"/>
                        <wps:cNvSpPr/>
                        <wps:spPr>
                          <a:xfrm>
                            <a:off x="2089070" y="683858"/>
                            <a:ext cx="74930" cy="1584960"/>
                          </a:xfrm>
                          <a:custGeom>
                            <a:avLst/>
                            <a:gdLst/>
                            <a:ahLst/>
                            <a:cxnLst/>
                            <a:rect l="l" t="t" r="r" b="b"/>
                            <a:pathLst>
                              <a:path w="74930" h="1584960">
                                <a:moveTo>
                                  <a:pt x="0" y="0"/>
                                </a:moveTo>
                                <a:lnTo>
                                  <a:pt x="0" y="1584379"/>
                                </a:lnTo>
                                <a:lnTo>
                                  <a:pt x="74872" y="1584379"/>
                                </a:lnTo>
                                <a:lnTo>
                                  <a:pt x="74872" y="538177"/>
                                </a:lnTo>
                                <a:lnTo>
                                  <a:pt x="0" y="0"/>
                                </a:lnTo>
                                <a:close/>
                              </a:path>
                            </a:pathLst>
                          </a:custGeom>
                          <a:solidFill>
                            <a:srgbClr val="93BDFF"/>
                          </a:solidFill>
                        </wps:spPr>
                        <wps:bodyPr wrap="square" lIns="0" tIns="0" rIns="0" bIns="0" rtlCol="0">
                          <a:prstTxWarp prst="textNoShape">
                            <a:avLst/>
                          </a:prstTxWarp>
                          <a:noAutofit/>
                        </wps:bodyPr>
                      </wps:wsp>
                      <wps:wsp>
                        <wps:cNvPr id="157" name="Graphic 157"/>
                        <wps:cNvSpPr/>
                        <wps:spPr>
                          <a:xfrm>
                            <a:off x="2089070" y="683858"/>
                            <a:ext cx="74930" cy="1584960"/>
                          </a:xfrm>
                          <a:custGeom>
                            <a:avLst/>
                            <a:gdLst/>
                            <a:ahLst/>
                            <a:cxnLst/>
                            <a:rect l="l" t="t" r="r" b="b"/>
                            <a:pathLst>
                              <a:path w="74930" h="1584960">
                                <a:moveTo>
                                  <a:pt x="0" y="1584379"/>
                                </a:moveTo>
                                <a:lnTo>
                                  <a:pt x="0" y="0"/>
                                </a:lnTo>
                                <a:lnTo>
                                  <a:pt x="74872" y="538177"/>
                                </a:lnTo>
                                <a:lnTo>
                                  <a:pt x="74872" y="1584379"/>
                                </a:lnTo>
                              </a:path>
                            </a:pathLst>
                          </a:custGeom>
                          <a:ln w="2147">
                            <a:solidFill>
                              <a:srgbClr val="93BDFF"/>
                            </a:solidFill>
                            <a:prstDash val="solid"/>
                          </a:ln>
                        </wps:spPr>
                        <wps:bodyPr wrap="square" lIns="0" tIns="0" rIns="0" bIns="0" rtlCol="0">
                          <a:prstTxWarp prst="textNoShape">
                            <a:avLst/>
                          </a:prstTxWarp>
                          <a:noAutofit/>
                        </wps:bodyPr>
                      </wps:wsp>
                      <wps:wsp>
                        <wps:cNvPr id="158" name="Graphic 158"/>
                        <wps:cNvSpPr/>
                        <wps:spPr>
                          <a:xfrm>
                            <a:off x="2014504" y="548336"/>
                            <a:ext cx="149860" cy="672465"/>
                          </a:xfrm>
                          <a:custGeom>
                            <a:avLst/>
                            <a:gdLst/>
                            <a:ahLst/>
                            <a:cxnLst/>
                            <a:rect l="l" t="t" r="r" b="b"/>
                            <a:pathLst>
                              <a:path w="149860" h="672465">
                                <a:moveTo>
                                  <a:pt x="0" y="0"/>
                                </a:moveTo>
                                <a:lnTo>
                                  <a:pt x="74565" y="134218"/>
                                </a:lnTo>
                              </a:path>
                              <a:path w="149860" h="672465">
                                <a:moveTo>
                                  <a:pt x="74565" y="135521"/>
                                </a:moveTo>
                                <a:lnTo>
                                  <a:pt x="149437" y="672396"/>
                                </a:lnTo>
                              </a:path>
                            </a:pathLst>
                          </a:custGeom>
                          <a:ln w="2449">
                            <a:solidFill>
                              <a:srgbClr val="000000"/>
                            </a:solidFill>
                            <a:prstDash val="solid"/>
                          </a:ln>
                        </wps:spPr>
                        <wps:bodyPr wrap="square" lIns="0" tIns="0" rIns="0" bIns="0" rtlCol="0">
                          <a:prstTxWarp prst="textNoShape">
                            <a:avLst/>
                          </a:prstTxWarp>
                          <a:noAutofit/>
                        </wps:bodyPr>
                      </wps:wsp>
                      <wps:wsp>
                        <wps:cNvPr id="159" name="Graphic 159"/>
                        <wps:cNvSpPr/>
                        <wps:spPr>
                          <a:xfrm>
                            <a:off x="2163942" y="617791"/>
                            <a:ext cx="75565" cy="1651000"/>
                          </a:xfrm>
                          <a:custGeom>
                            <a:avLst/>
                            <a:gdLst/>
                            <a:ahLst/>
                            <a:cxnLst/>
                            <a:rect l="l" t="t" r="r" b="b"/>
                            <a:pathLst>
                              <a:path w="75565" h="1651000">
                                <a:moveTo>
                                  <a:pt x="75025" y="0"/>
                                </a:moveTo>
                                <a:lnTo>
                                  <a:pt x="0" y="604244"/>
                                </a:lnTo>
                                <a:lnTo>
                                  <a:pt x="0" y="1650445"/>
                                </a:lnTo>
                                <a:lnTo>
                                  <a:pt x="75025" y="1650445"/>
                                </a:lnTo>
                                <a:lnTo>
                                  <a:pt x="75025" y="0"/>
                                </a:lnTo>
                                <a:close/>
                              </a:path>
                            </a:pathLst>
                          </a:custGeom>
                          <a:solidFill>
                            <a:srgbClr val="93BDFF"/>
                          </a:solidFill>
                        </wps:spPr>
                        <wps:bodyPr wrap="square" lIns="0" tIns="0" rIns="0" bIns="0" rtlCol="0">
                          <a:prstTxWarp prst="textNoShape">
                            <a:avLst/>
                          </a:prstTxWarp>
                          <a:noAutofit/>
                        </wps:bodyPr>
                      </wps:wsp>
                      <wps:wsp>
                        <wps:cNvPr id="160" name="Graphic 160"/>
                        <wps:cNvSpPr/>
                        <wps:spPr>
                          <a:xfrm>
                            <a:off x="2163942" y="617791"/>
                            <a:ext cx="75565" cy="1651000"/>
                          </a:xfrm>
                          <a:custGeom>
                            <a:avLst/>
                            <a:gdLst/>
                            <a:ahLst/>
                            <a:cxnLst/>
                            <a:rect l="l" t="t" r="r" b="b"/>
                            <a:pathLst>
                              <a:path w="75565" h="1651000">
                                <a:moveTo>
                                  <a:pt x="0" y="1650445"/>
                                </a:moveTo>
                                <a:lnTo>
                                  <a:pt x="0" y="604244"/>
                                </a:lnTo>
                                <a:lnTo>
                                  <a:pt x="75025" y="0"/>
                                </a:lnTo>
                                <a:lnTo>
                                  <a:pt x="75025" y="1650445"/>
                                </a:lnTo>
                              </a:path>
                            </a:pathLst>
                          </a:custGeom>
                          <a:ln w="2147">
                            <a:solidFill>
                              <a:srgbClr val="93BDFF"/>
                            </a:solidFill>
                            <a:prstDash val="solid"/>
                          </a:ln>
                        </wps:spPr>
                        <wps:bodyPr wrap="square" lIns="0" tIns="0" rIns="0" bIns="0" rtlCol="0">
                          <a:prstTxWarp prst="textNoShape">
                            <a:avLst/>
                          </a:prstTxWarp>
                          <a:noAutofit/>
                        </wps:bodyPr>
                      </wps:wsp>
                      <wps:wsp>
                        <wps:cNvPr id="161" name="Graphic 161"/>
                        <wps:cNvSpPr/>
                        <wps:spPr>
                          <a:xfrm>
                            <a:off x="2089069" y="618834"/>
                            <a:ext cx="150495" cy="603250"/>
                          </a:xfrm>
                          <a:custGeom>
                            <a:avLst/>
                            <a:gdLst/>
                            <a:ahLst/>
                            <a:cxnLst/>
                            <a:rect l="l" t="t" r="r" b="b"/>
                            <a:pathLst>
                              <a:path w="150495" h="603250">
                                <a:moveTo>
                                  <a:pt x="0" y="65024"/>
                                </a:moveTo>
                                <a:lnTo>
                                  <a:pt x="74872" y="601898"/>
                                </a:lnTo>
                              </a:path>
                              <a:path w="150495" h="603250">
                                <a:moveTo>
                                  <a:pt x="74872" y="603201"/>
                                </a:moveTo>
                                <a:lnTo>
                                  <a:pt x="149897" y="0"/>
                                </a:lnTo>
                              </a:path>
                            </a:pathLst>
                          </a:custGeom>
                          <a:ln w="2449">
                            <a:solidFill>
                              <a:srgbClr val="000000"/>
                            </a:solidFill>
                            <a:prstDash val="solid"/>
                          </a:ln>
                        </wps:spPr>
                        <wps:bodyPr wrap="square" lIns="0" tIns="0" rIns="0" bIns="0" rtlCol="0">
                          <a:prstTxWarp prst="textNoShape">
                            <a:avLst/>
                          </a:prstTxWarp>
                          <a:noAutofit/>
                        </wps:bodyPr>
                      </wps:wsp>
                      <wps:wsp>
                        <wps:cNvPr id="162" name="Graphic 162"/>
                        <wps:cNvSpPr/>
                        <wps:spPr>
                          <a:xfrm>
                            <a:off x="2238967" y="617791"/>
                            <a:ext cx="76200" cy="1651000"/>
                          </a:xfrm>
                          <a:custGeom>
                            <a:avLst/>
                            <a:gdLst/>
                            <a:ahLst/>
                            <a:cxnLst/>
                            <a:rect l="l" t="t" r="r" b="b"/>
                            <a:pathLst>
                              <a:path w="76200" h="1651000">
                                <a:moveTo>
                                  <a:pt x="0" y="0"/>
                                </a:moveTo>
                                <a:lnTo>
                                  <a:pt x="0" y="1650445"/>
                                </a:lnTo>
                                <a:lnTo>
                                  <a:pt x="75946" y="1650445"/>
                                </a:lnTo>
                                <a:lnTo>
                                  <a:pt x="75946" y="4560"/>
                                </a:lnTo>
                                <a:lnTo>
                                  <a:pt x="0" y="0"/>
                                </a:lnTo>
                                <a:close/>
                              </a:path>
                            </a:pathLst>
                          </a:custGeom>
                          <a:solidFill>
                            <a:srgbClr val="93BDFF"/>
                          </a:solidFill>
                        </wps:spPr>
                        <wps:bodyPr wrap="square" lIns="0" tIns="0" rIns="0" bIns="0" rtlCol="0">
                          <a:prstTxWarp prst="textNoShape">
                            <a:avLst/>
                          </a:prstTxWarp>
                          <a:noAutofit/>
                        </wps:bodyPr>
                      </wps:wsp>
                      <wps:wsp>
                        <wps:cNvPr id="163" name="Graphic 163"/>
                        <wps:cNvSpPr/>
                        <wps:spPr>
                          <a:xfrm>
                            <a:off x="2238967" y="617791"/>
                            <a:ext cx="76200" cy="1651000"/>
                          </a:xfrm>
                          <a:custGeom>
                            <a:avLst/>
                            <a:gdLst/>
                            <a:ahLst/>
                            <a:cxnLst/>
                            <a:rect l="l" t="t" r="r" b="b"/>
                            <a:pathLst>
                              <a:path w="76200" h="1651000">
                                <a:moveTo>
                                  <a:pt x="0" y="1650445"/>
                                </a:moveTo>
                                <a:lnTo>
                                  <a:pt x="0" y="0"/>
                                </a:lnTo>
                                <a:lnTo>
                                  <a:pt x="75946" y="4560"/>
                                </a:lnTo>
                                <a:lnTo>
                                  <a:pt x="75946" y="1650445"/>
                                </a:lnTo>
                              </a:path>
                            </a:pathLst>
                          </a:custGeom>
                          <a:ln w="2147">
                            <a:solidFill>
                              <a:srgbClr val="93BDFF"/>
                            </a:solidFill>
                            <a:prstDash val="solid"/>
                          </a:ln>
                        </wps:spPr>
                        <wps:bodyPr wrap="square" lIns="0" tIns="0" rIns="0" bIns="0" rtlCol="0">
                          <a:prstTxWarp prst="textNoShape">
                            <a:avLst/>
                          </a:prstTxWarp>
                          <a:noAutofit/>
                        </wps:bodyPr>
                      </wps:wsp>
                      <wps:wsp>
                        <wps:cNvPr id="164" name="Graphic 164"/>
                        <wps:cNvSpPr/>
                        <wps:spPr>
                          <a:xfrm>
                            <a:off x="2163942" y="617791"/>
                            <a:ext cx="148590" cy="604520"/>
                          </a:xfrm>
                          <a:custGeom>
                            <a:avLst/>
                            <a:gdLst/>
                            <a:ahLst/>
                            <a:cxnLst/>
                            <a:rect l="l" t="t" r="r" b="b"/>
                            <a:pathLst>
                              <a:path w="148590" h="604520">
                                <a:moveTo>
                                  <a:pt x="0" y="604244"/>
                                </a:moveTo>
                                <a:lnTo>
                                  <a:pt x="75025" y="1042"/>
                                </a:lnTo>
                              </a:path>
                              <a:path w="148590" h="604520">
                                <a:moveTo>
                                  <a:pt x="75025" y="0"/>
                                </a:moveTo>
                                <a:lnTo>
                                  <a:pt x="148363" y="4560"/>
                                </a:lnTo>
                              </a:path>
                            </a:pathLst>
                          </a:custGeom>
                          <a:ln w="2449">
                            <a:solidFill>
                              <a:srgbClr val="000000"/>
                            </a:solidFill>
                            <a:prstDash val="solid"/>
                          </a:ln>
                        </wps:spPr>
                        <wps:bodyPr wrap="square" lIns="0" tIns="0" rIns="0" bIns="0" rtlCol="0">
                          <a:prstTxWarp prst="textNoShape">
                            <a:avLst/>
                          </a:prstTxWarp>
                          <a:noAutofit/>
                        </wps:bodyPr>
                      </wps:wsp>
                      <wps:wsp>
                        <wps:cNvPr id="165" name="Graphic 165"/>
                        <wps:cNvSpPr/>
                        <wps:spPr>
                          <a:xfrm>
                            <a:off x="2314913" y="370594"/>
                            <a:ext cx="75565" cy="1898014"/>
                          </a:xfrm>
                          <a:custGeom>
                            <a:avLst/>
                            <a:gdLst/>
                            <a:ahLst/>
                            <a:cxnLst/>
                            <a:rect l="l" t="t" r="r" b="b"/>
                            <a:pathLst>
                              <a:path w="75565" h="1898014">
                                <a:moveTo>
                                  <a:pt x="75025" y="0"/>
                                </a:moveTo>
                                <a:lnTo>
                                  <a:pt x="0" y="251757"/>
                                </a:lnTo>
                                <a:lnTo>
                                  <a:pt x="0" y="1897642"/>
                                </a:lnTo>
                                <a:lnTo>
                                  <a:pt x="75025" y="1897642"/>
                                </a:lnTo>
                                <a:lnTo>
                                  <a:pt x="75025" y="0"/>
                                </a:lnTo>
                                <a:close/>
                              </a:path>
                            </a:pathLst>
                          </a:custGeom>
                          <a:solidFill>
                            <a:srgbClr val="93BDFF"/>
                          </a:solidFill>
                        </wps:spPr>
                        <wps:bodyPr wrap="square" lIns="0" tIns="0" rIns="0" bIns="0" rtlCol="0">
                          <a:prstTxWarp prst="textNoShape">
                            <a:avLst/>
                          </a:prstTxWarp>
                          <a:noAutofit/>
                        </wps:bodyPr>
                      </wps:wsp>
                      <wps:wsp>
                        <wps:cNvPr id="166" name="Graphic 166"/>
                        <wps:cNvSpPr/>
                        <wps:spPr>
                          <a:xfrm>
                            <a:off x="2314913" y="370594"/>
                            <a:ext cx="75565" cy="1898014"/>
                          </a:xfrm>
                          <a:custGeom>
                            <a:avLst/>
                            <a:gdLst/>
                            <a:ahLst/>
                            <a:cxnLst/>
                            <a:rect l="l" t="t" r="r" b="b"/>
                            <a:pathLst>
                              <a:path w="75565" h="1898014">
                                <a:moveTo>
                                  <a:pt x="0" y="1897642"/>
                                </a:moveTo>
                                <a:lnTo>
                                  <a:pt x="0" y="251757"/>
                                </a:lnTo>
                                <a:lnTo>
                                  <a:pt x="75025" y="0"/>
                                </a:lnTo>
                                <a:lnTo>
                                  <a:pt x="75025" y="1897642"/>
                                </a:lnTo>
                              </a:path>
                            </a:pathLst>
                          </a:custGeom>
                          <a:ln w="2147">
                            <a:solidFill>
                              <a:srgbClr val="93BDFF"/>
                            </a:solidFill>
                            <a:prstDash val="solid"/>
                          </a:ln>
                        </wps:spPr>
                        <wps:bodyPr wrap="square" lIns="0" tIns="0" rIns="0" bIns="0" rtlCol="0">
                          <a:prstTxWarp prst="textNoShape">
                            <a:avLst/>
                          </a:prstTxWarp>
                          <a:noAutofit/>
                        </wps:bodyPr>
                      </wps:wsp>
                      <wps:wsp>
                        <wps:cNvPr id="167" name="Graphic 167"/>
                        <wps:cNvSpPr/>
                        <wps:spPr>
                          <a:xfrm>
                            <a:off x="2314913" y="371637"/>
                            <a:ext cx="75565" cy="250825"/>
                          </a:xfrm>
                          <a:custGeom>
                            <a:avLst/>
                            <a:gdLst/>
                            <a:ahLst/>
                            <a:cxnLst/>
                            <a:rect l="l" t="t" r="r" b="b"/>
                            <a:pathLst>
                              <a:path w="75565" h="250825">
                                <a:moveTo>
                                  <a:pt x="0" y="250715"/>
                                </a:moveTo>
                                <a:lnTo>
                                  <a:pt x="75025" y="0"/>
                                </a:lnTo>
                              </a:path>
                            </a:pathLst>
                          </a:custGeom>
                          <a:ln w="2615">
                            <a:solidFill>
                              <a:srgbClr val="000000"/>
                            </a:solidFill>
                            <a:prstDash val="solid"/>
                          </a:ln>
                        </wps:spPr>
                        <wps:bodyPr wrap="square" lIns="0" tIns="0" rIns="0" bIns="0" rtlCol="0">
                          <a:prstTxWarp prst="textNoShape">
                            <a:avLst/>
                          </a:prstTxWarp>
                          <a:noAutofit/>
                        </wps:bodyPr>
                      </wps:wsp>
                      <wps:wsp>
                        <wps:cNvPr id="168" name="Graphic 168"/>
                        <wps:cNvSpPr/>
                        <wps:spPr>
                          <a:xfrm>
                            <a:off x="2389939" y="370594"/>
                            <a:ext cx="74930" cy="1898014"/>
                          </a:xfrm>
                          <a:custGeom>
                            <a:avLst/>
                            <a:gdLst/>
                            <a:ahLst/>
                            <a:cxnLst/>
                            <a:rect l="l" t="t" r="r" b="b"/>
                            <a:pathLst>
                              <a:path w="74930" h="1898014">
                                <a:moveTo>
                                  <a:pt x="0" y="0"/>
                                </a:moveTo>
                                <a:lnTo>
                                  <a:pt x="0" y="1897642"/>
                                </a:lnTo>
                                <a:lnTo>
                                  <a:pt x="74411" y="1897642"/>
                                </a:lnTo>
                                <a:lnTo>
                                  <a:pt x="74411" y="60202"/>
                                </a:lnTo>
                                <a:lnTo>
                                  <a:pt x="0" y="0"/>
                                </a:lnTo>
                                <a:close/>
                              </a:path>
                            </a:pathLst>
                          </a:custGeom>
                          <a:solidFill>
                            <a:srgbClr val="93BDFF"/>
                          </a:solidFill>
                        </wps:spPr>
                        <wps:bodyPr wrap="square" lIns="0" tIns="0" rIns="0" bIns="0" rtlCol="0">
                          <a:prstTxWarp prst="textNoShape">
                            <a:avLst/>
                          </a:prstTxWarp>
                          <a:noAutofit/>
                        </wps:bodyPr>
                      </wps:wsp>
                      <wps:wsp>
                        <wps:cNvPr id="169" name="Graphic 169"/>
                        <wps:cNvSpPr/>
                        <wps:spPr>
                          <a:xfrm>
                            <a:off x="2389939" y="370594"/>
                            <a:ext cx="74930" cy="1898014"/>
                          </a:xfrm>
                          <a:custGeom>
                            <a:avLst/>
                            <a:gdLst/>
                            <a:ahLst/>
                            <a:cxnLst/>
                            <a:rect l="l" t="t" r="r" b="b"/>
                            <a:pathLst>
                              <a:path w="74930" h="1898014">
                                <a:moveTo>
                                  <a:pt x="0" y="1897642"/>
                                </a:moveTo>
                                <a:lnTo>
                                  <a:pt x="0" y="0"/>
                                </a:lnTo>
                                <a:lnTo>
                                  <a:pt x="74411" y="60202"/>
                                </a:lnTo>
                                <a:lnTo>
                                  <a:pt x="74411" y="1897642"/>
                                </a:lnTo>
                              </a:path>
                            </a:pathLst>
                          </a:custGeom>
                          <a:ln w="2147">
                            <a:solidFill>
                              <a:srgbClr val="93BDFF"/>
                            </a:solidFill>
                            <a:prstDash val="solid"/>
                          </a:ln>
                        </wps:spPr>
                        <wps:bodyPr wrap="square" lIns="0" tIns="0" rIns="0" bIns="0" rtlCol="0">
                          <a:prstTxWarp prst="textNoShape">
                            <a:avLst/>
                          </a:prstTxWarp>
                          <a:noAutofit/>
                        </wps:bodyPr>
                      </wps:wsp>
                      <wps:wsp>
                        <wps:cNvPr id="170" name="Graphic 170"/>
                        <wps:cNvSpPr/>
                        <wps:spPr>
                          <a:xfrm>
                            <a:off x="2314913" y="370594"/>
                            <a:ext cx="149860" cy="252095"/>
                          </a:xfrm>
                          <a:custGeom>
                            <a:avLst/>
                            <a:gdLst/>
                            <a:ahLst/>
                            <a:cxnLst/>
                            <a:rect l="l" t="t" r="r" b="b"/>
                            <a:pathLst>
                              <a:path w="149860" h="252095">
                                <a:moveTo>
                                  <a:pt x="0" y="251757"/>
                                </a:moveTo>
                                <a:lnTo>
                                  <a:pt x="75025" y="1042"/>
                                </a:lnTo>
                              </a:path>
                              <a:path w="149860" h="252095">
                                <a:moveTo>
                                  <a:pt x="75025" y="0"/>
                                </a:moveTo>
                                <a:lnTo>
                                  <a:pt x="146829" y="59290"/>
                                </a:lnTo>
                              </a:path>
                              <a:path w="149860" h="252095">
                                <a:moveTo>
                                  <a:pt x="149437" y="60202"/>
                                </a:moveTo>
                                <a:lnTo>
                                  <a:pt x="148363" y="60202"/>
                                </a:lnTo>
                              </a:path>
                            </a:pathLst>
                          </a:custGeom>
                          <a:ln w="2449">
                            <a:solidFill>
                              <a:srgbClr val="000000"/>
                            </a:solidFill>
                            <a:prstDash val="solid"/>
                          </a:ln>
                        </wps:spPr>
                        <wps:bodyPr wrap="square" lIns="0" tIns="0" rIns="0" bIns="0" rtlCol="0">
                          <a:prstTxWarp prst="textNoShape">
                            <a:avLst/>
                          </a:prstTxWarp>
                          <a:noAutofit/>
                        </wps:bodyPr>
                      </wps:wsp>
                      <wps:wsp>
                        <wps:cNvPr id="171" name="Graphic 171"/>
                        <wps:cNvSpPr/>
                        <wps:spPr>
                          <a:xfrm>
                            <a:off x="2464351" y="424021"/>
                            <a:ext cx="75565" cy="1844675"/>
                          </a:xfrm>
                          <a:custGeom>
                            <a:avLst/>
                            <a:gdLst/>
                            <a:ahLst/>
                            <a:cxnLst/>
                            <a:rect l="l" t="t" r="r" b="b"/>
                            <a:pathLst>
                              <a:path w="75565" h="1844675">
                                <a:moveTo>
                                  <a:pt x="75025" y="0"/>
                                </a:moveTo>
                                <a:lnTo>
                                  <a:pt x="0" y="6776"/>
                                </a:lnTo>
                                <a:lnTo>
                                  <a:pt x="0" y="1844215"/>
                                </a:lnTo>
                                <a:lnTo>
                                  <a:pt x="75025" y="1844215"/>
                                </a:lnTo>
                                <a:lnTo>
                                  <a:pt x="75025" y="0"/>
                                </a:lnTo>
                                <a:close/>
                              </a:path>
                            </a:pathLst>
                          </a:custGeom>
                          <a:solidFill>
                            <a:srgbClr val="93BDFF"/>
                          </a:solidFill>
                        </wps:spPr>
                        <wps:bodyPr wrap="square" lIns="0" tIns="0" rIns="0" bIns="0" rtlCol="0">
                          <a:prstTxWarp prst="textNoShape">
                            <a:avLst/>
                          </a:prstTxWarp>
                          <a:noAutofit/>
                        </wps:bodyPr>
                      </wps:wsp>
                      <wps:wsp>
                        <wps:cNvPr id="172" name="Graphic 172"/>
                        <wps:cNvSpPr/>
                        <wps:spPr>
                          <a:xfrm>
                            <a:off x="2464351" y="424021"/>
                            <a:ext cx="75565" cy="1844675"/>
                          </a:xfrm>
                          <a:custGeom>
                            <a:avLst/>
                            <a:gdLst/>
                            <a:ahLst/>
                            <a:cxnLst/>
                            <a:rect l="l" t="t" r="r" b="b"/>
                            <a:pathLst>
                              <a:path w="75565" h="1844675">
                                <a:moveTo>
                                  <a:pt x="0" y="1844215"/>
                                </a:moveTo>
                                <a:lnTo>
                                  <a:pt x="0" y="6776"/>
                                </a:lnTo>
                                <a:lnTo>
                                  <a:pt x="75025" y="0"/>
                                </a:lnTo>
                                <a:lnTo>
                                  <a:pt x="75025" y="1844215"/>
                                </a:lnTo>
                              </a:path>
                            </a:pathLst>
                          </a:custGeom>
                          <a:ln w="2147">
                            <a:solidFill>
                              <a:srgbClr val="93BDFF"/>
                            </a:solidFill>
                            <a:prstDash val="solid"/>
                          </a:ln>
                        </wps:spPr>
                        <wps:bodyPr wrap="square" lIns="0" tIns="0" rIns="0" bIns="0" rtlCol="0">
                          <a:prstTxWarp prst="textNoShape">
                            <a:avLst/>
                          </a:prstTxWarp>
                          <a:noAutofit/>
                        </wps:bodyPr>
                      </wps:wsp>
                      <wps:wsp>
                        <wps:cNvPr id="173" name="Graphic 173"/>
                        <wps:cNvSpPr/>
                        <wps:spPr>
                          <a:xfrm>
                            <a:off x="2464351" y="424021"/>
                            <a:ext cx="73025" cy="6985"/>
                          </a:xfrm>
                          <a:custGeom>
                            <a:avLst/>
                            <a:gdLst/>
                            <a:ahLst/>
                            <a:cxnLst/>
                            <a:rect l="l" t="t" r="r" b="b"/>
                            <a:pathLst>
                              <a:path w="73025" h="6985">
                                <a:moveTo>
                                  <a:pt x="0" y="6776"/>
                                </a:moveTo>
                                <a:lnTo>
                                  <a:pt x="72417" y="0"/>
                                </a:lnTo>
                              </a:path>
                            </a:pathLst>
                          </a:custGeom>
                          <a:ln w="2253">
                            <a:solidFill>
                              <a:srgbClr val="000000"/>
                            </a:solidFill>
                            <a:prstDash val="solid"/>
                          </a:ln>
                        </wps:spPr>
                        <wps:bodyPr wrap="square" lIns="0" tIns="0" rIns="0" bIns="0" rtlCol="0">
                          <a:prstTxWarp prst="textNoShape">
                            <a:avLst/>
                          </a:prstTxWarp>
                          <a:noAutofit/>
                        </wps:bodyPr>
                      </wps:wsp>
                      <wps:wsp>
                        <wps:cNvPr id="174" name="Graphic 174"/>
                        <wps:cNvSpPr/>
                        <wps:spPr>
                          <a:xfrm>
                            <a:off x="2539376" y="424021"/>
                            <a:ext cx="74930" cy="1844675"/>
                          </a:xfrm>
                          <a:custGeom>
                            <a:avLst/>
                            <a:gdLst/>
                            <a:ahLst/>
                            <a:cxnLst/>
                            <a:rect l="l" t="t" r="r" b="b"/>
                            <a:pathLst>
                              <a:path w="74930" h="1844675">
                                <a:moveTo>
                                  <a:pt x="0" y="0"/>
                                </a:moveTo>
                                <a:lnTo>
                                  <a:pt x="0" y="1844215"/>
                                </a:lnTo>
                                <a:lnTo>
                                  <a:pt x="74872" y="1844215"/>
                                </a:lnTo>
                                <a:lnTo>
                                  <a:pt x="74872" y="85352"/>
                                </a:lnTo>
                                <a:lnTo>
                                  <a:pt x="0" y="0"/>
                                </a:lnTo>
                                <a:close/>
                              </a:path>
                            </a:pathLst>
                          </a:custGeom>
                          <a:solidFill>
                            <a:srgbClr val="93BDFF"/>
                          </a:solidFill>
                        </wps:spPr>
                        <wps:bodyPr wrap="square" lIns="0" tIns="0" rIns="0" bIns="0" rtlCol="0">
                          <a:prstTxWarp prst="textNoShape">
                            <a:avLst/>
                          </a:prstTxWarp>
                          <a:noAutofit/>
                        </wps:bodyPr>
                      </wps:wsp>
                      <wps:wsp>
                        <wps:cNvPr id="175" name="Graphic 175"/>
                        <wps:cNvSpPr/>
                        <wps:spPr>
                          <a:xfrm>
                            <a:off x="2539376" y="424021"/>
                            <a:ext cx="74930" cy="1844675"/>
                          </a:xfrm>
                          <a:custGeom>
                            <a:avLst/>
                            <a:gdLst/>
                            <a:ahLst/>
                            <a:cxnLst/>
                            <a:rect l="l" t="t" r="r" b="b"/>
                            <a:pathLst>
                              <a:path w="74930" h="1844675">
                                <a:moveTo>
                                  <a:pt x="0" y="1844215"/>
                                </a:moveTo>
                                <a:lnTo>
                                  <a:pt x="0" y="0"/>
                                </a:lnTo>
                                <a:lnTo>
                                  <a:pt x="74872" y="85352"/>
                                </a:lnTo>
                                <a:lnTo>
                                  <a:pt x="74872" y="1844215"/>
                                </a:lnTo>
                              </a:path>
                            </a:pathLst>
                          </a:custGeom>
                          <a:ln w="2147">
                            <a:solidFill>
                              <a:srgbClr val="93BDFF"/>
                            </a:solidFill>
                            <a:prstDash val="solid"/>
                          </a:ln>
                        </wps:spPr>
                        <wps:bodyPr wrap="square" lIns="0" tIns="0" rIns="0" bIns="0" rtlCol="0">
                          <a:prstTxWarp prst="textNoShape">
                            <a:avLst/>
                          </a:prstTxWarp>
                          <a:noAutofit/>
                        </wps:bodyPr>
                      </wps:wsp>
                      <wps:wsp>
                        <wps:cNvPr id="176" name="Graphic 176"/>
                        <wps:cNvSpPr/>
                        <wps:spPr>
                          <a:xfrm>
                            <a:off x="2539376" y="424021"/>
                            <a:ext cx="73660" cy="84455"/>
                          </a:xfrm>
                          <a:custGeom>
                            <a:avLst/>
                            <a:gdLst/>
                            <a:ahLst/>
                            <a:cxnLst/>
                            <a:rect l="l" t="t" r="r" b="b"/>
                            <a:pathLst>
                              <a:path w="73660" h="84455">
                                <a:moveTo>
                                  <a:pt x="0" y="0"/>
                                </a:moveTo>
                                <a:lnTo>
                                  <a:pt x="73337" y="84049"/>
                                </a:lnTo>
                              </a:path>
                            </a:pathLst>
                          </a:custGeom>
                          <a:ln w="2476">
                            <a:solidFill>
                              <a:srgbClr val="000000"/>
                            </a:solidFill>
                            <a:prstDash val="solid"/>
                          </a:ln>
                        </wps:spPr>
                        <wps:bodyPr wrap="square" lIns="0" tIns="0" rIns="0" bIns="0" rtlCol="0">
                          <a:prstTxWarp prst="textNoShape">
                            <a:avLst/>
                          </a:prstTxWarp>
                          <a:noAutofit/>
                        </wps:bodyPr>
                      </wps:wsp>
                      <wps:wsp>
                        <wps:cNvPr id="177" name="Graphic 177"/>
                        <wps:cNvSpPr/>
                        <wps:spPr>
                          <a:xfrm>
                            <a:off x="2614248" y="509374"/>
                            <a:ext cx="76200" cy="1758950"/>
                          </a:xfrm>
                          <a:custGeom>
                            <a:avLst/>
                            <a:gdLst/>
                            <a:ahLst/>
                            <a:cxnLst/>
                            <a:rect l="l" t="t" r="r" b="b"/>
                            <a:pathLst>
                              <a:path w="76200" h="1758950">
                                <a:moveTo>
                                  <a:pt x="0" y="0"/>
                                </a:moveTo>
                                <a:lnTo>
                                  <a:pt x="0" y="1758863"/>
                                </a:lnTo>
                                <a:lnTo>
                                  <a:pt x="76099" y="1758863"/>
                                </a:lnTo>
                                <a:lnTo>
                                  <a:pt x="76099" y="110762"/>
                                </a:lnTo>
                                <a:lnTo>
                                  <a:pt x="0" y="0"/>
                                </a:lnTo>
                                <a:close/>
                              </a:path>
                            </a:pathLst>
                          </a:custGeom>
                          <a:solidFill>
                            <a:srgbClr val="93BDFF"/>
                          </a:solidFill>
                        </wps:spPr>
                        <wps:bodyPr wrap="square" lIns="0" tIns="0" rIns="0" bIns="0" rtlCol="0">
                          <a:prstTxWarp prst="textNoShape">
                            <a:avLst/>
                          </a:prstTxWarp>
                          <a:noAutofit/>
                        </wps:bodyPr>
                      </wps:wsp>
                      <wps:wsp>
                        <wps:cNvPr id="178" name="Graphic 178"/>
                        <wps:cNvSpPr/>
                        <wps:spPr>
                          <a:xfrm>
                            <a:off x="2614248" y="509374"/>
                            <a:ext cx="76200" cy="1758950"/>
                          </a:xfrm>
                          <a:custGeom>
                            <a:avLst/>
                            <a:gdLst/>
                            <a:ahLst/>
                            <a:cxnLst/>
                            <a:rect l="l" t="t" r="r" b="b"/>
                            <a:pathLst>
                              <a:path w="76200" h="1758950">
                                <a:moveTo>
                                  <a:pt x="0" y="1758863"/>
                                </a:moveTo>
                                <a:lnTo>
                                  <a:pt x="0" y="0"/>
                                </a:lnTo>
                                <a:lnTo>
                                  <a:pt x="76099" y="110762"/>
                                </a:lnTo>
                                <a:lnTo>
                                  <a:pt x="76099" y="1758863"/>
                                </a:lnTo>
                              </a:path>
                            </a:pathLst>
                          </a:custGeom>
                          <a:ln w="2147">
                            <a:solidFill>
                              <a:srgbClr val="93BDFF"/>
                            </a:solidFill>
                            <a:prstDash val="solid"/>
                          </a:ln>
                        </wps:spPr>
                        <wps:bodyPr wrap="square" lIns="0" tIns="0" rIns="0" bIns="0" rtlCol="0">
                          <a:prstTxWarp prst="textNoShape">
                            <a:avLst/>
                          </a:prstTxWarp>
                          <a:noAutofit/>
                        </wps:bodyPr>
                      </wps:wsp>
                      <wps:wsp>
                        <wps:cNvPr id="179" name="Graphic 179"/>
                        <wps:cNvSpPr/>
                        <wps:spPr>
                          <a:xfrm>
                            <a:off x="2614248" y="509374"/>
                            <a:ext cx="76200" cy="109855"/>
                          </a:xfrm>
                          <a:custGeom>
                            <a:avLst/>
                            <a:gdLst/>
                            <a:ahLst/>
                            <a:cxnLst/>
                            <a:rect l="l" t="t" r="r" b="b"/>
                            <a:pathLst>
                              <a:path w="76200" h="109855">
                                <a:moveTo>
                                  <a:pt x="0" y="0"/>
                                </a:moveTo>
                                <a:lnTo>
                                  <a:pt x="76099" y="109459"/>
                                </a:lnTo>
                              </a:path>
                            </a:pathLst>
                          </a:custGeom>
                          <a:ln w="2518">
                            <a:solidFill>
                              <a:srgbClr val="000000"/>
                            </a:solidFill>
                            <a:prstDash val="solid"/>
                          </a:ln>
                        </wps:spPr>
                        <wps:bodyPr wrap="square" lIns="0" tIns="0" rIns="0" bIns="0" rtlCol="0">
                          <a:prstTxWarp prst="textNoShape">
                            <a:avLst/>
                          </a:prstTxWarp>
                          <a:noAutofit/>
                        </wps:bodyPr>
                      </wps:wsp>
                      <wps:wsp>
                        <wps:cNvPr id="180" name="Graphic 180"/>
                        <wps:cNvSpPr/>
                        <wps:spPr>
                          <a:xfrm>
                            <a:off x="2690348" y="620137"/>
                            <a:ext cx="74930" cy="1648460"/>
                          </a:xfrm>
                          <a:custGeom>
                            <a:avLst/>
                            <a:gdLst/>
                            <a:ahLst/>
                            <a:cxnLst/>
                            <a:rect l="l" t="t" r="r" b="b"/>
                            <a:pathLst>
                              <a:path w="74930" h="1648460">
                                <a:moveTo>
                                  <a:pt x="0" y="0"/>
                                </a:moveTo>
                                <a:lnTo>
                                  <a:pt x="0" y="1648100"/>
                                </a:lnTo>
                                <a:lnTo>
                                  <a:pt x="74872" y="1648100"/>
                                </a:lnTo>
                                <a:lnTo>
                                  <a:pt x="74872" y="62418"/>
                                </a:lnTo>
                                <a:lnTo>
                                  <a:pt x="0" y="0"/>
                                </a:lnTo>
                                <a:close/>
                              </a:path>
                            </a:pathLst>
                          </a:custGeom>
                          <a:solidFill>
                            <a:srgbClr val="93BDFF"/>
                          </a:solidFill>
                        </wps:spPr>
                        <wps:bodyPr wrap="square" lIns="0" tIns="0" rIns="0" bIns="0" rtlCol="0">
                          <a:prstTxWarp prst="textNoShape">
                            <a:avLst/>
                          </a:prstTxWarp>
                          <a:noAutofit/>
                        </wps:bodyPr>
                      </wps:wsp>
                      <wps:wsp>
                        <wps:cNvPr id="181" name="Graphic 181"/>
                        <wps:cNvSpPr/>
                        <wps:spPr>
                          <a:xfrm>
                            <a:off x="2690348" y="620137"/>
                            <a:ext cx="74930" cy="1648460"/>
                          </a:xfrm>
                          <a:custGeom>
                            <a:avLst/>
                            <a:gdLst/>
                            <a:ahLst/>
                            <a:cxnLst/>
                            <a:rect l="l" t="t" r="r" b="b"/>
                            <a:pathLst>
                              <a:path w="74930" h="1648460">
                                <a:moveTo>
                                  <a:pt x="0" y="1648100"/>
                                </a:moveTo>
                                <a:lnTo>
                                  <a:pt x="0" y="0"/>
                                </a:lnTo>
                                <a:lnTo>
                                  <a:pt x="74872" y="62418"/>
                                </a:lnTo>
                                <a:lnTo>
                                  <a:pt x="74872" y="1648100"/>
                                </a:lnTo>
                              </a:path>
                            </a:pathLst>
                          </a:custGeom>
                          <a:ln w="2147">
                            <a:solidFill>
                              <a:srgbClr val="93BDFF"/>
                            </a:solidFill>
                            <a:prstDash val="solid"/>
                          </a:ln>
                        </wps:spPr>
                        <wps:bodyPr wrap="square" lIns="0" tIns="0" rIns="0" bIns="0" rtlCol="0">
                          <a:prstTxWarp prst="textNoShape">
                            <a:avLst/>
                          </a:prstTxWarp>
                          <a:noAutofit/>
                        </wps:bodyPr>
                      </wps:wsp>
                      <wps:wsp>
                        <wps:cNvPr id="182" name="Graphic 182"/>
                        <wps:cNvSpPr/>
                        <wps:spPr>
                          <a:xfrm>
                            <a:off x="2690348" y="620137"/>
                            <a:ext cx="73660" cy="61594"/>
                          </a:xfrm>
                          <a:custGeom>
                            <a:avLst/>
                            <a:gdLst/>
                            <a:ahLst/>
                            <a:cxnLst/>
                            <a:rect l="l" t="t" r="r" b="b"/>
                            <a:pathLst>
                              <a:path w="73660" h="61594">
                                <a:moveTo>
                                  <a:pt x="0" y="0"/>
                                </a:moveTo>
                                <a:lnTo>
                                  <a:pt x="73337" y="61375"/>
                                </a:lnTo>
                              </a:path>
                            </a:pathLst>
                          </a:custGeom>
                          <a:ln w="2414">
                            <a:solidFill>
                              <a:srgbClr val="000000"/>
                            </a:solidFill>
                            <a:prstDash val="solid"/>
                          </a:ln>
                        </wps:spPr>
                        <wps:bodyPr wrap="square" lIns="0" tIns="0" rIns="0" bIns="0" rtlCol="0">
                          <a:prstTxWarp prst="textNoShape">
                            <a:avLst/>
                          </a:prstTxWarp>
                          <a:noAutofit/>
                        </wps:bodyPr>
                      </wps:wsp>
                      <wps:wsp>
                        <wps:cNvPr id="183" name="Graphic 183"/>
                        <wps:cNvSpPr/>
                        <wps:spPr>
                          <a:xfrm>
                            <a:off x="2765220" y="682555"/>
                            <a:ext cx="74930" cy="1586230"/>
                          </a:xfrm>
                          <a:custGeom>
                            <a:avLst/>
                            <a:gdLst/>
                            <a:ahLst/>
                            <a:cxnLst/>
                            <a:rect l="l" t="t" r="r" b="b"/>
                            <a:pathLst>
                              <a:path w="74930" h="1586230">
                                <a:moveTo>
                                  <a:pt x="0" y="0"/>
                                </a:moveTo>
                                <a:lnTo>
                                  <a:pt x="0" y="1585682"/>
                                </a:lnTo>
                                <a:lnTo>
                                  <a:pt x="74565" y="1585682"/>
                                </a:lnTo>
                                <a:lnTo>
                                  <a:pt x="74565" y="234947"/>
                                </a:lnTo>
                                <a:lnTo>
                                  <a:pt x="0" y="0"/>
                                </a:lnTo>
                                <a:close/>
                              </a:path>
                            </a:pathLst>
                          </a:custGeom>
                          <a:solidFill>
                            <a:srgbClr val="93BDFF"/>
                          </a:solidFill>
                        </wps:spPr>
                        <wps:bodyPr wrap="square" lIns="0" tIns="0" rIns="0" bIns="0" rtlCol="0">
                          <a:prstTxWarp prst="textNoShape">
                            <a:avLst/>
                          </a:prstTxWarp>
                          <a:noAutofit/>
                        </wps:bodyPr>
                      </wps:wsp>
                      <wps:wsp>
                        <wps:cNvPr id="184" name="Graphic 184"/>
                        <wps:cNvSpPr/>
                        <wps:spPr>
                          <a:xfrm>
                            <a:off x="2765220" y="682555"/>
                            <a:ext cx="74930" cy="1586230"/>
                          </a:xfrm>
                          <a:custGeom>
                            <a:avLst/>
                            <a:gdLst/>
                            <a:ahLst/>
                            <a:cxnLst/>
                            <a:rect l="l" t="t" r="r" b="b"/>
                            <a:pathLst>
                              <a:path w="74930" h="1586230">
                                <a:moveTo>
                                  <a:pt x="0" y="1585682"/>
                                </a:moveTo>
                                <a:lnTo>
                                  <a:pt x="0" y="0"/>
                                </a:lnTo>
                                <a:lnTo>
                                  <a:pt x="74565" y="234947"/>
                                </a:lnTo>
                                <a:lnTo>
                                  <a:pt x="74565" y="1585682"/>
                                </a:lnTo>
                              </a:path>
                            </a:pathLst>
                          </a:custGeom>
                          <a:ln w="2147">
                            <a:solidFill>
                              <a:srgbClr val="93BDFF"/>
                            </a:solidFill>
                            <a:prstDash val="solid"/>
                          </a:ln>
                        </wps:spPr>
                        <wps:bodyPr wrap="square" lIns="0" tIns="0" rIns="0" bIns="0" rtlCol="0">
                          <a:prstTxWarp prst="textNoShape">
                            <a:avLst/>
                          </a:prstTxWarp>
                          <a:noAutofit/>
                        </wps:bodyPr>
                      </wps:wsp>
                      <wps:wsp>
                        <wps:cNvPr id="185" name="Graphic 185"/>
                        <wps:cNvSpPr/>
                        <wps:spPr>
                          <a:xfrm>
                            <a:off x="2765220" y="682555"/>
                            <a:ext cx="74930" cy="234950"/>
                          </a:xfrm>
                          <a:custGeom>
                            <a:avLst/>
                            <a:gdLst/>
                            <a:ahLst/>
                            <a:cxnLst/>
                            <a:rect l="l" t="t" r="r" b="b"/>
                            <a:pathLst>
                              <a:path w="74930" h="234950">
                                <a:moveTo>
                                  <a:pt x="0" y="0"/>
                                </a:moveTo>
                                <a:lnTo>
                                  <a:pt x="73491" y="233905"/>
                                </a:lnTo>
                              </a:path>
                              <a:path w="74930" h="234950">
                                <a:moveTo>
                                  <a:pt x="74565" y="234947"/>
                                </a:moveTo>
                                <a:lnTo>
                                  <a:pt x="73491" y="234947"/>
                                </a:lnTo>
                              </a:path>
                            </a:pathLst>
                          </a:custGeom>
                          <a:ln w="2449">
                            <a:solidFill>
                              <a:srgbClr val="000000"/>
                            </a:solidFill>
                            <a:prstDash val="solid"/>
                          </a:ln>
                        </wps:spPr>
                        <wps:bodyPr wrap="square" lIns="0" tIns="0" rIns="0" bIns="0" rtlCol="0">
                          <a:prstTxWarp prst="textNoShape">
                            <a:avLst/>
                          </a:prstTxWarp>
                          <a:noAutofit/>
                        </wps:bodyPr>
                      </wps:wsp>
                      <wps:wsp>
                        <wps:cNvPr id="186" name="Graphic 186"/>
                        <wps:cNvSpPr/>
                        <wps:spPr>
                          <a:xfrm>
                            <a:off x="2839785" y="503510"/>
                            <a:ext cx="74930" cy="1765300"/>
                          </a:xfrm>
                          <a:custGeom>
                            <a:avLst/>
                            <a:gdLst/>
                            <a:ahLst/>
                            <a:cxnLst/>
                            <a:rect l="l" t="t" r="r" b="b"/>
                            <a:pathLst>
                              <a:path w="74930" h="1765300">
                                <a:moveTo>
                                  <a:pt x="74872" y="0"/>
                                </a:moveTo>
                                <a:lnTo>
                                  <a:pt x="0" y="413992"/>
                                </a:lnTo>
                                <a:lnTo>
                                  <a:pt x="0" y="1764727"/>
                                </a:lnTo>
                                <a:lnTo>
                                  <a:pt x="74872" y="1764727"/>
                                </a:lnTo>
                                <a:lnTo>
                                  <a:pt x="74872" y="0"/>
                                </a:lnTo>
                                <a:close/>
                              </a:path>
                            </a:pathLst>
                          </a:custGeom>
                          <a:solidFill>
                            <a:srgbClr val="93BDFF"/>
                          </a:solidFill>
                        </wps:spPr>
                        <wps:bodyPr wrap="square" lIns="0" tIns="0" rIns="0" bIns="0" rtlCol="0">
                          <a:prstTxWarp prst="textNoShape">
                            <a:avLst/>
                          </a:prstTxWarp>
                          <a:noAutofit/>
                        </wps:bodyPr>
                      </wps:wsp>
                      <wps:wsp>
                        <wps:cNvPr id="187" name="Graphic 187"/>
                        <wps:cNvSpPr/>
                        <wps:spPr>
                          <a:xfrm>
                            <a:off x="2839785" y="503510"/>
                            <a:ext cx="74930" cy="1765300"/>
                          </a:xfrm>
                          <a:custGeom>
                            <a:avLst/>
                            <a:gdLst/>
                            <a:ahLst/>
                            <a:cxnLst/>
                            <a:rect l="l" t="t" r="r" b="b"/>
                            <a:pathLst>
                              <a:path w="74930" h="1765300">
                                <a:moveTo>
                                  <a:pt x="0" y="1764727"/>
                                </a:moveTo>
                                <a:lnTo>
                                  <a:pt x="0" y="413992"/>
                                </a:lnTo>
                                <a:lnTo>
                                  <a:pt x="74872" y="0"/>
                                </a:lnTo>
                                <a:lnTo>
                                  <a:pt x="74872" y="1764727"/>
                                </a:lnTo>
                              </a:path>
                            </a:pathLst>
                          </a:custGeom>
                          <a:ln w="2147">
                            <a:solidFill>
                              <a:srgbClr val="93BDFF"/>
                            </a:solidFill>
                            <a:prstDash val="solid"/>
                          </a:ln>
                        </wps:spPr>
                        <wps:bodyPr wrap="square" lIns="0" tIns="0" rIns="0" bIns="0" rtlCol="0">
                          <a:prstTxWarp prst="textNoShape">
                            <a:avLst/>
                          </a:prstTxWarp>
                          <a:noAutofit/>
                        </wps:bodyPr>
                      </wps:wsp>
                      <wps:wsp>
                        <wps:cNvPr id="188" name="Graphic 188"/>
                        <wps:cNvSpPr/>
                        <wps:spPr>
                          <a:xfrm>
                            <a:off x="2765220" y="504813"/>
                            <a:ext cx="149860" cy="412750"/>
                          </a:xfrm>
                          <a:custGeom>
                            <a:avLst/>
                            <a:gdLst/>
                            <a:ahLst/>
                            <a:cxnLst/>
                            <a:rect l="l" t="t" r="r" b="b"/>
                            <a:pathLst>
                              <a:path w="149860" h="412750">
                                <a:moveTo>
                                  <a:pt x="0" y="177741"/>
                                </a:moveTo>
                                <a:lnTo>
                                  <a:pt x="73491" y="411647"/>
                                </a:lnTo>
                              </a:path>
                              <a:path w="149860" h="412750">
                                <a:moveTo>
                                  <a:pt x="74565" y="412689"/>
                                </a:moveTo>
                                <a:lnTo>
                                  <a:pt x="149437" y="0"/>
                                </a:lnTo>
                              </a:path>
                            </a:pathLst>
                          </a:custGeom>
                          <a:ln w="2449">
                            <a:solidFill>
                              <a:srgbClr val="000000"/>
                            </a:solidFill>
                            <a:prstDash val="solid"/>
                          </a:ln>
                        </wps:spPr>
                        <wps:bodyPr wrap="square" lIns="0" tIns="0" rIns="0" bIns="0" rtlCol="0">
                          <a:prstTxWarp prst="textNoShape">
                            <a:avLst/>
                          </a:prstTxWarp>
                          <a:noAutofit/>
                        </wps:bodyPr>
                      </wps:wsp>
                      <wps:wsp>
                        <wps:cNvPr id="189" name="Graphic 189"/>
                        <wps:cNvSpPr/>
                        <wps:spPr>
                          <a:xfrm>
                            <a:off x="2914657" y="503510"/>
                            <a:ext cx="75565" cy="1765300"/>
                          </a:xfrm>
                          <a:custGeom>
                            <a:avLst/>
                            <a:gdLst/>
                            <a:ahLst/>
                            <a:cxnLst/>
                            <a:rect l="l" t="t" r="r" b="b"/>
                            <a:pathLst>
                              <a:path w="75565" h="1765300">
                                <a:moveTo>
                                  <a:pt x="0" y="0"/>
                                </a:moveTo>
                                <a:lnTo>
                                  <a:pt x="0" y="1764727"/>
                                </a:lnTo>
                                <a:lnTo>
                                  <a:pt x="75025" y="1764727"/>
                                </a:lnTo>
                                <a:lnTo>
                                  <a:pt x="75025" y="814693"/>
                                </a:lnTo>
                                <a:lnTo>
                                  <a:pt x="0" y="0"/>
                                </a:lnTo>
                                <a:close/>
                              </a:path>
                            </a:pathLst>
                          </a:custGeom>
                          <a:solidFill>
                            <a:srgbClr val="93BDFF"/>
                          </a:solidFill>
                        </wps:spPr>
                        <wps:bodyPr wrap="square" lIns="0" tIns="0" rIns="0" bIns="0" rtlCol="0">
                          <a:prstTxWarp prst="textNoShape">
                            <a:avLst/>
                          </a:prstTxWarp>
                          <a:noAutofit/>
                        </wps:bodyPr>
                      </wps:wsp>
                      <wps:wsp>
                        <wps:cNvPr id="190" name="Graphic 190"/>
                        <wps:cNvSpPr/>
                        <wps:spPr>
                          <a:xfrm>
                            <a:off x="2914657" y="503510"/>
                            <a:ext cx="75565" cy="1765300"/>
                          </a:xfrm>
                          <a:custGeom>
                            <a:avLst/>
                            <a:gdLst/>
                            <a:ahLst/>
                            <a:cxnLst/>
                            <a:rect l="l" t="t" r="r" b="b"/>
                            <a:pathLst>
                              <a:path w="75565" h="1765300">
                                <a:moveTo>
                                  <a:pt x="0" y="1764727"/>
                                </a:moveTo>
                                <a:lnTo>
                                  <a:pt x="0" y="0"/>
                                </a:lnTo>
                                <a:lnTo>
                                  <a:pt x="75025" y="814693"/>
                                </a:lnTo>
                                <a:lnTo>
                                  <a:pt x="75025" y="1764727"/>
                                </a:lnTo>
                              </a:path>
                            </a:pathLst>
                          </a:custGeom>
                          <a:ln w="2147">
                            <a:solidFill>
                              <a:srgbClr val="93BDFF"/>
                            </a:solidFill>
                            <a:prstDash val="solid"/>
                          </a:ln>
                        </wps:spPr>
                        <wps:bodyPr wrap="square" lIns="0" tIns="0" rIns="0" bIns="0" rtlCol="0">
                          <a:prstTxWarp prst="textNoShape">
                            <a:avLst/>
                          </a:prstTxWarp>
                          <a:noAutofit/>
                        </wps:bodyPr>
                      </wps:wsp>
                      <wps:wsp>
                        <wps:cNvPr id="191" name="Graphic 191"/>
                        <wps:cNvSpPr/>
                        <wps:spPr>
                          <a:xfrm>
                            <a:off x="2839785" y="503510"/>
                            <a:ext cx="150495" cy="813435"/>
                          </a:xfrm>
                          <a:custGeom>
                            <a:avLst/>
                            <a:gdLst/>
                            <a:ahLst/>
                            <a:cxnLst/>
                            <a:rect l="l" t="t" r="r" b="b"/>
                            <a:pathLst>
                              <a:path w="150495" h="813435">
                                <a:moveTo>
                                  <a:pt x="0" y="413992"/>
                                </a:moveTo>
                                <a:lnTo>
                                  <a:pt x="74872" y="1303"/>
                                </a:lnTo>
                              </a:path>
                              <a:path w="150495" h="813435">
                                <a:moveTo>
                                  <a:pt x="74872" y="0"/>
                                </a:moveTo>
                                <a:lnTo>
                                  <a:pt x="149897" y="813390"/>
                                </a:lnTo>
                              </a:path>
                            </a:pathLst>
                          </a:custGeom>
                          <a:ln w="2449">
                            <a:solidFill>
                              <a:srgbClr val="000000"/>
                            </a:solidFill>
                            <a:prstDash val="solid"/>
                          </a:ln>
                        </wps:spPr>
                        <wps:bodyPr wrap="square" lIns="0" tIns="0" rIns="0" bIns="0" rtlCol="0">
                          <a:prstTxWarp prst="textNoShape">
                            <a:avLst/>
                          </a:prstTxWarp>
                          <a:noAutofit/>
                        </wps:bodyPr>
                      </wps:wsp>
                      <wps:wsp>
                        <wps:cNvPr id="192" name="Graphic 192"/>
                        <wps:cNvSpPr/>
                        <wps:spPr>
                          <a:xfrm>
                            <a:off x="2989683" y="486830"/>
                            <a:ext cx="76200" cy="1781810"/>
                          </a:xfrm>
                          <a:custGeom>
                            <a:avLst/>
                            <a:gdLst/>
                            <a:ahLst/>
                            <a:cxnLst/>
                            <a:rect l="l" t="t" r="r" b="b"/>
                            <a:pathLst>
                              <a:path w="76200" h="1781810">
                                <a:moveTo>
                                  <a:pt x="75946" y="0"/>
                                </a:moveTo>
                                <a:lnTo>
                                  <a:pt x="0" y="831373"/>
                                </a:lnTo>
                                <a:lnTo>
                                  <a:pt x="0" y="1781406"/>
                                </a:lnTo>
                                <a:lnTo>
                                  <a:pt x="75946" y="1781406"/>
                                </a:lnTo>
                                <a:lnTo>
                                  <a:pt x="75946" y="0"/>
                                </a:lnTo>
                                <a:close/>
                              </a:path>
                            </a:pathLst>
                          </a:custGeom>
                          <a:solidFill>
                            <a:srgbClr val="93BDFF"/>
                          </a:solidFill>
                        </wps:spPr>
                        <wps:bodyPr wrap="square" lIns="0" tIns="0" rIns="0" bIns="0" rtlCol="0">
                          <a:prstTxWarp prst="textNoShape">
                            <a:avLst/>
                          </a:prstTxWarp>
                          <a:noAutofit/>
                        </wps:bodyPr>
                      </wps:wsp>
                      <wps:wsp>
                        <wps:cNvPr id="193" name="Graphic 193"/>
                        <wps:cNvSpPr/>
                        <wps:spPr>
                          <a:xfrm>
                            <a:off x="2989683" y="486830"/>
                            <a:ext cx="76200" cy="1781810"/>
                          </a:xfrm>
                          <a:custGeom>
                            <a:avLst/>
                            <a:gdLst/>
                            <a:ahLst/>
                            <a:cxnLst/>
                            <a:rect l="l" t="t" r="r" b="b"/>
                            <a:pathLst>
                              <a:path w="76200" h="1781810">
                                <a:moveTo>
                                  <a:pt x="0" y="1781406"/>
                                </a:moveTo>
                                <a:lnTo>
                                  <a:pt x="0" y="831373"/>
                                </a:lnTo>
                                <a:lnTo>
                                  <a:pt x="75946" y="0"/>
                                </a:lnTo>
                                <a:lnTo>
                                  <a:pt x="75946" y="1781406"/>
                                </a:lnTo>
                              </a:path>
                            </a:pathLst>
                          </a:custGeom>
                          <a:ln w="2147">
                            <a:solidFill>
                              <a:srgbClr val="93BDFF"/>
                            </a:solidFill>
                            <a:prstDash val="solid"/>
                          </a:ln>
                        </wps:spPr>
                        <wps:bodyPr wrap="square" lIns="0" tIns="0" rIns="0" bIns="0" rtlCol="0">
                          <a:prstTxWarp prst="textNoShape">
                            <a:avLst/>
                          </a:prstTxWarp>
                          <a:noAutofit/>
                        </wps:bodyPr>
                      </wps:wsp>
                      <wps:wsp>
                        <wps:cNvPr id="194" name="Graphic 194"/>
                        <wps:cNvSpPr/>
                        <wps:spPr>
                          <a:xfrm>
                            <a:off x="2914657" y="488133"/>
                            <a:ext cx="151130" cy="830580"/>
                          </a:xfrm>
                          <a:custGeom>
                            <a:avLst/>
                            <a:gdLst/>
                            <a:ahLst/>
                            <a:cxnLst/>
                            <a:rect l="l" t="t" r="r" b="b"/>
                            <a:pathLst>
                              <a:path w="151130" h="830580">
                                <a:moveTo>
                                  <a:pt x="0" y="15376"/>
                                </a:moveTo>
                                <a:lnTo>
                                  <a:pt x="75025" y="828767"/>
                                </a:lnTo>
                              </a:path>
                              <a:path w="151130" h="830580">
                                <a:moveTo>
                                  <a:pt x="75025" y="830070"/>
                                </a:moveTo>
                                <a:lnTo>
                                  <a:pt x="150971" y="0"/>
                                </a:lnTo>
                              </a:path>
                            </a:pathLst>
                          </a:custGeom>
                          <a:ln w="2449">
                            <a:solidFill>
                              <a:srgbClr val="000000"/>
                            </a:solidFill>
                            <a:prstDash val="solid"/>
                          </a:ln>
                        </wps:spPr>
                        <wps:bodyPr wrap="square" lIns="0" tIns="0" rIns="0" bIns="0" rtlCol="0">
                          <a:prstTxWarp prst="textNoShape">
                            <a:avLst/>
                          </a:prstTxWarp>
                          <a:noAutofit/>
                        </wps:bodyPr>
                      </wps:wsp>
                      <wps:wsp>
                        <wps:cNvPr id="195" name="Graphic 195"/>
                        <wps:cNvSpPr/>
                        <wps:spPr>
                          <a:xfrm>
                            <a:off x="3065629" y="486830"/>
                            <a:ext cx="75565" cy="1781810"/>
                          </a:xfrm>
                          <a:custGeom>
                            <a:avLst/>
                            <a:gdLst/>
                            <a:ahLst/>
                            <a:cxnLst/>
                            <a:rect l="l" t="t" r="r" b="b"/>
                            <a:pathLst>
                              <a:path w="75565" h="1781810">
                                <a:moveTo>
                                  <a:pt x="0" y="0"/>
                                </a:moveTo>
                                <a:lnTo>
                                  <a:pt x="0" y="1781406"/>
                                </a:lnTo>
                                <a:lnTo>
                                  <a:pt x="75025" y="1781406"/>
                                </a:lnTo>
                                <a:lnTo>
                                  <a:pt x="75025" y="30231"/>
                                </a:lnTo>
                                <a:lnTo>
                                  <a:pt x="0" y="0"/>
                                </a:lnTo>
                                <a:close/>
                              </a:path>
                            </a:pathLst>
                          </a:custGeom>
                          <a:solidFill>
                            <a:srgbClr val="93BDFF"/>
                          </a:solidFill>
                        </wps:spPr>
                        <wps:bodyPr wrap="square" lIns="0" tIns="0" rIns="0" bIns="0" rtlCol="0">
                          <a:prstTxWarp prst="textNoShape">
                            <a:avLst/>
                          </a:prstTxWarp>
                          <a:noAutofit/>
                        </wps:bodyPr>
                      </wps:wsp>
                      <wps:wsp>
                        <wps:cNvPr id="196" name="Graphic 196"/>
                        <wps:cNvSpPr/>
                        <wps:spPr>
                          <a:xfrm>
                            <a:off x="3065629" y="486830"/>
                            <a:ext cx="75565" cy="1781810"/>
                          </a:xfrm>
                          <a:custGeom>
                            <a:avLst/>
                            <a:gdLst/>
                            <a:ahLst/>
                            <a:cxnLst/>
                            <a:rect l="l" t="t" r="r" b="b"/>
                            <a:pathLst>
                              <a:path w="75565" h="1781810">
                                <a:moveTo>
                                  <a:pt x="0" y="1781406"/>
                                </a:moveTo>
                                <a:lnTo>
                                  <a:pt x="0" y="0"/>
                                </a:lnTo>
                                <a:lnTo>
                                  <a:pt x="75025" y="30231"/>
                                </a:lnTo>
                                <a:lnTo>
                                  <a:pt x="75025" y="1781406"/>
                                </a:lnTo>
                              </a:path>
                            </a:pathLst>
                          </a:custGeom>
                          <a:ln w="2147">
                            <a:solidFill>
                              <a:srgbClr val="93BDFF"/>
                            </a:solidFill>
                            <a:prstDash val="solid"/>
                          </a:ln>
                        </wps:spPr>
                        <wps:bodyPr wrap="square" lIns="0" tIns="0" rIns="0" bIns="0" rtlCol="0">
                          <a:prstTxWarp prst="textNoShape">
                            <a:avLst/>
                          </a:prstTxWarp>
                          <a:noAutofit/>
                        </wps:bodyPr>
                      </wps:wsp>
                      <wps:wsp>
                        <wps:cNvPr id="197" name="Graphic 197"/>
                        <wps:cNvSpPr/>
                        <wps:spPr>
                          <a:xfrm>
                            <a:off x="2989683" y="486830"/>
                            <a:ext cx="149860" cy="831850"/>
                          </a:xfrm>
                          <a:custGeom>
                            <a:avLst/>
                            <a:gdLst/>
                            <a:ahLst/>
                            <a:cxnLst/>
                            <a:rect l="l" t="t" r="r" b="b"/>
                            <a:pathLst>
                              <a:path w="149860" h="831850">
                                <a:moveTo>
                                  <a:pt x="0" y="831373"/>
                                </a:moveTo>
                                <a:lnTo>
                                  <a:pt x="75946" y="1303"/>
                                </a:lnTo>
                              </a:path>
                              <a:path w="149860" h="831850">
                                <a:moveTo>
                                  <a:pt x="75946" y="0"/>
                                </a:moveTo>
                                <a:lnTo>
                                  <a:pt x="149437" y="30231"/>
                                </a:lnTo>
                              </a:path>
                            </a:pathLst>
                          </a:custGeom>
                          <a:ln w="2449">
                            <a:solidFill>
                              <a:srgbClr val="000000"/>
                            </a:solidFill>
                            <a:prstDash val="solid"/>
                          </a:ln>
                        </wps:spPr>
                        <wps:bodyPr wrap="square" lIns="0" tIns="0" rIns="0" bIns="0" rtlCol="0">
                          <a:prstTxWarp prst="textNoShape">
                            <a:avLst/>
                          </a:prstTxWarp>
                          <a:noAutofit/>
                        </wps:bodyPr>
                      </wps:wsp>
                      <wps:wsp>
                        <wps:cNvPr id="198" name="Graphic 198"/>
                        <wps:cNvSpPr/>
                        <wps:spPr>
                          <a:xfrm>
                            <a:off x="3140655" y="382843"/>
                            <a:ext cx="74930" cy="1885950"/>
                          </a:xfrm>
                          <a:custGeom>
                            <a:avLst/>
                            <a:gdLst/>
                            <a:ahLst/>
                            <a:cxnLst/>
                            <a:rect l="l" t="t" r="r" b="b"/>
                            <a:pathLst>
                              <a:path w="74930" h="1885950">
                                <a:moveTo>
                                  <a:pt x="74411" y="0"/>
                                </a:moveTo>
                                <a:lnTo>
                                  <a:pt x="0" y="134218"/>
                                </a:lnTo>
                                <a:lnTo>
                                  <a:pt x="0" y="1885393"/>
                                </a:lnTo>
                                <a:lnTo>
                                  <a:pt x="74411" y="1885393"/>
                                </a:lnTo>
                                <a:lnTo>
                                  <a:pt x="74411" y="0"/>
                                </a:lnTo>
                                <a:close/>
                              </a:path>
                            </a:pathLst>
                          </a:custGeom>
                          <a:solidFill>
                            <a:srgbClr val="93BDFF"/>
                          </a:solidFill>
                        </wps:spPr>
                        <wps:bodyPr wrap="square" lIns="0" tIns="0" rIns="0" bIns="0" rtlCol="0">
                          <a:prstTxWarp prst="textNoShape">
                            <a:avLst/>
                          </a:prstTxWarp>
                          <a:noAutofit/>
                        </wps:bodyPr>
                      </wps:wsp>
                      <wps:wsp>
                        <wps:cNvPr id="199" name="Graphic 199"/>
                        <wps:cNvSpPr/>
                        <wps:spPr>
                          <a:xfrm>
                            <a:off x="3140655" y="382843"/>
                            <a:ext cx="74930" cy="1885950"/>
                          </a:xfrm>
                          <a:custGeom>
                            <a:avLst/>
                            <a:gdLst/>
                            <a:ahLst/>
                            <a:cxnLst/>
                            <a:rect l="l" t="t" r="r" b="b"/>
                            <a:pathLst>
                              <a:path w="74930" h="1885950">
                                <a:moveTo>
                                  <a:pt x="0" y="1885393"/>
                                </a:moveTo>
                                <a:lnTo>
                                  <a:pt x="0" y="134218"/>
                                </a:lnTo>
                                <a:lnTo>
                                  <a:pt x="74411" y="0"/>
                                </a:lnTo>
                                <a:lnTo>
                                  <a:pt x="74411" y="1885393"/>
                                </a:lnTo>
                              </a:path>
                            </a:pathLst>
                          </a:custGeom>
                          <a:ln w="2147">
                            <a:solidFill>
                              <a:srgbClr val="93BDFF"/>
                            </a:solidFill>
                            <a:prstDash val="solid"/>
                          </a:ln>
                        </wps:spPr>
                        <wps:bodyPr wrap="square" lIns="0" tIns="0" rIns="0" bIns="0" rtlCol="0">
                          <a:prstTxWarp prst="textNoShape">
                            <a:avLst/>
                          </a:prstTxWarp>
                          <a:noAutofit/>
                        </wps:bodyPr>
                      </wps:wsp>
                      <wps:wsp>
                        <wps:cNvPr id="200" name="Graphic 200"/>
                        <wps:cNvSpPr/>
                        <wps:spPr>
                          <a:xfrm>
                            <a:off x="3140654" y="382844"/>
                            <a:ext cx="74930" cy="134620"/>
                          </a:xfrm>
                          <a:custGeom>
                            <a:avLst/>
                            <a:gdLst/>
                            <a:ahLst/>
                            <a:cxnLst/>
                            <a:rect l="l" t="t" r="r" b="b"/>
                            <a:pathLst>
                              <a:path w="74930" h="134620">
                                <a:moveTo>
                                  <a:pt x="0" y="134218"/>
                                </a:moveTo>
                                <a:lnTo>
                                  <a:pt x="73337" y="912"/>
                                </a:lnTo>
                              </a:path>
                              <a:path w="74930" h="134620">
                                <a:moveTo>
                                  <a:pt x="74411" y="0"/>
                                </a:moveTo>
                                <a:lnTo>
                                  <a:pt x="73337" y="0"/>
                                </a:lnTo>
                              </a:path>
                            </a:pathLst>
                          </a:custGeom>
                          <a:ln w="2449">
                            <a:solidFill>
                              <a:srgbClr val="000000"/>
                            </a:solidFill>
                            <a:prstDash val="solid"/>
                          </a:ln>
                        </wps:spPr>
                        <wps:bodyPr wrap="square" lIns="0" tIns="0" rIns="0" bIns="0" rtlCol="0">
                          <a:prstTxWarp prst="textNoShape">
                            <a:avLst/>
                          </a:prstTxWarp>
                          <a:noAutofit/>
                        </wps:bodyPr>
                      </wps:wsp>
                      <wps:wsp>
                        <wps:cNvPr id="201" name="Graphic 201"/>
                        <wps:cNvSpPr/>
                        <wps:spPr>
                          <a:xfrm>
                            <a:off x="3215066" y="246410"/>
                            <a:ext cx="75565" cy="2021839"/>
                          </a:xfrm>
                          <a:custGeom>
                            <a:avLst/>
                            <a:gdLst/>
                            <a:ahLst/>
                            <a:cxnLst/>
                            <a:rect l="l" t="t" r="r" b="b"/>
                            <a:pathLst>
                              <a:path w="75565" h="2021839">
                                <a:moveTo>
                                  <a:pt x="75025" y="0"/>
                                </a:moveTo>
                                <a:lnTo>
                                  <a:pt x="0" y="136433"/>
                                </a:lnTo>
                                <a:lnTo>
                                  <a:pt x="0" y="2021827"/>
                                </a:lnTo>
                                <a:lnTo>
                                  <a:pt x="75025" y="2021827"/>
                                </a:lnTo>
                                <a:lnTo>
                                  <a:pt x="75025" y="0"/>
                                </a:lnTo>
                                <a:close/>
                              </a:path>
                            </a:pathLst>
                          </a:custGeom>
                          <a:solidFill>
                            <a:srgbClr val="93BDFF"/>
                          </a:solidFill>
                        </wps:spPr>
                        <wps:bodyPr wrap="square" lIns="0" tIns="0" rIns="0" bIns="0" rtlCol="0">
                          <a:prstTxWarp prst="textNoShape">
                            <a:avLst/>
                          </a:prstTxWarp>
                          <a:noAutofit/>
                        </wps:bodyPr>
                      </wps:wsp>
                      <wps:wsp>
                        <wps:cNvPr id="202" name="Graphic 202"/>
                        <wps:cNvSpPr/>
                        <wps:spPr>
                          <a:xfrm>
                            <a:off x="3215066" y="246410"/>
                            <a:ext cx="75565" cy="2021839"/>
                          </a:xfrm>
                          <a:custGeom>
                            <a:avLst/>
                            <a:gdLst/>
                            <a:ahLst/>
                            <a:cxnLst/>
                            <a:rect l="l" t="t" r="r" b="b"/>
                            <a:pathLst>
                              <a:path w="75565" h="2021839">
                                <a:moveTo>
                                  <a:pt x="0" y="2021827"/>
                                </a:moveTo>
                                <a:lnTo>
                                  <a:pt x="0" y="136433"/>
                                </a:lnTo>
                                <a:lnTo>
                                  <a:pt x="75025" y="0"/>
                                </a:lnTo>
                                <a:lnTo>
                                  <a:pt x="75025" y="2021827"/>
                                </a:lnTo>
                              </a:path>
                            </a:pathLst>
                          </a:custGeom>
                          <a:ln w="2147">
                            <a:solidFill>
                              <a:srgbClr val="93BDFF"/>
                            </a:solidFill>
                            <a:prstDash val="solid"/>
                          </a:ln>
                        </wps:spPr>
                        <wps:bodyPr wrap="square" lIns="0" tIns="0" rIns="0" bIns="0" rtlCol="0">
                          <a:prstTxWarp prst="textNoShape">
                            <a:avLst/>
                          </a:prstTxWarp>
                          <a:noAutofit/>
                        </wps:bodyPr>
                      </wps:wsp>
                      <wps:wsp>
                        <wps:cNvPr id="203" name="Graphic 203"/>
                        <wps:cNvSpPr/>
                        <wps:spPr>
                          <a:xfrm>
                            <a:off x="3140654" y="247322"/>
                            <a:ext cx="149860" cy="269875"/>
                          </a:xfrm>
                          <a:custGeom>
                            <a:avLst/>
                            <a:gdLst/>
                            <a:ahLst/>
                            <a:cxnLst/>
                            <a:rect l="l" t="t" r="r" b="b"/>
                            <a:pathLst>
                              <a:path w="149860" h="269875">
                                <a:moveTo>
                                  <a:pt x="0" y="269740"/>
                                </a:moveTo>
                                <a:lnTo>
                                  <a:pt x="73337" y="136433"/>
                                </a:lnTo>
                              </a:path>
                              <a:path w="149860" h="269875">
                                <a:moveTo>
                                  <a:pt x="74411" y="135521"/>
                                </a:moveTo>
                                <a:lnTo>
                                  <a:pt x="149437" y="0"/>
                                </a:lnTo>
                              </a:path>
                            </a:pathLst>
                          </a:custGeom>
                          <a:ln w="2449">
                            <a:solidFill>
                              <a:srgbClr val="000000"/>
                            </a:solidFill>
                            <a:prstDash val="solid"/>
                          </a:ln>
                        </wps:spPr>
                        <wps:bodyPr wrap="square" lIns="0" tIns="0" rIns="0" bIns="0" rtlCol="0">
                          <a:prstTxWarp prst="textNoShape">
                            <a:avLst/>
                          </a:prstTxWarp>
                          <a:noAutofit/>
                        </wps:bodyPr>
                      </wps:wsp>
                      <wps:wsp>
                        <wps:cNvPr id="204" name="Graphic 204"/>
                        <wps:cNvSpPr/>
                        <wps:spPr>
                          <a:xfrm>
                            <a:off x="3290092" y="246410"/>
                            <a:ext cx="74930" cy="2021839"/>
                          </a:xfrm>
                          <a:custGeom>
                            <a:avLst/>
                            <a:gdLst/>
                            <a:ahLst/>
                            <a:cxnLst/>
                            <a:rect l="l" t="t" r="r" b="b"/>
                            <a:pathLst>
                              <a:path w="74930" h="2021839">
                                <a:moveTo>
                                  <a:pt x="0" y="0"/>
                                </a:moveTo>
                                <a:lnTo>
                                  <a:pt x="0" y="2021827"/>
                                </a:lnTo>
                                <a:lnTo>
                                  <a:pt x="74872" y="2021827"/>
                                </a:lnTo>
                                <a:lnTo>
                                  <a:pt x="74872" y="148682"/>
                                </a:lnTo>
                                <a:lnTo>
                                  <a:pt x="0" y="0"/>
                                </a:lnTo>
                                <a:close/>
                              </a:path>
                            </a:pathLst>
                          </a:custGeom>
                          <a:solidFill>
                            <a:srgbClr val="93BDFF"/>
                          </a:solidFill>
                        </wps:spPr>
                        <wps:bodyPr wrap="square" lIns="0" tIns="0" rIns="0" bIns="0" rtlCol="0">
                          <a:prstTxWarp prst="textNoShape">
                            <a:avLst/>
                          </a:prstTxWarp>
                          <a:noAutofit/>
                        </wps:bodyPr>
                      </wps:wsp>
                      <wps:wsp>
                        <wps:cNvPr id="205" name="Graphic 205"/>
                        <wps:cNvSpPr/>
                        <wps:spPr>
                          <a:xfrm>
                            <a:off x="3290092" y="246410"/>
                            <a:ext cx="74930" cy="2021839"/>
                          </a:xfrm>
                          <a:custGeom>
                            <a:avLst/>
                            <a:gdLst/>
                            <a:ahLst/>
                            <a:cxnLst/>
                            <a:rect l="l" t="t" r="r" b="b"/>
                            <a:pathLst>
                              <a:path w="74930" h="2021839">
                                <a:moveTo>
                                  <a:pt x="0" y="2021827"/>
                                </a:moveTo>
                                <a:lnTo>
                                  <a:pt x="0" y="0"/>
                                </a:lnTo>
                                <a:lnTo>
                                  <a:pt x="74872" y="148682"/>
                                </a:lnTo>
                                <a:lnTo>
                                  <a:pt x="74872" y="2021827"/>
                                </a:lnTo>
                              </a:path>
                            </a:pathLst>
                          </a:custGeom>
                          <a:ln w="2147">
                            <a:solidFill>
                              <a:srgbClr val="93BDFF"/>
                            </a:solidFill>
                            <a:prstDash val="solid"/>
                          </a:ln>
                        </wps:spPr>
                        <wps:bodyPr wrap="square" lIns="0" tIns="0" rIns="0" bIns="0" rtlCol="0">
                          <a:prstTxWarp prst="textNoShape">
                            <a:avLst/>
                          </a:prstTxWarp>
                          <a:noAutofit/>
                        </wps:bodyPr>
                      </wps:wsp>
                      <wps:wsp>
                        <wps:cNvPr id="206" name="Graphic 206"/>
                        <wps:cNvSpPr/>
                        <wps:spPr>
                          <a:xfrm>
                            <a:off x="3215066" y="246410"/>
                            <a:ext cx="150495" cy="147955"/>
                          </a:xfrm>
                          <a:custGeom>
                            <a:avLst/>
                            <a:gdLst/>
                            <a:ahLst/>
                            <a:cxnLst/>
                            <a:rect l="l" t="t" r="r" b="b"/>
                            <a:pathLst>
                              <a:path w="150495" h="147955">
                                <a:moveTo>
                                  <a:pt x="0" y="136433"/>
                                </a:moveTo>
                                <a:lnTo>
                                  <a:pt x="75025" y="912"/>
                                </a:lnTo>
                              </a:path>
                              <a:path w="150495" h="147955">
                                <a:moveTo>
                                  <a:pt x="75025" y="0"/>
                                </a:moveTo>
                                <a:lnTo>
                                  <a:pt x="149897" y="147770"/>
                                </a:lnTo>
                              </a:path>
                            </a:pathLst>
                          </a:custGeom>
                          <a:ln w="2449">
                            <a:solidFill>
                              <a:srgbClr val="000000"/>
                            </a:solidFill>
                            <a:prstDash val="solid"/>
                          </a:ln>
                        </wps:spPr>
                        <wps:bodyPr wrap="square" lIns="0" tIns="0" rIns="0" bIns="0" rtlCol="0">
                          <a:prstTxWarp prst="textNoShape">
                            <a:avLst/>
                          </a:prstTxWarp>
                          <a:noAutofit/>
                        </wps:bodyPr>
                      </wps:wsp>
                      <wps:wsp>
                        <wps:cNvPr id="207" name="Graphic 207"/>
                        <wps:cNvSpPr/>
                        <wps:spPr>
                          <a:xfrm>
                            <a:off x="3364964" y="291106"/>
                            <a:ext cx="76200" cy="1977389"/>
                          </a:xfrm>
                          <a:custGeom>
                            <a:avLst/>
                            <a:gdLst/>
                            <a:ahLst/>
                            <a:cxnLst/>
                            <a:rect l="l" t="t" r="r" b="b"/>
                            <a:pathLst>
                              <a:path w="76200" h="1977389">
                                <a:moveTo>
                                  <a:pt x="76099" y="0"/>
                                </a:moveTo>
                                <a:lnTo>
                                  <a:pt x="0" y="103986"/>
                                </a:lnTo>
                                <a:lnTo>
                                  <a:pt x="0" y="1977131"/>
                                </a:lnTo>
                                <a:lnTo>
                                  <a:pt x="76099" y="1977131"/>
                                </a:lnTo>
                                <a:lnTo>
                                  <a:pt x="76099" y="0"/>
                                </a:lnTo>
                                <a:close/>
                              </a:path>
                            </a:pathLst>
                          </a:custGeom>
                          <a:solidFill>
                            <a:srgbClr val="93BDFF"/>
                          </a:solidFill>
                        </wps:spPr>
                        <wps:bodyPr wrap="square" lIns="0" tIns="0" rIns="0" bIns="0" rtlCol="0">
                          <a:prstTxWarp prst="textNoShape">
                            <a:avLst/>
                          </a:prstTxWarp>
                          <a:noAutofit/>
                        </wps:bodyPr>
                      </wps:wsp>
                      <wps:wsp>
                        <wps:cNvPr id="208" name="Graphic 208"/>
                        <wps:cNvSpPr/>
                        <wps:spPr>
                          <a:xfrm>
                            <a:off x="3364964" y="291106"/>
                            <a:ext cx="76200" cy="1977389"/>
                          </a:xfrm>
                          <a:custGeom>
                            <a:avLst/>
                            <a:gdLst/>
                            <a:ahLst/>
                            <a:cxnLst/>
                            <a:rect l="l" t="t" r="r" b="b"/>
                            <a:pathLst>
                              <a:path w="76200" h="1977389">
                                <a:moveTo>
                                  <a:pt x="0" y="1977131"/>
                                </a:moveTo>
                                <a:lnTo>
                                  <a:pt x="0" y="103986"/>
                                </a:lnTo>
                                <a:lnTo>
                                  <a:pt x="76099" y="0"/>
                                </a:lnTo>
                                <a:lnTo>
                                  <a:pt x="76099" y="1977131"/>
                                </a:lnTo>
                              </a:path>
                            </a:pathLst>
                          </a:custGeom>
                          <a:ln w="2147">
                            <a:solidFill>
                              <a:srgbClr val="93BDFF"/>
                            </a:solidFill>
                            <a:prstDash val="solid"/>
                          </a:ln>
                        </wps:spPr>
                        <wps:bodyPr wrap="square" lIns="0" tIns="0" rIns="0" bIns="0" rtlCol="0">
                          <a:prstTxWarp prst="textNoShape">
                            <a:avLst/>
                          </a:prstTxWarp>
                          <a:noAutofit/>
                        </wps:bodyPr>
                      </wps:wsp>
                      <wps:wsp>
                        <wps:cNvPr id="209" name="Graphic 209"/>
                        <wps:cNvSpPr/>
                        <wps:spPr>
                          <a:xfrm>
                            <a:off x="3290092" y="246410"/>
                            <a:ext cx="151130" cy="149225"/>
                          </a:xfrm>
                          <a:custGeom>
                            <a:avLst/>
                            <a:gdLst/>
                            <a:ahLst/>
                            <a:cxnLst/>
                            <a:rect l="l" t="t" r="r" b="b"/>
                            <a:pathLst>
                              <a:path w="151130" h="149225">
                                <a:moveTo>
                                  <a:pt x="0" y="0"/>
                                </a:moveTo>
                                <a:lnTo>
                                  <a:pt x="74872" y="147770"/>
                                </a:lnTo>
                              </a:path>
                              <a:path w="151130" h="149225">
                                <a:moveTo>
                                  <a:pt x="74872" y="148682"/>
                                </a:moveTo>
                                <a:lnTo>
                                  <a:pt x="150971" y="45608"/>
                                </a:lnTo>
                              </a:path>
                            </a:pathLst>
                          </a:custGeom>
                          <a:ln w="2449">
                            <a:solidFill>
                              <a:srgbClr val="000000"/>
                            </a:solidFill>
                            <a:prstDash val="solid"/>
                          </a:ln>
                        </wps:spPr>
                        <wps:bodyPr wrap="square" lIns="0" tIns="0" rIns="0" bIns="0" rtlCol="0">
                          <a:prstTxWarp prst="textNoShape">
                            <a:avLst/>
                          </a:prstTxWarp>
                          <a:noAutofit/>
                        </wps:bodyPr>
                      </wps:wsp>
                      <wps:wsp>
                        <wps:cNvPr id="210" name="Graphic 210"/>
                        <wps:cNvSpPr/>
                        <wps:spPr>
                          <a:xfrm>
                            <a:off x="3441063" y="291106"/>
                            <a:ext cx="74930" cy="1977389"/>
                          </a:xfrm>
                          <a:custGeom>
                            <a:avLst/>
                            <a:gdLst/>
                            <a:ahLst/>
                            <a:cxnLst/>
                            <a:rect l="l" t="t" r="r" b="b"/>
                            <a:pathLst>
                              <a:path w="74930" h="1977389">
                                <a:moveTo>
                                  <a:pt x="0" y="0"/>
                                </a:moveTo>
                                <a:lnTo>
                                  <a:pt x="0" y="1977131"/>
                                </a:lnTo>
                                <a:lnTo>
                                  <a:pt x="74872" y="1977131"/>
                                </a:lnTo>
                                <a:lnTo>
                                  <a:pt x="74872" y="123012"/>
                                </a:lnTo>
                                <a:lnTo>
                                  <a:pt x="0" y="0"/>
                                </a:lnTo>
                                <a:close/>
                              </a:path>
                            </a:pathLst>
                          </a:custGeom>
                          <a:solidFill>
                            <a:srgbClr val="93BDFF"/>
                          </a:solidFill>
                        </wps:spPr>
                        <wps:bodyPr wrap="square" lIns="0" tIns="0" rIns="0" bIns="0" rtlCol="0">
                          <a:prstTxWarp prst="textNoShape">
                            <a:avLst/>
                          </a:prstTxWarp>
                          <a:noAutofit/>
                        </wps:bodyPr>
                      </wps:wsp>
                      <wps:wsp>
                        <wps:cNvPr id="211" name="Graphic 211"/>
                        <wps:cNvSpPr/>
                        <wps:spPr>
                          <a:xfrm>
                            <a:off x="3441063" y="291106"/>
                            <a:ext cx="74930" cy="1977389"/>
                          </a:xfrm>
                          <a:custGeom>
                            <a:avLst/>
                            <a:gdLst/>
                            <a:ahLst/>
                            <a:cxnLst/>
                            <a:rect l="l" t="t" r="r" b="b"/>
                            <a:pathLst>
                              <a:path w="74930" h="1977389">
                                <a:moveTo>
                                  <a:pt x="0" y="1977131"/>
                                </a:moveTo>
                                <a:lnTo>
                                  <a:pt x="0" y="0"/>
                                </a:lnTo>
                                <a:lnTo>
                                  <a:pt x="74872" y="123012"/>
                                </a:lnTo>
                                <a:lnTo>
                                  <a:pt x="74872" y="1977131"/>
                                </a:lnTo>
                              </a:path>
                            </a:pathLst>
                          </a:custGeom>
                          <a:ln w="2147">
                            <a:solidFill>
                              <a:srgbClr val="93BDFF"/>
                            </a:solidFill>
                            <a:prstDash val="solid"/>
                          </a:ln>
                        </wps:spPr>
                        <wps:bodyPr wrap="square" lIns="0" tIns="0" rIns="0" bIns="0" rtlCol="0">
                          <a:prstTxWarp prst="textNoShape">
                            <a:avLst/>
                          </a:prstTxWarp>
                          <a:noAutofit/>
                        </wps:bodyPr>
                      </wps:wsp>
                      <wps:wsp>
                        <wps:cNvPr id="212" name="Graphic 212"/>
                        <wps:cNvSpPr/>
                        <wps:spPr>
                          <a:xfrm>
                            <a:off x="3441063" y="291106"/>
                            <a:ext cx="74930" cy="122555"/>
                          </a:xfrm>
                          <a:custGeom>
                            <a:avLst/>
                            <a:gdLst/>
                            <a:ahLst/>
                            <a:cxnLst/>
                            <a:rect l="l" t="t" r="r" b="b"/>
                            <a:pathLst>
                              <a:path w="74930" h="122555">
                                <a:moveTo>
                                  <a:pt x="0" y="0"/>
                                </a:moveTo>
                                <a:lnTo>
                                  <a:pt x="74872" y="121969"/>
                                </a:lnTo>
                              </a:path>
                            </a:pathLst>
                          </a:custGeom>
                          <a:ln w="2539">
                            <a:solidFill>
                              <a:srgbClr val="000000"/>
                            </a:solidFill>
                            <a:prstDash val="solid"/>
                          </a:ln>
                        </wps:spPr>
                        <wps:bodyPr wrap="square" lIns="0" tIns="0" rIns="0" bIns="0" rtlCol="0">
                          <a:prstTxWarp prst="textNoShape">
                            <a:avLst/>
                          </a:prstTxWarp>
                          <a:noAutofit/>
                        </wps:bodyPr>
                      </wps:wsp>
                      <wps:wsp>
                        <wps:cNvPr id="213" name="Graphic 213"/>
                        <wps:cNvSpPr/>
                        <wps:spPr>
                          <a:xfrm>
                            <a:off x="3515936" y="414118"/>
                            <a:ext cx="74930" cy="1854200"/>
                          </a:xfrm>
                          <a:custGeom>
                            <a:avLst/>
                            <a:gdLst/>
                            <a:ahLst/>
                            <a:cxnLst/>
                            <a:rect l="l" t="t" r="r" b="b"/>
                            <a:pathLst>
                              <a:path w="74930" h="1854200">
                                <a:moveTo>
                                  <a:pt x="0" y="0"/>
                                </a:moveTo>
                                <a:lnTo>
                                  <a:pt x="0" y="1854119"/>
                                </a:lnTo>
                                <a:lnTo>
                                  <a:pt x="74565" y="1854119"/>
                                </a:lnTo>
                                <a:lnTo>
                                  <a:pt x="74565" y="130960"/>
                                </a:lnTo>
                                <a:lnTo>
                                  <a:pt x="0" y="0"/>
                                </a:lnTo>
                                <a:close/>
                              </a:path>
                            </a:pathLst>
                          </a:custGeom>
                          <a:solidFill>
                            <a:srgbClr val="93BDFF"/>
                          </a:solidFill>
                        </wps:spPr>
                        <wps:bodyPr wrap="square" lIns="0" tIns="0" rIns="0" bIns="0" rtlCol="0">
                          <a:prstTxWarp prst="textNoShape">
                            <a:avLst/>
                          </a:prstTxWarp>
                          <a:noAutofit/>
                        </wps:bodyPr>
                      </wps:wsp>
                      <wps:wsp>
                        <wps:cNvPr id="214" name="Graphic 214"/>
                        <wps:cNvSpPr/>
                        <wps:spPr>
                          <a:xfrm>
                            <a:off x="3515936" y="414118"/>
                            <a:ext cx="74930" cy="1854200"/>
                          </a:xfrm>
                          <a:custGeom>
                            <a:avLst/>
                            <a:gdLst/>
                            <a:ahLst/>
                            <a:cxnLst/>
                            <a:rect l="l" t="t" r="r" b="b"/>
                            <a:pathLst>
                              <a:path w="74930" h="1854200">
                                <a:moveTo>
                                  <a:pt x="0" y="1854119"/>
                                </a:moveTo>
                                <a:lnTo>
                                  <a:pt x="0" y="0"/>
                                </a:lnTo>
                                <a:lnTo>
                                  <a:pt x="74565" y="130960"/>
                                </a:lnTo>
                                <a:lnTo>
                                  <a:pt x="74565" y="1854119"/>
                                </a:lnTo>
                              </a:path>
                            </a:pathLst>
                          </a:custGeom>
                          <a:ln w="2147">
                            <a:solidFill>
                              <a:srgbClr val="93BDFF"/>
                            </a:solidFill>
                            <a:prstDash val="solid"/>
                          </a:ln>
                        </wps:spPr>
                        <wps:bodyPr wrap="square" lIns="0" tIns="0" rIns="0" bIns="0" rtlCol="0">
                          <a:prstTxWarp prst="textNoShape">
                            <a:avLst/>
                          </a:prstTxWarp>
                          <a:noAutofit/>
                        </wps:bodyPr>
                      </wps:wsp>
                      <wps:wsp>
                        <wps:cNvPr id="215" name="Graphic 215"/>
                        <wps:cNvSpPr/>
                        <wps:spPr>
                          <a:xfrm>
                            <a:off x="3515935" y="414118"/>
                            <a:ext cx="74930" cy="131445"/>
                          </a:xfrm>
                          <a:custGeom>
                            <a:avLst/>
                            <a:gdLst/>
                            <a:ahLst/>
                            <a:cxnLst/>
                            <a:rect l="l" t="t" r="r" b="b"/>
                            <a:pathLst>
                              <a:path w="74930" h="131445">
                                <a:moveTo>
                                  <a:pt x="0" y="0"/>
                                </a:moveTo>
                                <a:lnTo>
                                  <a:pt x="73491" y="129657"/>
                                </a:lnTo>
                              </a:path>
                              <a:path w="74930" h="131445">
                                <a:moveTo>
                                  <a:pt x="74565" y="130960"/>
                                </a:moveTo>
                                <a:lnTo>
                                  <a:pt x="73491" y="130960"/>
                                </a:lnTo>
                              </a:path>
                            </a:pathLst>
                          </a:custGeom>
                          <a:ln w="2449">
                            <a:solidFill>
                              <a:srgbClr val="000000"/>
                            </a:solidFill>
                            <a:prstDash val="solid"/>
                          </a:ln>
                        </wps:spPr>
                        <wps:bodyPr wrap="square" lIns="0" tIns="0" rIns="0" bIns="0" rtlCol="0">
                          <a:prstTxWarp prst="textNoShape">
                            <a:avLst/>
                          </a:prstTxWarp>
                          <a:noAutofit/>
                        </wps:bodyPr>
                      </wps:wsp>
                      <wps:wsp>
                        <wps:cNvPr id="216" name="Graphic 216"/>
                        <wps:cNvSpPr/>
                        <wps:spPr>
                          <a:xfrm>
                            <a:off x="3590501" y="492303"/>
                            <a:ext cx="74930" cy="1776095"/>
                          </a:xfrm>
                          <a:custGeom>
                            <a:avLst/>
                            <a:gdLst/>
                            <a:ahLst/>
                            <a:cxnLst/>
                            <a:rect l="l" t="t" r="r" b="b"/>
                            <a:pathLst>
                              <a:path w="74930" h="1776095">
                                <a:moveTo>
                                  <a:pt x="74872" y="0"/>
                                </a:moveTo>
                                <a:lnTo>
                                  <a:pt x="0" y="52775"/>
                                </a:lnTo>
                                <a:lnTo>
                                  <a:pt x="0" y="1775933"/>
                                </a:lnTo>
                                <a:lnTo>
                                  <a:pt x="74872" y="1775933"/>
                                </a:lnTo>
                                <a:lnTo>
                                  <a:pt x="74872" y="0"/>
                                </a:lnTo>
                                <a:close/>
                              </a:path>
                            </a:pathLst>
                          </a:custGeom>
                          <a:solidFill>
                            <a:srgbClr val="93BDFF"/>
                          </a:solidFill>
                        </wps:spPr>
                        <wps:bodyPr wrap="square" lIns="0" tIns="0" rIns="0" bIns="0" rtlCol="0">
                          <a:prstTxWarp prst="textNoShape">
                            <a:avLst/>
                          </a:prstTxWarp>
                          <a:noAutofit/>
                        </wps:bodyPr>
                      </wps:wsp>
                      <wps:wsp>
                        <wps:cNvPr id="217" name="Graphic 217"/>
                        <wps:cNvSpPr/>
                        <wps:spPr>
                          <a:xfrm>
                            <a:off x="3590501" y="492303"/>
                            <a:ext cx="74930" cy="1776095"/>
                          </a:xfrm>
                          <a:custGeom>
                            <a:avLst/>
                            <a:gdLst/>
                            <a:ahLst/>
                            <a:cxnLst/>
                            <a:rect l="l" t="t" r="r" b="b"/>
                            <a:pathLst>
                              <a:path w="74930" h="1776095">
                                <a:moveTo>
                                  <a:pt x="0" y="1775933"/>
                                </a:moveTo>
                                <a:lnTo>
                                  <a:pt x="0" y="52775"/>
                                </a:lnTo>
                                <a:lnTo>
                                  <a:pt x="74872" y="0"/>
                                </a:lnTo>
                                <a:lnTo>
                                  <a:pt x="74872" y="1775933"/>
                                </a:lnTo>
                              </a:path>
                            </a:pathLst>
                          </a:custGeom>
                          <a:ln w="2147">
                            <a:solidFill>
                              <a:srgbClr val="93BDFF"/>
                            </a:solidFill>
                            <a:prstDash val="solid"/>
                          </a:ln>
                        </wps:spPr>
                        <wps:bodyPr wrap="square" lIns="0" tIns="0" rIns="0" bIns="0" rtlCol="0">
                          <a:prstTxWarp prst="textNoShape">
                            <a:avLst/>
                          </a:prstTxWarp>
                          <a:noAutofit/>
                        </wps:bodyPr>
                      </wps:wsp>
                      <wps:wsp>
                        <wps:cNvPr id="218" name="Graphic 218"/>
                        <wps:cNvSpPr/>
                        <wps:spPr>
                          <a:xfrm>
                            <a:off x="3515935" y="414118"/>
                            <a:ext cx="147320" cy="131445"/>
                          </a:xfrm>
                          <a:custGeom>
                            <a:avLst/>
                            <a:gdLst/>
                            <a:ahLst/>
                            <a:cxnLst/>
                            <a:rect l="l" t="t" r="r" b="b"/>
                            <a:pathLst>
                              <a:path w="147320" h="131445">
                                <a:moveTo>
                                  <a:pt x="0" y="0"/>
                                </a:moveTo>
                                <a:lnTo>
                                  <a:pt x="73491" y="129657"/>
                                </a:lnTo>
                              </a:path>
                              <a:path w="147320" h="131445">
                                <a:moveTo>
                                  <a:pt x="74565" y="130960"/>
                                </a:moveTo>
                                <a:lnTo>
                                  <a:pt x="146829" y="79488"/>
                                </a:lnTo>
                              </a:path>
                            </a:pathLst>
                          </a:custGeom>
                          <a:ln w="2449">
                            <a:solidFill>
                              <a:srgbClr val="000000"/>
                            </a:solidFill>
                            <a:prstDash val="solid"/>
                          </a:ln>
                        </wps:spPr>
                        <wps:bodyPr wrap="square" lIns="0" tIns="0" rIns="0" bIns="0" rtlCol="0">
                          <a:prstTxWarp prst="textNoShape">
                            <a:avLst/>
                          </a:prstTxWarp>
                          <a:noAutofit/>
                        </wps:bodyPr>
                      </wps:wsp>
                      <wps:wsp>
                        <wps:cNvPr id="219" name="Graphic 219"/>
                        <wps:cNvSpPr/>
                        <wps:spPr>
                          <a:xfrm>
                            <a:off x="3665373" y="492303"/>
                            <a:ext cx="75565" cy="1776095"/>
                          </a:xfrm>
                          <a:custGeom>
                            <a:avLst/>
                            <a:gdLst/>
                            <a:ahLst/>
                            <a:cxnLst/>
                            <a:rect l="l" t="t" r="r" b="b"/>
                            <a:pathLst>
                              <a:path w="75565" h="1776095">
                                <a:moveTo>
                                  <a:pt x="0" y="0"/>
                                </a:moveTo>
                                <a:lnTo>
                                  <a:pt x="0" y="1775933"/>
                                </a:lnTo>
                                <a:lnTo>
                                  <a:pt x="75025" y="1775933"/>
                                </a:lnTo>
                                <a:lnTo>
                                  <a:pt x="75025" y="290980"/>
                                </a:lnTo>
                                <a:lnTo>
                                  <a:pt x="0" y="0"/>
                                </a:lnTo>
                                <a:close/>
                              </a:path>
                            </a:pathLst>
                          </a:custGeom>
                          <a:solidFill>
                            <a:srgbClr val="93BDFF"/>
                          </a:solidFill>
                        </wps:spPr>
                        <wps:bodyPr wrap="square" lIns="0" tIns="0" rIns="0" bIns="0" rtlCol="0">
                          <a:prstTxWarp prst="textNoShape">
                            <a:avLst/>
                          </a:prstTxWarp>
                          <a:noAutofit/>
                        </wps:bodyPr>
                      </wps:wsp>
                      <wps:wsp>
                        <wps:cNvPr id="220" name="Graphic 220"/>
                        <wps:cNvSpPr/>
                        <wps:spPr>
                          <a:xfrm>
                            <a:off x="3665373" y="492303"/>
                            <a:ext cx="75565" cy="1776095"/>
                          </a:xfrm>
                          <a:custGeom>
                            <a:avLst/>
                            <a:gdLst/>
                            <a:ahLst/>
                            <a:cxnLst/>
                            <a:rect l="l" t="t" r="r" b="b"/>
                            <a:pathLst>
                              <a:path w="75565" h="1776095">
                                <a:moveTo>
                                  <a:pt x="0" y="1775933"/>
                                </a:moveTo>
                                <a:lnTo>
                                  <a:pt x="0" y="0"/>
                                </a:lnTo>
                                <a:lnTo>
                                  <a:pt x="75025" y="290980"/>
                                </a:lnTo>
                                <a:lnTo>
                                  <a:pt x="75025" y="1775933"/>
                                </a:lnTo>
                              </a:path>
                            </a:pathLst>
                          </a:custGeom>
                          <a:ln w="2147">
                            <a:solidFill>
                              <a:srgbClr val="93BDFF"/>
                            </a:solidFill>
                            <a:prstDash val="solid"/>
                          </a:ln>
                        </wps:spPr>
                        <wps:bodyPr wrap="square" lIns="0" tIns="0" rIns="0" bIns="0" rtlCol="0">
                          <a:prstTxWarp prst="textNoShape">
                            <a:avLst/>
                          </a:prstTxWarp>
                          <a:noAutofit/>
                        </wps:bodyPr>
                      </wps:wsp>
                      <wps:wsp>
                        <wps:cNvPr id="221" name="Graphic 221"/>
                        <wps:cNvSpPr/>
                        <wps:spPr>
                          <a:xfrm>
                            <a:off x="3665373" y="492303"/>
                            <a:ext cx="75565" cy="290195"/>
                          </a:xfrm>
                          <a:custGeom>
                            <a:avLst/>
                            <a:gdLst/>
                            <a:ahLst/>
                            <a:cxnLst/>
                            <a:rect l="l" t="t" r="r" b="b"/>
                            <a:pathLst>
                              <a:path w="75565" h="290195">
                                <a:moveTo>
                                  <a:pt x="0" y="0"/>
                                </a:moveTo>
                                <a:lnTo>
                                  <a:pt x="75025" y="289938"/>
                                </a:lnTo>
                              </a:path>
                            </a:pathLst>
                          </a:custGeom>
                          <a:ln w="2623">
                            <a:solidFill>
                              <a:srgbClr val="000000"/>
                            </a:solidFill>
                            <a:prstDash val="solid"/>
                          </a:ln>
                        </wps:spPr>
                        <wps:bodyPr wrap="square" lIns="0" tIns="0" rIns="0" bIns="0" rtlCol="0">
                          <a:prstTxWarp prst="textNoShape">
                            <a:avLst/>
                          </a:prstTxWarp>
                          <a:noAutofit/>
                        </wps:bodyPr>
                      </wps:wsp>
                      <wps:wsp>
                        <wps:cNvPr id="222" name="Graphic 222"/>
                        <wps:cNvSpPr/>
                        <wps:spPr>
                          <a:xfrm>
                            <a:off x="3740399" y="490349"/>
                            <a:ext cx="76200" cy="1778000"/>
                          </a:xfrm>
                          <a:custGeom>
                            <a:avLst/>
                            <a:gdLst/>
                            <a:ahLst/>
                            <a:cxnLst/>
                            <a:rect l="l" t="t" r="r" b="b"/>
                            <a:pathLst>
                              <a:path w="76200" h="1778000">
                                <a:moveTo>
                                  <a:pt x="75946" y="0"/>
                                </a:moveTo>
                                <a:lnTo>
                                  <a:pt x="0" y="292935"/>
                                </a:lnTo>
                                <a:lnTo>
                                  <a:pt x="0" y="1777888"/>
                                </a:lnTo>
                                <a:lnTo>
                                  <a:pt x="75946" y="1777888"/>
                                </a:lnTo>
                                <a:lnTo>
                                  <a:pt x="75946" y="0"/>
                                </a:lnTo>
                                <a:close/>
                              </a:path>
                            </a:pathLst>
                          </a:custGeom>
                          <a:solidFill>
                            <a:srgbClr val="93BDFF"/>
                          </a:solidFill>
                        </wps:spPr>
                        <wps:bodyPr wrap="square" lIns="0" tIns="0" rIns="0" bIns="0" rtlCol="0">
                          <a:prstTxWarp prst="textNoShape">
                            <a:avLst/>
                          </a:prstTxWarp>
                          <a:noAutofit/>
                        </wps:bodyPr>
                      </wps:wsp>
                      <wps:wsp>
                        <wps:cNvPr id="223" name="Graphic 223"/>
                        <wps:cNvSpPr/>
                        <wps:spPr>
                          <a:xfrm>
                            <a:off x="3740399" y="490349"/>
                            <a:ext cx="76200" cy="1778000"/>
                          </a:xfrm>
                          <a:custGeom>
                            <a:avLst/>
                            <a:gdLst/>
                            <a:ahLst/>
                            <a:cxnLst/>
                            <a:rect l="l" t="t" r="r" b="b"/>
                            <a:pathLst>
                              <a:path w="76200" h="1778000">
                                <a:moveTo>
                                  <a:pt x="0" y="1777888"/>
                                </a:moveTo>
                                <a:lnTo>
                                  <a:pt x="0" y="292935"/>
                                </a:lnTo>
                                <a:lnTo>
                                  <a:pt x="75946" y="0"/>
                                </a:lnTo>
                                <a:lnTo>
                                  <a:pt x="75946" y="1777888"/>
                                </a:lnTo>
                              </a:path>
                            </a:pathLst>
                          </a:custGeom>
                          <a:ln w="2147">
                            <a:solidFill>
                              <a:srgbClr val="93BDFF"/>
                            </a:solidFill>
                            <a:prstDash val="solid"/>
                          </a:ln>
                        </wps:spPr>
                        <wps:bodyPr wrap="square" lIns="0" tIns="0" rIns="0" bIns="0" rtlCol="0">
                          <a:prstTxWarp prst="textNoShape">
                            <a:avLst/>
                          </a:prstTxWarp>
                          <a:noAutofit/>
                        </wps:bodyPr>
                      </wps:wsp>
                      <wps:wsp>
                        <wps:cNvPr id="224" name="Graphic 224"/>
                        <wps:cNvSpPr/>
                        <wps:spPr>
                          <a:xfrm>
                            <a:off x="3665373" y="491261"/>
                            <a:ext cx="151130" cy="292100"/>
                          </a:xfrm>
                          <a:custGeom>
                            <a:avLst/>
                            <a:gdLst/>
                            <a:ahLst/>
                            <a:cxnLst/>
                            <a:rect l="l" t="t" r="r" b="b"/>
                            <a:pathLst>
                              <a:path w="151130" h="292100">
                                <a:moveTo>
                                  <a:pt x="0" y="1042"/>
                                </a:moveTo>
                                <a:lnTo>
                                  <a:pt x="75025" y="290980"/>
                                </a:lnTo>
                              </a:path>
                              <a:path w="151130" h="292100">
                                <a:moveTo>
                                  <a:pt x="75025" y="292023"/>
                                </a:moveTo>
                                <a:lnTo>
                                  <a:pt x="150971" y="0"/>
                                </a:lnTo>
                              </a:path>
                            </a:pathLst>
                          </a:custGeom>
                          <a:ln w="2449">
                            <a:solidFill>
                              <a:srgbClr val="000000"/>
                            </a:solidFill>
                            <a:prstDash val="solid"/>
                          </a:ln>
                        </wps:spPr>
                        <wps:bodyPr wrap="square" lIns="0" tIns="0" rIns="0" bIns="0" rtlCol="0">
                          <a:prstTxWarp prst="textNoShape">
                            <a:avLst/>
                          </a:prstTxWarp>
                          <a:noAutofit/>
                        </wps:bodyPr>
                      </wps:wsp>
                      <wps:wsp>
                        <wps:cNvPr id="225" name="Graphic 225"/>
                        <wps:cNvSpPr/>
                        <wps:spPr>
                          <a:xfrm>
                            <a:off x="3816345" y="490349"/>
                            <a:ext cx="75565" cy="1778000"/>
                          </a:xfrm>
                          <a:custGeom>
                            <a:avLst/>
                            <a:gdLst/>
                            <a:ahLst/>
                            <a:cxnLst/>
                            <a:rect l="l" t="t" r="r" b="b"/>
                            <a:pathLst>
                              <a:path w="75565" h="1778000">
                                <a:moveTo>
                                  <a:pt x="0" y="0"/>
                                </a:moveTo>
                                <a:lnTo>
                                  <a:pt x="0" y="1777888"/>
                                </a:lnTo>
                                <a:lnTo>
                                  <a:pt x="75025" y="1777888"/>
                                </a:lnTo>
                                <a:lnTo>
                                  <a:pt x="75025" y="536874"/>
                                </a:lnTo>
                                <a:lnTo>
                                  <a:pt x="0" y="0"/>
                                </a:lnTo>
                                <a:close/>
                              </a:path>
                            </a:pathLst>
                          </a:custGeom>
                          <a:solidFill>
                            <a:srgbClr val="93BDFF"/>
                          </a:solidFill>
                        </wps:spPr>
                        <wps:bodyPr wrap="square" lIns="0" tIns="0" rIns="0" bIns="0" rtlCol="0">
                          <a:prstTxWarp prst="textNoShape">
                            <a:avLst/>
                          </a:prstTxWarp>
                          <a:noAutofit/>
                        </wps:bodyPr>
                      </wps:wsp>
                      <wps:wsp>
                        <wps:cNvPr id="226" name="Graphic 226"/>
                        <wps:cNvSpPr/>
                        <wps:spPr>
                          <a:xfrm>
                            <a:off x="3816345" y="490349"/>
                            <a:ext cx="75565" cy="1778000"/>
                          </a:xfrm>
                          <a:custGeom>
                            <a:avLst/>
                            <a:gdLst/>
                            <a:ahLst/>
                            <a:cxnLst/>
                            <a:rect l="l" t="t" r="r" b="b"/>
                            <a:pathLst>
                              <a:path w="75565" h="1778000">
                                <a:moveTo>
                                  <a:pt x="0" y="1777888"/>
                                </a:moveTo>
                                <a:lnTo>
                                  <a:pt x="0" y="0"/>
                                </a:lnTo>
                                <a:lnTo>
                                  <a:pt x="75025" y="536874"/>
                                </a:lnTo>
                                <a:lnTo>
                                  <a:pt x="75025" y="1777888"/>
                                </a:lnTo>
                              </a:path>
                            </a:pathLst>
                          </a:custGeom>
                          <a:ln w="2147">
                            <a:solidFill>
                              <a:srgbClr val="93BDFF"/>
                            </a:solidFill>
                            <a:prstDash val="solid"/>
                          </a:ln>
                        </wps:spPr>
                        <wps:bodyPr wrap="square" lIns="0" tIns="0" rIns="0" bIns="0" rtlCol="0">
                          <a:prstTxWarp prst="textNoShape">
                            <a:avLst/>
                          </a:prstTxWarp>
                          <a:noAutofit/>
                        </wps:bodyPr>
                      </wps:wsp>
                      <wps:wsp>
                        <wps:cNvPr id="227" name="Graphic 227"/>
                        <wps:cNvSpPr/>
                        <wps:spPr>
                          <a:xfrm>
                            <a:off x="3740398" y="490349"/>
                            <a:ext cx="151130" cy="535940"/>
                          </a:xfrm>
                          <a:custGeom>
                            <a:avLst/>
                            <a:gdLst/>
                            <a:ahLst/>
                            <a:cxnLst/>
                            <a:rect l="l" t="t" r="r" b="b"/>
                            <a:pathLst>
                              <a:path w="151130" h="535940">
                                <a:moveTo>
                                  <a:pt x="0" y="292935"/>
                                </a:moveTo>
                                <a:lnTo>
                                  <a:pt x="75946" y="912"/>
                                </a:lnTo>
                              </a:path>
                              <a:path w="151130" h="535940">
                                <a:moveTo>
                                  <a:pt x="75946" y="0"/>
                                </a:moveTo>
                                <a:lnTo>
                                  <a:pt x="150971" y="535571"/>
                                </a:lnTo>
                              </a:path>
                            </a:pathLst>
                          </a:custGeom>
                          <a:ln w="2449">
                            <a:solidFill>
                              <a:srgbClr val="000000"/>
                            </a:solidFill>
                            <a:prstDash val="solid"/>
                          </a:ln>
                        </wps:spPr>
                        <wps:bodyPr wrap="square" lIns="0" tIns="0" rIns="0" bIns="0" rtlCol="0">
                          <a:prstTxWarp prst="textNoShape">
                            <a:avLst/>
                          </a:prstTxWarp>
                          <a:noAutofit/>
                        </wps:bodyPr>
                      </wps:wsp>
                      <wps:wsp>
                        <wps:cNvPr id="228" name="Graphic 228"/>
                        <wps:cNvSpPr/>
                        <wps:spPr>
                          <a:xfrm>
                            <a:off x="3891370" y="391835"/>
                            <a:ext cx="74930" cy="1876425"/>
                          </a:xfrm>
                          <a:custGeom>
                            <a:avLst/>
                            <a:gdLst/>
                            <a:ahLst/>
                            <a:cxnLst/>
                            <a:rect l="l" t="t" r="r" b="b"/>
                            <a:pathLst>
                              <a:path w="74930" h="1876425">
                                <a:moveTo>
                                  <a:pt x="74411" y="0"/>
                                </a:moveTo>
                                <a:lnTo>
                                  <a:pt x="0" y="635388"/>
                                </a:lnTo>
                                <a:lnTo>
                                  <a:pt x="0" y="1876402"/>
                                </a:lnTo>
                                <a:lnTo>
                                  <a:pt x="74411" y="1876402"/>
                                </a:lnTo>
                                <a:lnTo>
                                  <a:pt x="74411" y="0"/>
                                </a:lnTo>
                                <a:close/>
                              </a:path>
                            </a:pathLst>
                          </a:custGeom>
                          <a:solidFill>
                            <a:srgbClr val="93BDFF"/>
                          </a:solidFill>
                        </wps:spPr>
                        <wps:bodyPr wrap="square" lIns="0" tIns="0" rIns="0" bIns="0" rtlCol="0">
                          <a:prstTxWarp prst="textNoShape">
                            <a:avLst/>
                          </a:prstTxWarp>
                          <a:noAutofit/>
                        </wps:bodyPr>
                      </wps:wsp>
                      <wps:wsp>
                        <wps:cNvPr id="229" name="Graphic 229"/>
                        <wps:cNvSpPr/>
                        <wps:spPr>
                          <a:xfrm>
                            <a:off x="3891370" y="391835"/>
                            <a:ext cx="74930" cy="1876425"/>
                          </a:xfrm>
                          <a:custGeom>
                            <a:avLst/>
                            <a:gdLst/>
                            <a:ahLst/>
                            <a:cxnLst/>
                            <a:rect l="l" t="t" r="r" b="b"/>
                            <a:pathLst>
                              <a:path w="74930" h="1876425">
                                <a:moveTo>
                                  <a:pt x="0" y="1876402"/>
                                </a:moveTo>
                                <a:lnTo>
                                  <a:pt x="0" y="635388"/>
                                </a:lnTo>
                                <a:lnTo>
                                  <a:pt x="74411" y="0"/>
                                </a:lnTo>
                                <a:lnTo>
                                  <a:pt x="74411" y="1876402"/>
                                </a:lnTo>
                              </a:path>
                            </a:pathLst>
                          </a:custGeom>
                          <a:ln w="2147">
                            <a:solidFill>
                              <a:srgbClr val="93BDFF"/>
                            </a:solidFill>
                            <a:prstDash val="solid"/>
                          </a:ln>
                        </wps:spPr>
                        <wps:bodyPr wrap="square" lIns="0" tIns="0" rIns="0" bIns="0" rtlCol="0">
                          <a:prstTxWarp prst="textNoShape">
                            <a:avLst/>
                          </a:prstTxWarp>
                          <a:noAutofit/>
                        </wps:bodyPr>
                      </wps:wsp>
                      <wps:wsp>
                        <wps:cNvPr id="230" name="Graphic 230"/>
                        <wps:cNvSpPr/>
                        <wps:spPr>
                          <a:xfrm>
                            <a:off x="3816344" y="391835"/>
                            <a:ext cx="149860" cy="635635"/>
                          </a:xfrm>
                          <a:custGeom>
                            <a:avLst/>
                            <a:gdLst/>
                            <a:ahLst/>
                            <a:cxnLst/>
                            <a:rect l="l" t="t" r="r" b="b"/>
                            <a:pathLst>
                              <a:path w="149860" h="635635">
                                <a:moveTo>
                                  <a:pt x="0" y="98513"/>
                                </a:moveTo>
                                <a:lnTo>
                                  <a:pt x="75025" y="634085"/>
                                </a:lnTo>
                              </a:path>
                              <a:path w="149860" h="635635">
                                <a:moveTo>
                                  <a:pt x="75025" y="635388"/>
                                </a:moveTo>
                                <a:lnTo>
                                  <a:pt x="148363" y="1042"/>
                                </a:lnTo>
                              </a:path>
                              <a:path w="149860" h="635635">
                                <a:moveTo>
                                  <a:pt x="149437" y="0"/>
                                </a:moveTo>
                                <a:lnTo>
                                  <a:pt x="148363" y="0"/>
                                </a:lnTo>
                              </a:path>
                            </a:pathLst>
                          </a:custGeom>
                          <a:ln w="2449">
                            <a:solidFill>
                              <a:srgbClr val="000000"/>
                            </a:solidFill>
                            <a:prstDash val="solid"/>
                          </a:ln>
                        </wps:spPr>
                        <wps:bodyPr wrap="square" lIns="0" tIns="0" rIns="0" bIns="0" rtlCol="0">
                          <a:prstTxWarp prst="textNoShape">
                            <a:avLst/>
                          </a:prstTxWarp>
                          <a:noAutofit/>
                        </wps:bodyPr>
                      </wps:wsp>
                      <wps:wsp>
                        <wps:cNvPr id="231" name="Graphic 231"/>
                        <wps:cNvSpPr/>
                        <wps:spPr>
                          <a:xfrm>
                            <a:off x="3965782" y="391835"/>
                            <a:ext cx="75565" cy="1876425"/>
                          </a:xfrm>
                          <a:custGeom>
                            <a:avLst/>
                            <a:gdLst/>
                            <a:ahLst/>
                            <a:cxnLst/>
                            <a:rect l="l" t="t" r="r" b="b"/>
                            <a:pathLst>
                              <a:path w="75565" h="1876425">
                                <a:moveTo>
                                  <a:pt x="0" y="0"/>
                                </a:moveTo>
                                <a:lnTo>
                                  <a:pt x="0" y="1876402"/>
                                </a:lnTo>
                                <a:lnTo>
                                  <a:pt x="75025" y="1876402"/>
                                </a:lnTo>
                                <a:lnTo>
                                  <a:pt x="75025" y="118451"/>
                                </a:lnTo>
                                <a:lnTo>
                                  <a:pt x="0" y="0"/>
                                </a:lnTo>
                                <a:close/>
                              </a:path>
                            </a:pathLst>
                          </a:custGeom>
                          <a:solidFill>
                            <a:srgbClr val="93BDFF"/>
                          </a:solidFill>
                        </wps:spPr>
                        <wps:bodyPr wrap="square" lIns="0" tIns="0" rIns="0" bIns="0" rtlCol="0">
                          <a:prstTxWarp prst="textNoShape">
                            <a:avLst/>
                          </a:prstTxWarp>
                          <a:noAutofit/>
                        </wps:bodyPr>
                      </wps:wsp>
                      <wps:wsp>
                        <wps:cNvPr id="232" name="Graphic 232"/>
                        <wps:cNvSpPr/>
                        <wps:spPr>
                          <a:xfrm>
                            <a:off x="3965782" y="391835"/>
                            <a:ext cx="75565" cy="1876425"/>
                          </a:xfrm>
                          <a:custGeom>
                            <a:avLst/>
                            <a:gdLst/>
                            <a:ahLst/>
                            <a:cxnLst/>
                            <a:rect l="l" t="t" r="r" b="b"/>
                            <a:pathLst>
                              <a:path w="75565" h="1876425">
                                <a:moveTo>
                                  <a:pt x="0" y="1876402"/>
                                </a:moveTo>
                                <a:lnTo>
                                  <a:pt x="0" y="0"/>
                                </a:lnTo>
                                <a:lnTo>
                                  <a:pt x="75025" y="118451"/>
                                </a:lnTo>
                                <a:lnTo>
                                  <a:pt x="75025" y="1876402"/>
                                </a:lnTo>
                              </a:path>
                            </a:pathLst>
                          </a:custGeom>
                          <a:ln w="2147">
                            <a:solidFill>
                              <a:srgbClr val="93BDFF"/>
                            </a:solidFill>
                            <a:prstDash val="solid"/>
                          </a:ln>
                        </wps:spPr>
                        <wps:bodyPr wrap="square" lIns="0" tIns="0" rIns="0" bIns="0" rtlCol="0">
                          <a:prstTxWarp prst="textNoShape">
                            <a:avLst/>
                          </a:prstTxWarp>
                          <a:noAutofit/>
                        </wps:bodyPr>
                      </wps:wsp>
                      <wps:wsp>
                        <wps:cNvPr id="233" name="Graphic 233"/>
                        <wps:cNvSpPr/>
                        <wps:spPr>
                          <a:xfrm>
                            <a:off x="3891370" y="391835"/>
                            <a:ext cx="149860" cy="635635"/>
                          </a:xfrm>
                          <a:custGeom>
                            <a:avLst/>
                            <a:gdLst/>
                            <a:ahLst/>
                            <a:cxnLst/>
                            <a:rect l="l" t="t" r="r" b="b"/>
                            <a:pathLst>
                              <a:path w="149860" h="635635">
                                <a:moveTo>
                                  <a:pt x="0" y="635388"/>
                                </a:moveTo>
                                <a:lnTo>
                                  <a:pt x="73337" y="1042"/>
                                </a:lnTo>
                              </a:path>
                              <a:path w="149860" h="635635">
                                <a:moveTo>
                                  <a:pt x="74411" y="0"/>
                                </a:moveTo>
                                <a:lnTo>
                                  <a:pt x="149437" y="117539"/>
                                </a:lnTo>
                              </a:path>
                            </a:pathLst>
                          </a:custGeom>
                          <a:ln w="2449">
                            <a:solidFill>
                              <a:srgbClr val="000000"/>
                            </a:solidFill>
                            <a:prstDash val="solid"/>
                          </a:ln>
                        </wps:spPr>
                        <wps:bodyPr wrap="square" lIns="0" tIns="0" rIns="0" bIns="0" rtlCol="0">
                          <a:prstTxWarp prst="textNoShape">
                            <a:avLst/>
                          </a:prstTxWarp>
                          <a:noAutofit/>
                        </wps:bodyPr>
                      </wps:wsp>
                      <wps:wsp>
                        <wps:cNvPr id="234" name="Graphic 234"/>
                        <wps:cNvSpPr/>
                        <wps:spPr>
                          <a:xfrm>
                            <a:off x="4040808" y="295667"/>
                            <a:ext cx="74930" cy="1972945"/>
                          </a:xfrm>
                          <a:custGeom>
                            <a:avLst/>
                            <a:gdLst/>
                            <a:ahLst/>
                            <a:cxnLst/>
                            <a:rect l="l" t="t" r="r" b="b"/>
                            <a:pathLst>
                              <a:path w="74930" h="1972945">
                                <a:moveTo>
                                  <a:pt x="74872" y="0"/>
                                </a:moveTo>
                                <a:lnTo>
                                  <a:pt x="0" y="214619"/>
                                </a:lnTo>
                                <a:lnTo>
                                  <a:pt x="0" y="1972570"/>
                                </a:lnTo>
                                <a:lnTo>
                                  <a:pt x="74872" y="1972570"/>
                                </a:lnTo>
                                <a:lnTo>
                                  <a:pt x="74872" y="0"/>
                                </a:lnTo>
                                <a:close/>
                              </a:path>
                            </a:pathLst>
                          </a:custGeom>
                          <a:solidFill>
                            <a:srgbClr val="93BDFF"/>
                          </a:solidFill>
                        </wps:spPr>
                        <wps:bodyPr wrap="square" lIns="0" tIns="0" rIns="0" bIns="0" rtlCol="0">
                          <a:prstTxWarp prst="textNoShape">
                            <a:avLst/>
                          </a:prstTxWarp>
                          <a:noAutofit/>
                        </wps:bodyPr>
                      </wps:wsp>
                      <wps:wsp>
                        <wps:cNvPr id="235" name="Graphic 235"/>
                        <wps:cNvSpPr/>
                        <wps:spPr>
                          <a:xfrm>
                            <a:off x="4040808" y="295667"/>
                            <a:ext cx="74930" cy="1972945"/>
                          </a:xfrm>
                          <a:custGeom>
                            <a:avLst/>
                            <a:gdLst/>
                            <a:ahLst/>
                            <a:cxnLst/>
                            <a:rect l="l" t="t" r="r" b="b"/>
                            <a:pathLst>
                              <a:path w="74930" h="1972945">
                                <a:moveTo>
                                  <a:pt x="0" y="1972570"/>
                                </a:moveTo>
                                <a:lnTo>
                                  <a:pt x="0" y="214619"/>
                                </a:lnTo>
                                <a:lnTo>
                                  <a:pt x="74872" y="0"/>
                                </a:lnTo>
                                <a:lnTo>
                                  <a:pt x="74872" y="1972570"/>
                                </a:lnTo>
                              </a:path>
                            </a:pathLst>
                          </a:custGeom>
                          <a:ln w="2147">
                            <a:solidFill>
                              <a:srgbClr val="93BDFF"/>
                            </a:solidFill>
                            <a:prstDash val="solid"/>
                          </a:ln>
                        </wps:spPr>
                        <wps:bodyPr wrap="square" lIns="0" tIns="0" rIns="0" bIns="0" rtlCol="0">
                          <a:prstTxWarp prst="textNoShape">
                            <a:avLst/>
                          </a:prstTxWarp>
                          <a:noAutofit/>
                        </wps:bodyPr>
                      </wps:wsp>
                      <wps:wsp>
                        <wps:cNvPr id="236" name="Graphic 236"/>
                        <wps:cNvSpPr/>
                        <wps:spPr>
                          <a:xfrm>
                            <a:off x="4040808" y="296579"/>
                            <a:ext cx="74930" cy="213995"/>
                          </a:xfrm>
                          <a:custGeom>
                            <a:avLst/>
                            <a:gdLst/>
                            <a:ahLst/>
                            <a:cxnLst/>
                            <a:rect l="l" t="t" r="r" b="b"/>
                            <a:pathLst>
                              <a:path w="74930" h="213995">
                                <a:moveTo>
                                  <a:pt x="0" y="213707"/>
                                </a:moveTo>
                                <a:lnTo>
                                  <a:pt x="74872" y="0"/>
                                </a:lnTo>
                              </a:path>
                            </a:pathLst>
                          </a:custGeom>
                          <a:ln w="2605">
                            <a:solidFill>
                              <a:srgbClr val="000000"/>
                            </a:solidFill>
                            <a:prstDash val="solid"/>
                          </a:ln>
                        </wps:spPr>
                        <wps:bodyPr wrap="square" lIns="0" tIns="0" rIns="0" bIns="0" rtlCol="0">
                          <a:prstTxWarp prst="textNoShape">
                            <a:avLst/>
                          </a:prstTxWarp>
                          <a:noAutofit/>
                        </wps:bodyPr>
                      </wps:wsp>
                      <wps:wsp>
                        <wps:cNvPr id="237" name="Graphic 237"/>
                        <wps:cNvSpPr/>
                        <wps:spPr>
                          <a:xfrm>
                            <a:off x="4115680" y="282114"/>
                            <a:ext cx="76200" cy="1986280"/>
                          </a:xfrm>
                          <a:custGeom>
                            <a:avLst/>
                            <a:gdLst/>
                            <a:ahLst/>
                            <a:cxnLst/>
                            <a:rect l="l" t="t" r="r" b="b"/>
                            <a:pathLst>
                              <a:path w="76200" h="1986280">
                                <a:moveTo>
                                  <a:pt x="76099" y="0"/>
                                </a:moveTo>
                                <a:lnTo>
                                  <a:pt x="0" y="13552"/>
                                </a:lnTo>
                                <a:lnTo>
                                  <a:pt x="0" y="1986122"/>
                                </a:lnTo>
                                <a:lnTo>
                                  <a:pt x="76099" y="1986122"/>
                                </a:lnTo>
                                <a:lnTo>
                                  <a:pt x="76099" y="0"/>
                                </a:lnTo>
                                <a:close/>
                              </a:path>
                            </a:pathLst>
                          </a:custGeom>
                          <a:solidFill>
                            <a:srgbClr val="93BDFF"/>
                          </a:solidFill>
                        </wps:spPr>
                        <wps:bodyPr wrap="square" lIns="0" tIns="0" rIns="0" bIns="0" rtlCol="0">
                          <a:prstTxWarp prst="textNoShape">
                            <a:avLst/>
                          </a:prstTxWarp>
                          <a:noAutofit/>
                        </wps:bodyPr>
                      </wps:wsp>
                      <wps:wsp>
                        <wps:cNvPr id="238" name="Graphic 238"/>
                        <wps:cNvSpPr/>
                        <wps:spPr>
                          <a:xfrm>
                            <a:off x="4115680" y="282114"/>
                            <a:ext cx="76200" cy="1986280"/>
                          </a:xfrm>
                          <a:custGeom>
                            <a:avLst/>
                            <a:gdLst/>
                            <a:ahLst/>
                            <a:cxnLst/>
                            <a:rect l="l" t="t" r="r" b="b"/>
                            <a:pathLst>
                              <a:path w="76200" h="1986280">
                                <a:moveTo>
                                  <a:pt x="0" y="1986122"/>
                                </a:moveTo>
                                <a:lnTo>
                                  <a:pt x="0" y="13552"/>
                                </a:lnTo>
                                <a:lnTo>
                                  <a:pt x="76099" y="0"/>
                                </a:lnTo>
                                <a:lnTo>
                                  <a:pt x="76099" y="1986122"/>
                                </a:lnTo>
                              </a:path>
                            </a:pathLst>
                          </a:custGeom>
                          <a:ln w="2147">
                            <a:solidFill>
                              <a:srgbClr val="93BDFF"/>
                            </a:solidFill>
                            <a:prstDash val="solid"/>
                          </a:ln>
                        </wps:spPr>
                        <wps:bodyPr wrap="square" lIns="0" tIns="0" rIns="0" bIns="0" rtlCol="0">
                          <a:prstTxWarp prst="textNoShape">
                            <a:avLst/>
                          </a:prstTxWarp>
                          <a:noAutofit/>
                        </wps:bodyPr>
                      </wps:wsp>
                      <wps:wsp>
                        <wps:cNvPr id="239" name="Graphic 239"/>
                        <wps:cNvSpPr/>
                        <wps:spPr>
                          <a:xfrm>
                            <a:off x="4040808" y="282114"/>
                            <a:ext cx="148590" cy="228600"/>
                          </a:xfrm>
                          <a:custGeom>
                            <a:avLst/>
                            <a:gdLst/>
                            <a:ahLst/>
                            <a:cxnLst/>
                            <a:rect l="l" t="t" r="r" b="b"/>
                            <a:pathLst>
                              <a:path w="148590" h="228600">
                                <a:moveTo>
                                  <a:pt x="0" y="228171"/>
                                </a:moveTo>
                                <a:lnTo>
                                  <a:pt x="74872" y="14464"/>
                                </a:lnTo>
                              </a:path>
                              <a:path w="148590" h="228600">
                                <a:moveTo>
                                  <a:pt x="74872" y="13552"/>
                                </a:moveTo>
                                <a:lnTo>
                                  <a:pt x="148363" y="0"/>
                                </a:lnTo>
                              </a:path>
                            </a:pathLst>
                          </a:custGeom>
                          <a:ln w="2449">
                            <a:solidFill>
                              <a:srgbClr val="000000"/>
                            </a:solidFill>
                            <a:prstDash val="solid"/>
                          </a:ln>
                        </wps:spPr>
                        <wps:bodyPr wrap="square" lIns="0" tIns="0" rIns="0" bIns="0" rtlCol="0">
                          <a:prstTxWarp prst="textNoShape">
                            <a:avLst/>
                          </a:prstTxWarp>
                          <a:noAutofit/>
                        </wps:bodyPr>
                      </wps:wsp>
                      <wps:wsp>
                        <wps:cNvPr id="240" name="Graphic 240"/>
                        <wps:cNvSpPr/>
                        <wps:spPr>
                          <a:xfrm>
                            <a:off x="4191779" y="282114"/>
                            <a:ext cx="74930" cy="1986280"/>
                          </a:xfrm>
                          <a:custGeom>
                            <a:avLst/>
                            <a:gdLst/>
                            <a:ahLst/>
                            <a:cxnLst/>
                            <a:rect l="l" t="t" r="r" b="b"/>
                            <a:pathLst>
                              <a:path w="74930" h="1986280">
                                <a:moveTo>
                                  <a:pt x="0" y="0"/>
                                </a:moveTo>
                                <a:lnTo>
                                  <a:pt x="0" y="1986122"/>
                                </a:lnTo>
                                <a:lnTo>
                                  <a:pt x="74872" y="1986122"/>
                                </a:lnTo>
                                <a:lnTo>
                                  <a:pt x="74872" y="49256"/>
                                </a:lnTo>
                                <a:lnTo>
                                  <a:pt x="0" y="0"/>
                                </a:lnTo>
                                <a:close/>
                              </a:path>
                            </a:pathLst>
                          </a:custGeom>
                          <a:solidFill>
                            <a:srgbClr val="93BDFF"/>
                          </a:solidFill>
                        </wps:spPr>
                        <wps:bodyPr wrap="square" lIns="0" tIns="0" rIns="0" bIns="0" rtlCol="0">
                          <a:prstTxWarp prst="textNoShape">
                            <a:avLst/>
                          </a:prstTxWarp>
                          <a:noAutofit/>
                        </wps:bodyPr>
                      </wps:wsp>
                      <wps:wsp>
                        <wps:cNvPr id="241" name="Graphic 241"/>
                        <wps:cNvSpPr/>
                        <wps:spPr>
                          <a:xfrm>
                            <a:off x="4191779" y="282114"/>
                            <a:ext cx="74930" cy="1986280"/>
                          </a:xfrm>
                          <a:custGeom>
                            <a:avLst/>
                            <a:gdLst/>
                            <a:ahLst/>
                            <a:cxnLst/>
                            <a:rect l="l" t="t" r="r" b="b"/>
                            <a:pathLst>
                              <a:path w="74930" h="1986280">
                                <a:moveTo>
                                  <a:pt x="0" y="1986122"/>
                                </a:moveTo>
                                <a:lnTo>
                                  <a:pt x="0" y="0"/>
                                </a:lnTo>
                                <a:lnTo>
                                  <a:pt x="74872" y="49256"/>
                                </a:lnTo>
                                <a:lnTo>
                                  <a:pt x="74872" y="1986122"/>
                                </a:lnTo>
                              </a:path>
                            </a:pathLst>
                          </a:custGeom>
                          <a:ln w="2147">
                            <a:solidFill>
                              <a:srgbClr val="93BDFF"/>
                            </a:solidFill>
                            <a:prstDash val="solid"/>
                          </a:ln>
                        </wps:spPr>
                        <wps:bodyPr wrap="square" lIns="0" tIns="0" rIns="0" bIns="0" rtlCol="0">
                          <a:prstTxWarp prst="textNoShape">
                            <a:avLst/>
                          </a:prstTxWarp>
                          <a:noAutofit/>
                        </wps:bodyPr>
                      </wps:wsp>
                      <wps:wsp>
                        <wps:cNvPr id="242" name="Graphic 242"/>
                        <wps:cNvSpPr/>
                        <wps:spPr>
                          <a:xfrm>
                            <a:off x="4191779" y="282114"/>
                            <a:ext cx="73660" cy="48260"/>
                          </a:xfrm>
                          <a:custGeom>
                            <a:avLst/>
                            <a:gdLst/>
                            <a:ahLst/>
                            <a:cxnLst/>
                            <a:rect l="l" t="t" r="r" b="b"/>
                            <a:pathLst>
                              <a:path w="73660" h="48260">
                                <a:moveTo>
                                  <a:pt x="0" y="0"/>
                                </a:moveTo>
                                <a:lnTo>
                                  <a:pt x="73337" y="47953"/>
                                </a:lnTo>
                              </a:path>
                            </a:pathLst>
                          </a:custGeom>
                          <a:ln w="2369">
                            <a:solidFill>
                              <a:srgbClr val="000000"/>
                            </a:solidFill>
                            <a:prstDash val="solid"/>
                          </a:ln>
                        </wps:spPr>
                        <wps:bodyPr wrap="square" lIns="0" tIns="0" rIns="0" bIns="0" rtlCol="0">
                          <a:prstTxWarp prst="textNoShape">
                            <a:avLst/>
                          </a:prstTxWarp>
                          <a:noAutofit/>
                        </wps:bodyPr>
                      </wps:wsp>
                      <wps:wsp>
                        <wps:cNvPr id="243" name="Graphic 243"/>
                        <wps:cNvSpPr/>
                        <wps:spPr>
                          <a:xfrm>
                            <a:off x="4266651" y="76095"/>
                            <a:ext cx="74930" cy="2192655"/>
                          </a:xfrm>
                          <a:custGeom>
                            <a:avLst/>
                            <a:gdLst/>
                            <a:ahLst/>
                            <a:cxnLst/>
                            <a:rect l="l" t="t" r="r" b="b"/>
                            <a:pathLst>
                              <a:path w="74930" h="2192655">
                                <a:moveTo>
                                  <a:pt x="74565" y="0"/>
                                </a:moveTo>
                                <a:lnTo>
                                  <a:pt x="0" y="255275"/>
                                </a:lnTo>
                                <a:lnTo>
                                  <a:pt x="0" y="2192141"/>
                                </a:lnTo>
                                <a:lnTo>
                                  <a:pt x="74565" y="2192141"/>
                                </a:lnTo>
                                <a:lnTo>
                                  <a:pt x="74565" y="0"/>
                                </a:lnTo>
                                <a:close/>
                              </a:path>
                            </a:pathLst>
                          </a:custGeom>
                          <a:solidFill>
                            <a:srgbClr val="93BDFF"/>
                          </a:solidFill>
                        </wps:spPr>
                        <wps:bodyPr wrap="square" lIns="0" tIns="0" rIns="0" bIns="0" rtlCol="0">
                          <a:prstTxWarp prst="textNoShape">
                            <a:avLst/>
                          </a:prstTxWarp>
                          <a:noAutofit/>
                        </wps:bodyPr>
                      </wps:wsp>
                      <wps:wsp>
                        <wps:cNvPr id="244" name="Graphic 244"/>
                        <wps:cNvSpPr/>
                        <wps:spPr>
                          <a:xfrm>
                            <a:off x="4266651" y="76095"/>
                            <a:ext cx="74930" cy="2192655"/>
                          </a:xfrm>
                          <a:custGeom>
                            <a:avLst/>
                            <a:gdLst/>
                            <a:ahLst/>
                            <a:cxnLst/>
                            <a:rect l="l" t="t" r="r" b="b"/>
                            <a:pathLst>
                              <a:path w="74930" h="2192655">
                                <a:moveTo>
                                  <a:pt x="0" y="2192141"/>
                                </a:moveTo>
                                <a:lnTo>
                                  <a:pt x="0" y="255275"/>
                                </a:lnTo>
                                <a:lnTo>
                                  <a:pt x="74565" y="0"/>
                                </a:lnTo>
                                <a:lnTo>
                                  <a:pt x="74565" y="2192141"/>
                                </a:lnTo>
                              </a:path>
                            </a:pathLst>
                          </a:custGeom>
                          <a:ln w="2147">
                            <a:solidFill>
                              <a:srgbClr val="93BDFF"/>
                            </a:solidFill>
                            <a:prstDash val="solid"/>
                          </a:ln>
                        </wps:spPr>
                        <wps:bodyPr wrap="square" lIns="0" tIns="0" rIns="0" bIns="0" rtlCol="0">
                          <a:prstTxWarp prst="textNoShape">
                            <a:avLst/>
                          </a:prstTxWarp>
                          <a:noAutofit/>
                        </wps:bodyPr>
                      </wps:wsp>
                      <wps:wsp>
                        <wps:cNvPr id="245" name="Graphic 245"/>
                        <wps:cNvSpPr/>
                        <wps:spPr>
                          <a:xfrm>
                            <a:off x="4266651" y="76095"/>
                            <a:ext cx="74930" cy="255270"/>
                          </a:xfrm>
                          <a:custGeom>
                            <a:avLst/>
                            <a:gdLst/>
                            <a:ahLst/>
                            <a:cxnLst/>
                            <a:rect l="l" t="t" r="r" b="b"/>
                            <a:pathLst>
                              <a:path w="74930" h="255270">
                                <a:moveTo>
                                  <a:pt x="0" y="255275"/>
                                </a:moveTo>
                                <a:lnTo>
                                  <a:pt x="73491" y="1303"/>
                                </a:lnTo>
                              </a:path>
                              <a:path w="74930" h="255270">
                                <a:moveTo>
                                  <a:pt x="74565" y="0"/>
                                </a:moveTo>
                                <a:lnTo>
                                  <a:pt x="73491" y="0"/>
                                </a:lnTo>
                              </a:path>
                            </a:pathLst>
                          </a:custGeom>
                          <a:ln w="2449">
                            <a:solidFill>
                              <a:srgbClr val="000000"/>
                            </a:solidFill>
                            <a:prstDash val="solid"/>
                          </a:ln>
                        </wps:spPr>
                        <wps:bodyPr wrap="square" lIns="0" tIns="0" rIns="0" bIns="0" rtlCol="0">
                          <a:prstTxWarp prst="textNoShape">
                            <a:avLst/>
                          </a:prstTxWarp>
                          <a:noAutofit/>
                        </wps:bodyPr>
                      </wps:wsp>
                      <wps:wsp>
                        <wps:cNvPr id="246" name="Graphic 246"/>
                        <wps:cNvSpPr/>
                        <wps:spPr>
                          <a:xfrm>
                            <a:off x="4341217" y="76095"/>
                            <a:ext cx="74930" cy="2192655"/>
                          </a:xfrm>
                          <a:custGeom>
                            <a:avLst/>
                            <a:gdLst/>
                            <a:ahLst/>
                            <a:cxnLst/>
                            <a:rect l="l" t="t" r="r" b="b"/>
                            <a:pathLst>
                              <a:path w="74930" h="2192655">
                                <a:moveTo>
                                  <a:pt x="0" y="0"/>
                                </a:moveTo>
                                <a:lnTo>
                                  <a:pt x="0" y="2192141"/>
                                </a:lnTo>
                                <a:lnTo>
                                  <a:pt x="74872" y="2192141"/>
                                </a:lnTo>
                                <a:lnTo>
                                  <a:pt x="74872" y="211492"/>
                                </a:lnTo>
                                <a:lnTo>
                                  <a:pt x="0" y="0"/>
                                </a:lnTo>
                                <a:close/>
                              </a:path>
                            </a:pathLst>
                          </a:custGeom>
                          <a:solidFill>
                            <a:srgbClr val="93BDFF"/>
                          </a:solidFill>
                        </wps:spPr>
                        <wps:bodyPr wrap="square" lIns="0" tIns="0" rIns="0" bIns="0" rtlCol="0">
                          <a:prstTxWarp prst="textNoShape">
                            <a:avLst/>
                          </a:prstTxWarp>
                          <a:noAutofit/>
                        </wps:bodyPr>
                      </wps:wsp>
                      <wps:wsp>
                        <wps:cNvPr id="247" name="Graphic 247"/>
                        <wps:cNvSpPr/>
                        <wps:spPr>
                          <a:xfrm>
                            <a:off x="4341217" y="76095"/>
                            <a:ext cx="74930" cy="2192655"/>
                          </a:xfrm>
                          <a:custGeom>
                            <a:avLst/>
                            <a:gdLst/>
                            <a:ahLst/>
                            <a:cxnLst/>
                            <a:rect l="l" t="t" r="r" b="b"/>
                            <a:pathLst>
                              <a:path w="74930" h="2192655">
                                <a:moveTo>
                                  <a:pt x="0" y="2192141"/>
                                </a:moveTo>
                                <a:lnTo>
                                  <a:pt x="0" y="0"/>
                                </a:lnTo>
                                <a:lnTo>
                                  <a:pt x="74872" y="211492"/>
                                </a:lnTo>
                                <a:lnTo>
                                  <a:pt x="74872" y="2192141"/>
                                </a:lnTo>
                              </a:path>
                            </a:pathLst>
                          </a:custGeom>
                          <a:ln w="2147">
                            <a:solidFill>
                              <a:srgbClr val="93BDFF"/>
                            </a:solidFill>
                            <a:prstDash val="solid"/>
                          </a:ln>
                        </wps:spPr>
                        <wps:bodyPr wrap="square" lIns="0" tIns="0" rIns="0" bIns="0" rtlCol="0">
                          <a:prstTxWarp prst="textNoShape">
                            <a:avLst/>
                          </a:prstTxWarp>
                          <a:noAutofit/>
                        </wps:bodyPr>
                      </wps:wsp>
                      <wps:wsp>
                        <wps:cNvPr id="248" name="Graphic 248"/>
                        <wps:cNvSpPr/>
                        <wps:spPr>
                          <a:xfrm>
                            <a:off x="4266651" y="76095"/>
                            <a:ext cx="149860" cy="255270"/>
                          </a:xfrm>
                          <a:custGeom>
                            <a:avLst/>
                            <a:gdLst/>
                            <a:ahLst/>
                            <a:cxnLst/>
                            <a:rect l="l" t="t" r="r" b="b"/>
                            <a:pathLst>
                              <a:path w="149860" h="255270">
                                <a:moveTo>
                                  <a:pt x="0" y="255275"/>
                                </a:moveTo>
                                <a:lnTo>
                                  <a:pt x="73491" y="1303"/>
                                </a:lnTo>
                              </a:path>
                              <a:path w="149860" h="255270">
                                <a:moveTo>
                                  <a:pt x="74565" y="0"/>
                                </a:moveTo>
                                <a:lnTo>
                                  <a:pt x="149437" y="210449"/>
                                </a:lnTo>
                              </a:path>
                            </a:pathLst>
                          </a:custGeom>
                          <a:ln w="2449">
                            <a:solidFill>
                              <a:srgbClr val="000000"/>
                            </a:solidFill>
                            <a:prstDash val="solid"/>
                          </a:ln>
                        </wps:spPr>
                        <wps:bodyPr wrap="square" lIns="0" tIns="0" rIns="0" bIns="0" rtlCol="0">
                          <a:prstTxWarp prst="textNoShape">
                            <a:avLst/>
                          </a:prstTxWarp>
                          <a:noAutofit/>
                        </wps:bodyPr>
                      </wps:wsp>
                      <wps:wsp>
                        <wps:cNvPr id="249" name="Graphic 249"/>
                        <wps:cNvSpPr/>
                        <wps:spPr>
                          <a:xfrm>
                            <a:off x="4416088" y="287587"/>
                            <a:ext cx="68580" cy="1981200"/>
                          </a:xfrm>
                          <a:custGeom>
                            <a:avLst/>
                            <a:gdLst/>
                            <a:ahLst/>
                            <a:cxnLst/>
                            <a:rect l="l" t="t" r="r" b="b"/>
                            <a:pathLst>
                              <a:path w="68580" h="1981200">
                                <a:moveTo>
                                  <a:pt x="0" y="0"/>
                                </a:moveTo>
                                <a:lnTo>
                                  <a:pt x="0" y="1980649"/>
                                </a:lnTo>
                                <a:lnTo>
                                  <a:pt x="68489" y="1980649"/>
                                </a:lnTo>
                                <a:lnTo>
                                  <a:pt x="68489" y="89835"/>
                                </a:lnTo>
                                <a:lnTo>
                                  <a:pt x="0" y="0"/>
                                </a:lnTo>
                                <a:close/>
                              </a:path>
                            </a:pathLst>
                          </a:custGeom>
                          <a:solidFill>
                            <a:srgbClr val="93BDFF"/>
                          </a:solidFill>
                        </wps:spPr>
                        <wps:bodyPr wrap="square" lIns="0" tIns="0" rIns="0" bIns="0" rtlCol="0">
                          <a:prstTxWarp prst="textNoShape">
                            <a:avLst/>
                          </a:prstTxWarp>
                          <a:noAutofit/>
                        </wps:bodyPr>
                      </wps:wsp>
                      <wps:wsp>
                        <wps:cNvPr id="250" name="Graphic 250"/>
                        <wps:cNvSpPr/>
                        <wps:spPr>
                          <a:xfrm>
                            <a:off x="4416089" y="287587"/>
                            <a:ext cx="68580" cy="1981200"/>
                          </a:xfrm>
                          <a:custGeom>
                            <a:avLst/>
                            <a:gdLst/>
                            <a:ahLst/>
                            <a:cxnLst/>
                            <a:rect l="l" t="t" r="r" b="b"/>
                            <a:pathLst>
                              <a:path w="68580" h="1981200">
                                <a:moveTo>
                                  <a:pt x="0" y="1980649"/>
                                </a:moveTo>
                                <a:lnTo>
                                  <a:pt x="0" y="0"/>
                                </a:lnTo>
                                <a:lnTo>
                                  <a:pt x="68489" y="89835"/>
                                </a:lnTo>
                              </a:path>
                            </a:pathLst>
                          </a:custGeom>
                          <a:ln w="2147">
                            <a:solidFill>
                              <a:srgbClr val="93BDFF"/>
                            </a:solidFill>
                            <a:prstDash val="solid"/>
                          </a:ln>
                        </wps:spPr>
                        <wps:bodyPr wrap="square" lIns="0" tIns="0" rIns="0" bIns="0" rtlCol="0">
                          <a:prstTxWarp prst="textNoShape">
                            <a:avLst/>
                          </a:prstTxWarp>
                          <a:noAutofit/>
                        </wps:bodyPr>
                      </wps:wsp>
                      <wps:wsp>
                        <wps:cNvPr id="251" name="Graphic 251"/>
                        <wps:cNvSpPr/>
                        <wps:spPr>
                          <a:xfrm>
                            <a:off x="4341216" y="76095"/>
                            <a:ext cx="74930" cy="210820"/>
                          </a:xfrm>
                          <a:custGeom>
                            <a:avLst/>
                            <a:gdLst/>
                            <a:ahLst/>
                            <a:cxnLst/>
                            <a:rect l="l" t="t" r="r" b="b"/>
                            <a:pathLst>
                              <a:path w="74930" h="210820">
                                <a:moveTo>
                                  <a:pt x="0" y="0"/>
                                </a:moveTo>
                                <a:lnTo>
                                  <a:pt x="74872" y="210449"/>
                                </a:lnTo>
                              </a:path>
                            </a:pathLst>
                          </a:custGeom>
                          <a:ln w="2603">
                            <a:solidFill>
                              <a:srgbClr val="000000"/>
                            </a:solidFill>
                            <a:prstDash val="solid"/>
                          </a:ln>
                        </wps:spPr>
                        <wps:bodyPr wrap="square" lIns="0" tIns="0" rIns="0" bIns="0" rtlCol="0">
                          <a:prstTxWarp prst="textNoShape">
                            <a:avLst/>
                          </a:prstTxWarp>
                          <a:noAutofit/>
                        </wps:bodyPr>
                      </wps:wsp>
                      <wps:wsp>
                        <wps:cNvPr id="252" name="Graphic 252"/>
                        <wps:cNvSpPr/>
                        <wps:spPr>
                          <a:xfrm>
                            <a:off x="4416089" y="287587"/>
                            <a:ext cx="68580" cy="90170"/>
                          </a:xfrm>
                          <a:custGeom>
                            <a:avLst/>
                            <a:gdLst/>
                            <a:ahLst/>
                            <a:cxnLst/>
                            <a:rect l="l" t="t" r="r" b="b"/>
                            <a:pathLst>
                              <a:path w="68580" h="90170">
                                <a:moveTo>
                                  <a:pt x="0" y="0"/>
                                </a:moveTo>
                                <a:lnTo>
                                  <a:pt x="68489" y="89931"/>
                                </a:lnTo>
                              </a:path>
                            </a:pathLst>
                          </a:custGeom>
                          <a:ln w="2502">
                            <a:solidFill>
                              <a:srgbClr val="000000"/>
                            </a:solidFill>
                            <a:prstDash val="solid"/>
                          </a:ln>
                        </wps:spPr>
                        <wps:bodyPr wrap="square" lIns="0" tIns="0" rIns="0" bIns="0" rtlCol="0">
                          <a:prstTxWarp prst="textNoShape">
                            <a:avLst/>
                          </a:prstTxWarp>
                          <a:noAutofit/>
                        </wps:bodyPr>
                      </wps:wsp>
                      <wps:wsp>
                        <wps:cNvPr id="253" name="Graphic 253"/>
                        <wps:cNvSpPr/>
                        <wps:spPr>
                          <a:xfrm>
                            <a:off x="56384" y="2731"/>
                            <a:ext cx="4432935" cy="2268220"/>
                          </a:xfrm>
                          <a:custGeom>
                            <a:avLst/>
                            <a:gdLst/>
                            <a:ahLst/>
                            <a:cxnLst/>
                            <a:rect l="l" t="t" r="r" b="b"/>
                            <a:pathLst>
                              <a:path w="4432935" h="2268220">
                                <a:moveTo>
                                  <a:pt x="0" y="0"/>
                                </a:moveTo>
                                <a:lnTo>
                                  <a:pt x="0" y="2267929"/>
                                </a:lnTo>
                              </a:path>
                              <a:path w="4432935" h="2268220">
                                <a:moveTo>
                                  <a:pt x="0" y="2267929"/>
                                </a:moveTo>
                                <a:lnTo>
                                  <a:pt x="4432428" y="2267929"/>
                                </a:lnTo>
                              </a:path>
                              <a:path w="4432935" h="2268220">
                                <a:moveTo>
                                  <a:pt x="4432428" y="2267929"/>
                                </a:moveTo>
                                <a:lnTo>
                                  <a:pt x="4432428" y="0"/>
                                </a:lnTo>
                              </a:path>
                              <a:path w="4432935" h="2268220">
                                <a:moveTo>
                                  <a:pt x="4432428" y="0"/>
                                </a:moveTo>
                                <a:lnTo>
                                  <a:pt x="0" y="0"/>
                                </a:lnTo>
                              </a:path>
                            </a:pathLst>
                          </a:custGeom>
                          <a:ln w="594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545158pt;margin-top:6.542309pt;width:353.75pt;height:182.95pt;mso-position-horizontal-relative:page;mso-position-vertical-relative:paragraph;z-index:15737344" id="docshapegroup68" coordorigin="2551,131" coordsize="7075,3659">
                <v:shape style="position:absolute;left:2639;top:135;width:6981;height:3572" id="docshape69" coordorigin="2640,135" coordsize="6981,3572" path="m2640,135l2640,3707m2640,3707l9620,3707m9620,3707l9620,135m9620,135l2640,135e" filled="false" stroked="true" strokeweight=".468343pt" strokecolor="#000000">
                  <v:path arrowok="t"/>
                  <v:stroke dashstyle="solid"/>
                </v:shape>
                <v:shape style="position:absolute;left:2550;top:140;width:7007;height:3650" id="docshape70" coordorigin="2551,140" coordsize="7007,3650" path="m2631,3703l2551,3703m2631,3194l2551,3194m2631,2685l2551,2685m2631,2175l2551,2175m2631,1666l2551,1666m2631,1157l2551,1157m2631,648l2551,648m2631,140l2551,140m2700,3713l2700,3752m2818,3713l2818,3752m2938,3713l2938,3752m3055,3713l3055,3752m3173,3713l3173,3752m3291,3713l3291,3752m3409,3713l3409,3752m3529,3713l3529,3752m3647,3713l3647,3752m3764,3713l3764,3752m3882,3713l3882,3752m4000,3713l4000,3752m4120,3713l4120,3752m4238,3713l4238,3752m4355,3713l4355,3752m4473,3713l4473,3752m4591,3713l4591,3752m4711,3713l4711,3752m4829,3713l4829,3752m4946,3713l4946,3752m5064,3713l5064,3752m5182,3713l5182,3752m5302,3713l5302,3752m5420,3713l5420,3752m5538,3713l5538,3752m5655,3713l5655,3752m5773,3713l5773,3752m5893,3713l5893,3752m6011,3713l6011,3752m6129,3713l6129,3752m6246,3713l6246,3752m6365,3713l6365,3752m6484,3713l6484,3752m6602,3713l6602,3752m6720,3713l6720,3752m6838,3713l6838,3752m6956,3713l6956,3752m7075,3713l7075,3752m7193,3713l7193,3752m7311,3713l7311,3752m7429,3713l7429,3752m7547,3713l7547,3752m7666,3713l7666,3752m7785,3713l7785,3752m7902,3713l7902,3752m8020,3713l8020,3752m8138,3713l8138,3752m8258,3713l8258,3752m8376,3713l8376,3752m8493,3713l8493,3752m8611,3713l8611,3752m8729,3713l8729,3752m8849,3713l8849,3752m8967,3713l8967,3752m9084,3713l9084,3752m9202,3713l9202,3752m9322,3713l9322,3752m9440,3713l9440,3752m9558,3713l9558,3752m2938,3713l2938,3789m3291,3713l3291,3789m3647,3713l3647,3789m4000,3713l4000,3789m4355,3713l4355,3789m4711,3713l4711,3789m5064,3713l5064,3789m5420,3713l5420,3789m5773,3713l5773,3789m6129,3713l6129,3789m6484,3713l6484,3789m6838,3713l6838,3789m7193,3713l7193,3789m7547,3713l7547,3789m7902,3713l7902,3789m8258,3713l8258,3789m8611,3713l8611,3789m8967,3713l8967,3789m9322,3713l9322,3789m4000,3713l4000,3789m5420,3713l5420,3789m6838,3713l6838,3789m8258,3713l8258,3789e" filled="false" stroked="true" strokeweight=".385691pt" strokecolor="#000000">
                  <v:path arrowok="t"/>
                  <v:stroke dashstyle="solid"/>
                </v:shape>
                <v:shape style="position:absolute;left:2649;top:1137;width:118;height:2566" id="docshape71" coordorigin="2650,1137" coordsize="118,2566" path="m2650,1137l2650,3703,2767,3703,2767,1394,2650,1137xe" filled="true" fillcolor="#93bdff" stroked="false">
                  <v:path arrowok="t"/>
                  <v:fill type="solid"/>
                </v:shape>
                <v:shape style="position:absolute;left:2649;top:1137;width:118;height:2566" id="docshape72" coordorigin="2650,1137" coordsize="118,2566" path="m2650,3703l2650,1137,2767,1394,2767,3703e" filled="false" stroked="true" strokeweight=".169078pt" strokecolor="#93bdff">
                  <v:path arrowok="t"/>
                  <v:stroke dashstyle="solid"/>
                </v:shape>
                <v:shape style="position:absolute;left:2649;top:1137;width:118;height:258" id="docshape73" coordorigin="2650,1137" coordsize="118,258" path="m2650,1137l2765,1393m2767,1394l2765,1394e" filled="false" stroked="true" strokeweight=".192851pt" strokecolor="#000000">
                  <v:path arrowok="t"/>
                  <v:stroke dashstyle="solid"/>
                </v:shape>
                <v:shape style="position:absolute;left:2767;top:1242;width:118;height:2461" id="docshape74" coordorigin="2767,1243" coordsize="118,2461" path="m2885,1243l2767,1394,2767,3703,2885,3703,2885,1243xe" filled="true" fillcolor="#93bdff" stroked="false">
                  <v:path arrowok="t"/>
                  <v:fill type="solid"/>
                </v:shape>
                <v:shape style="position:absolute;left:2767;top:1242;width:118;height:2461" id="docshape75" coordorigin="2767,1243" coordsize="118,2461" path="m2767,3703l2767,1394,2885,1243,2885,3703e" filled="false" stroked="true" strokeweight=".169073pt" strokecolor="#93bdff">
                  <v:path arrowok="t"/>
                  <v:stroke dashstyle="solid"/>
                </v:shape>
                <v:shape style="position:absolute;left:2649;top:1137;width:236;height:258" id="docshape76" coordorigin="2650,1137" coordsize="236,258" path="m2650,1137l2765,1393m2767,1394l2885,1245e" filled="false" stroked="true" strokeweight=".192851pt" strokecolor="#000000">
                  <v:path arrowok="t"/>
                  <v:stroke dashstyle="solid"/>
                </v:shape>
                <v:shape style="position:absolute;left:2885;top:1242;width:118;height:2461" id="docshape77" coordorigin="2885,1243" coordsize="118,2461" path="m2885,1243l2885,3703,3003,3703,3003,2541,2885,1243xe" filled="true" fillcolor="#93bdff" stroked="false">
                  <v:path arrowok="t"/>
                  <v:fill type="solid"/>
                </v:shape>
                <v:shape style="position:absolute;left:2885;top:1242;width:118;height:2461" id="docshape78" coordorigin="2885,1243" coordsize="118,2461" path="m2885,3703l2885,1243,3003,2541,3003,3703e" filled="false" stroked="true" strokeweight=".169073pt" strokecolor="#93bdff">
                  <v:path arrowok="t"/>
                  <v:stroke dashstyle="solid"/>
                </v:shape>
                <v:line style="position:absolute" from="2885,1243" to="3003,2540" stroked="true" strokeweight=".208305pt" strokecolor="#000000">
                  <v:stroke dashstyle="solid"/>
                </v:line>
                <v:shape style="position:absolute;left:3003;top:2541;width:118;height:1162" id="docshape79" coordorigin="3003,2541" coordsize="118,1162" path="m3003,2541l3003,3703,3121,3703,3121,3503,3003,2541xe" filled="true" fillcolor="#93bdff" stroked="false">
                  <v:path arrowok="t"/>
                  <v:fill type="solid"/>
                </v:shape>
                <v:shape style="position:absolute;left:3003;top:2541;width:118;height:1162" id="docshape80" coordorigin="3003,2541" coordsize="118,1162" path="m3003,3703l3003,2541,3121,3503,3121,3703e" filled="false" stroked="true" strokeweight=".168871pt" strokecolor="#93bdff">
                  <v:path arrowok="t"/>
                  <v:stroke dashstyle="solid"/>
                </v:shape>
                <v:shape style="position:absolute;left:2885;top:1242;width:236;height:2259" id="docshape81" coordorigin="2885,1243" coordsize="236,2259" path="m2885,1243l3003,2540m3003,2541l3121,3501e" filled="false" stroked="true" strokeweight=".192851pt" strokecolor="#000000">
                  <v:path arrowok="t"/>
                  <v:stroke dashstyle="solid"/>
                </v:shape>
                <v:shape style="position:absolute;left:3121;top:2675;width:120;height:1028" id="docshape82" coordorigin="3121,2675" coordsize="120,1028" path="m3241,2675l3121,3503,3121,3703,3241,3703,3241,2675xe" filled="true" fillcolor="#93bdff" stroked="false">
                  <v:path arrowok="t"/>
                  <v:fill type="solid"/>
                </v:shape>
                <v:shape style="position:absolute;left:3121;top:2675;width:120;height:1028" id="docshape83" coordorigin="3121,2675" coordsize="120,1028" path="m3121,3703l3121,3503,3241,2675,3241,3703e" filled="false" stroked="true" strokeweight=".16879pt" strokecolor="#93bdff">
                  <v:path arrowok="t"/>
                  <v:stroke dashstyle="solid"/>
                </v:shape>
                <v:shape style="position:absolute;left:3003;top:2541;width:238;height:963" id="docshape84" coordorigin="3003,2541" coordsize="238,963" path="m3003,2541l3121,3501m3121,3503l3241,2677e" filled="false" stroked="true" strokeweight=".192851pt" strokecolor="#000000">
                  <v:path arrowok="t"/>
                  <v:stroke dashstyle="solid"/>
                </v:shape>
                <v:shape style="position:absolute;left:3240;top:2211;width:118;height:1491" id="docshape85" coordorigin="3241,2212" coordsize="118,1491" path="m3359,2212l3241,2675,3241,3703,3359,3703,3359,2212xe" filled="true" fillcolor="#93bdff" stroked="false">
                  <v:path arrowok="t"/>
                  <v:fill type="solid"/>
                </v:shape>
                <v:shape style="position:absolute;left:3240;top:2211;width:118;height:1491" id="docshape86" coordorigin="3241,2212" coordsize="118,1491" path="m3241,3703l3241,2675,3359,2212,3359,3703e" filled="false" stroked="true" strokeweight=".168973pt" strokecolor="#93bdff">
                  <v:path arrowok="t"/>
                  <v:stroke dashstyle="solid"/>
                </v:shape>
                <v:shape style="position:absolute;left:3121;top:2213;width:238;height:1290" id="docshape87" coordorigin="3121,2214" coordsize="238,1290" path="m3121,3503l3241,2677m3241,2675l3359,2214e" filled="false" stroked="true" strokeweight=".192851pt" strokecolor="#000000">
                  <v:path arrowok="t"/>
                  <v:stroke dashstyle="solid"/>
                </v:shape>
                <v:shape style="position:absolute;left:3358;top:2211;width:118;height:1491" id="docshape88" coordorigin="3359,2212" coordsize="118,1491" path="m3359,2212l3359,3703,3476,3703,3476,2230,3359,2212xe" filled="true" fillcolor="#93bdff" stroked="false">
                  <v:path arrowok="t"/>
                  <v:fill type="solid"/>
                </v:shape>
                <v:shape style="position:absolute;left:3358;top:2211;width:118;height:1491" id="docshape89" coordorigin="3359,2212" coordsize="118,1491" path="m3359,3703l3359,2212,3476,2230,3476,3703e" filled="false" stroked="true" strokeweight=".168974pt" strokecolor="#93bdff">
                  <v:path arrowok="t"/>
                  <v:stroke dashstyle="solid"/>
                </v:shape>
                <v:shape style="position:absolute;left:3240;top:2211;width:232;height:464" id="docshape90" coordorigin="3241,2212" coordsize="232,464" path="m3241,2675l3359,2214m3359,2212l3472,2230e" filled="false" stroked="true" strokeweight=".192851pt" strokecolor="#000000">
                  <v:path arrowok="t"/>
                  <v:stroke dashstyle="solid"/>
                </v:shape>
                <v:shape style="position:absolute;left:3476;top:1827;width:118;height:1876" id="docshape91" coordorigin="3476,1828" coordsize="118,1876" path="m3594,1828l3476,2230,3476,3703,3594,3703,3594,1828xe" filled="true" fillcolor="#93bdff" stroked="false">
                  <v:path arrowok="t"/>
                  <v:fill type="solid"/>
                </v:shape>
                <v:shape style="position:absolute;left:3476;top:1827;width:118;height:1876" id="docshape92" coordorigin="3476,1828" coordsize="118,1876" path="m3476,3703l3476,2230,3594,1828,3594,3703e" filled="false" stroked="true" strokeweight=".169031pt" strokecolor="#93bdff">
                  <v:path arrowok="t"/>
                  <v:stroke dashstyle="solid"/>
                </v:shape>
                <v:line style="position:absolute" from="3476,2230" to="3594,1830" stroked="true" strokeweight=".206048pt" strokecolor="#000000">
                  <v:stroke dashstyle="solid"/>
                </v:line>
                <v:shape style="position:absolute;left:3594;top:1739;width:118;height:1963" id="docshape93" coordorigin="3594,1740" coordsize="118,1963" path="m3712,1740l3594,1828,3594,3703,3712,3703,3712,1740xe" filled="true" fillcolor="#93bdff" stroked="false">
                  <v:path arrowok="t"/>
                  <v:fill type="solid"/>
                </v:shape>
                <v:shape style="position:absolute;left:3594;top:1739;width:118;height:1963" id="docshape94" coordorigin="3594,1740" coordsize="118,1963" path="m3594,3703l3594,1828,3712,1740,3712,3703e" filled="false" stroked="true" strokeweight=".16904pt" strokecolor="#93bdff">
                  <v:path arrowok="t"/>
                  <v:stroke dashstyle="solid"/>
                </v:shape>
                <v:shape style="position:absolute;left:3476;top:1741;width:234;height:488" id="docshape95" coordorigin="3476,1742" coordsize="234,488" path="m3476,2230l3594,1830m3594,1828l3710,1742e" filled="false" stroked="true" strokeweight=".192851pt" strokecolor="#000000">
                  <v:path arrowok="t"/>
                  <v:stroke dashstyle="solid"/>
                </v:shape>
                <v:shape style="position:absolute;left:3712;top:1736;width:120;height:1967" id="docshape96" coordorigin="3712,1736" coordsize="120,1967" path="m3832,1736l3712,1740,3712,3703,3832,3703,3832,1736xe" filled="true" fillcolor="#93bdff" stroked="false">
                  <v:path arrowok="t"/>
                  <v:fill type="solid"/>
                </v:shape>
                <v:shape style="position:absolute;left:3712;top:1736;width:120;height:1967" id="docshape97" coordorigin="3712,1736" coordsize="120,1967" path="m3712,3703l3712,1740,3832,1736,3832,3703e" filled="false" stroked="true" strokeweight=".169037pt" strokecolor="#93bdff">
                  <v:path arrowok="t"/>
                  <v:stroke dashstyle="solid"/>
                </v:shape>
                <v:line style="position:absolute" from="3712,1740" to="3828,1736" stroked="true" strokeweight=".177167pt" strokecolor="#000000">
                  <v:stroke dashstyle="solid"/>
                </v:line>
                <v:shape style="position:absolute;left:3832;top:1732;width:118;height:1970" id="docshape98" coordorigin="3832,1733" coordsize="118,1970" path="m3950,1733l3832,1736,3832,3703,3950,3703,3950,1733xe" filled="true" fillcolor="#93bdff" stroked="false">
                  <v:path arrowok="t"/>
                  <v:fill type="solid"/>
                </v:shape>
                <v:shape style="position:absolute;left:3832;top:1732;width:118;height:1970" id="docshape99" coordorigin="3832,1733" coordsize="118,1970" path="m3832,3703l3832,1736,3950,1733,3950,3703e" filled="false" stroked="true" strokeweight=".16904pt" strokecolor="#93bdff">
                  <v:path arrowok="t"/>
                  <v:stroke dashstyle="solid"/>
                </v:shape>
                <v:line style="position:absolute" from="3832,1736" to="3948,1733" stroked="true" strokeweight=".177167pt" strokecolor="#000000">
                  <v:stroke dashstyle="solid"/>
                </v:line>
                <v:shape style="position:absolute;left:3950;top:1732;width:118;height:1970" id="docshape100" coordorigin="3950,1733" coordsize="118,1970" path="m3950,1733l3950,3703,4067,3703,4067,1745,3950,1733xe" filled="true" fillcolor="#93bdff" stroked="false">
                  <v:path arrowok="t"/>
                  <v:fill type="solid"/>
                </v:shape>
                <v:shape style="position:absolute;left:3950;top:1732;width:118;height:1970" id="docshape101" coordorigin="3950,1733" coordsize="118,1970" path="m3950,3703l3950,1733,4067,1745,4067,3703e" filled="false" stroked="true" strokeweight=".169041pt" strokecolor="#93bdff">
                  <v:path arrowok="t"/>
                  <v:stroke dashstyle="solid"/>
                </v:shape>
                <v:line style="position:absolute" from="3950,1733" to="4063,1745" stroked="true" strokeweight=".177494pt" strokecolor="#000000">
                  <v:stroke dashstyle="solid"/>
                </v:line>
                <v:shape style="position:absolute;left:4067;top:1745;width:118;height:1958" id="docshape102" coordorigin="4067,1745" coordsize="118,1958" path="m4067,1745l4067,3703,4185,3703,4185,1934,4067,1745xe" filled="true" fillcolor="#93bdff" stroked="false">
                  <v:path arrowok="t"/>
                  <v:fill type="solid"/>
                </v:shape>
                <v:shape style="position:absolute;left:4067;top:1745;width:118;height:1958" id="docshape103" coordorigin="4067,1745" coordsize="118,1958" path="m4067,3703l4067,1745,4185,1934,4185,3703e" filled="false" stroked="true" strokeweight=".169039pt" strokecolor="#93bdff">
                  <v:path arrowok="t"/>
                  <v:stroke dashstyle="solid"/>
                </v:shape>
                <v:line style="position:absolute" from="4067,1745" to="4185,1932" stroked="true" strokeweight=".199584pt" strokecolor="#000000">
                  <v:stroke dashstyle="solid"/>
                </v:line>
                <v:shape style="position:absolute;left:4185;top:1200;width:118;height:2503" id="docshape104" coordorigin="4185,1201" coordsize="118,2503" path="m4303,1201l4185,1934,4185,3703,4303,3703,4303,1201xe" filled="true" fillcolor="#93bdff" stroked="false">
                  <v:path arrowok="t"/>
                  <v:fill type="solid"/>
                </v:shape>
                <v:shape style="position:absolute;left:4185;top:1200;width:118;height:2503" id="docshape105" coordorigin="4185,1201" coordsize="118,2503" path="m4185,3703l4185,1934,4303,1201,4303,3703e" filled="false" stroked="true" strokeweight=".169075pt" strokecolor="#93bdff">
                  <v:path arrowok="t"/>
                  <v:stroke dashstyle="solid"/>
                </v:shape>
                <v:line style="position:absolute" from="4185,1934" to="4303,1202" stroked="true" strokeweight=".207767pt" strokecolor="#000000">
                  <v:stroke dashstyle="solid"/>
                </v:line>
                <v:shape style="position:absolute;left:4303;top:1200;width:120;height:2503" id="docshape106" coordorigin="4303,1201" coordsize="120,2503" path="m4303,1201l4303,3703,4423,3703,4423,1329,4303,1201xe" filled="true" fillcolor="#93bdff" stroked="false">
                  <v:path arrowok="t"/>
                  <v:fill type="solid"/>
                </v:shape>
                <v:shape style="position:absolute;left:4303;top:1200;width:120;height:2503" id="docshape107" coordorigin="4303,1201" coordsize="120,2503" path="m4303,3703l4303,1201,4423,1329,4423,3703e" filled="false" stroked="true" strokeweight=".169073pt" strokecolor="#93bdff">
                  <v:path arrowok="t"/>
                  <v:stroke dashstyle="solid"/>
                </v:shape>
                <v:shape style="position:absolute;left:4185;top:1200;width:234;height:734" id="docshape108" coordorigin="4185,1201" coordsize="234,734" path="m4185,1934l4303,1202m4303,1201l4419,1327e" filled="false" stroked="true" strokeweight=".192851pt" strokecolor="#000000">
                  <v:path arrowok="t"/>
                  <v:stroke dashstyle="solid"/>
                </v:shape>
                <v:shape style="position:absolute;left:4423;top:1329;width:118;height:2374" id="docshape109" coordorigin="4423,1329" coordsize="118,2374" path="m4423,1329l4423,3703,4541,3703,4541,2177,4423,1329xe" filled="true" fillcolor="#93bdff" stroked="false">
                  <v:path arrowok="t"/>
                  <v:fill type="solid"/>
                </v:shape>
                <v:shape style="position:absolute;left:4423;top:1329;width:118;height:2374" id="docshape110" coordorigin="4423,1329" coordsize="118,2374" path="m4423,3703l4423,1329,4541,2177,4541,3703e" filled="false" stroked="true" strokeweight=".169069pt" strokecolor="#93bdff">
                  <v:path arrowok="t"/>
                  <v:stroke dashstyle="solid"/>
                </v:shape>
                <v:line style="position:absolute" from="4423,1329" to="4541,2175" stroked="true" strokeweight=".207963pt" strokecolor="#000000">
                  <v:stroke dashstyle="solid"/>
                </v:line>
                <v:shape style="position:absolute;left:4541;top:1293;width:118;height:2409" id="docshape111" coordorigin="4541,1294" coordsize="118,2409" path="m4659,1294l4541,2177,4541,3703,4659,3703,4659,1294xe" filled="true" fillcolor="#93bdff" stroked="false">
                  <v:path arrowok="t"/>
                  <v:fill type="solid"/>
                </v:shape>
                <v:shape style="position:absolute;left:4541;top:1293;width:118;height:2409" id="docshape112" coordorigin="4541,1294" coordsize="118,2409" path="m4541,3703l4541,2177,4659,1294,4659,3703e" filled="false" stroked="true" strokeweight=".169071pt" strokecolor="#93bdff">
                  <v:path arrowok="t"/>
                  <v:stroke dashstyle="solid"/>
                </v:shape>
                <v:shape style="position:absolute;left:4423;top:1295;width:236;height:881" id="docshape113" coordorigin="4423,1296" coordsize="236,881" path="m4423,1329l4541,2175m4541,2177l4659,1296e" filled="false" stroked="true" strokeweight=".192851pt" strokecolor="#000000">
                  <v:path arrowok="t"/>
                  <v:stroke dashstyle="solid"/>
                </v:shape>
                <v:shape style="position:absolute;left:4658;top:1293;width:118;height:2409" id="docshape114" coordorigin="4659,1294" coordsize="118,2409" path="m4659,1294l4659,3703,4776,3703,4776,1560,4659,1294xe" filled="true" fillcolor="#93bdff" stroked="false">
                  <v:path arrowok="t"/>
                  <v:fill type="solid"/>
                </v:shape>
                <v:shape style="position:absolute;left:4658;top:1293;width:118;height:2409" id="docshape115" coordorigin="4659,1294" coordsize="118,2409" path="m4659,3703l4659,1294,4776,1560,4776,3703e" filled="false" stroked="true" strokeweight=".169071pt" strokecolor="#93bdff">
                  <v:path arrowok="t"/>
                  <v:stroke dashstyle="solid"/>
                </v:shape>
                <v:shape style="position:absolute;left:4541;top:1293;width:236;height:883" id="docshape116" coordorigin="4541,1294" coordsize="236,883" path="m4541,2177l4659,1296m4659,1294l4776,1558e" filled="false" stroked="true" strokeweight=".192851pt" strokecolor="#000000">
                  <v:path arrowok="t"/>
                  <v:stroke dashstyle="solid"/>
                </v:shape>
                <v:shape style="position:absolute;left:4776;top:1359;width:119;height:2344" id="docshape117" coordorigin="4776,1359" coordsize="119,2344" path="m4895,1359l4776,1560,4776,3703,4895,3703,4895,1359xe" filled="true" fillcolor="#93bdff" stroked="false">
                  <v:path arrowok="t"/>
                  <v:fill type="solid"/>
                </v:shape>
                <v:shape style="position:absolute;left:4776;top:1359;width:119;height:2344" id="docshape118" coordorigin="4776,1359" coordsize="119,2344" path="m4776,3703l4776,1560,4895,1359,4895,3703e" filled="false" stroked="true" strokeweight=".169067pt" strokecolor="#93bdff">
                  <v:path arrowok="t"/>
                  <v:stroke dashstyle="solid"/>
                </v:shape>
                <v:shape style="position:absolute;left:4658;top:1293;width:237;height:266" id="docshape119" coordorigin="4659,1294" coordsize="237,266" path="m4659,1294l4776,1558m4776,1560l4895,1361e" filled="false" stroked="true" strokeweight=".192851pt" strokecolor="#000000">
                  <v:path arrowok="t"/>
                  <v:stroke dashstyle="solid"/>
                </v:shape>
                <v:shape style="position:absolute;left:4894;top:1309;width:120;height:2394" id="docshape120" coordorigin="4895,1310" coordsize="120,2394" path="m5014,1310l4895,1359,4895,3703,5014,3703,5014,1310xe" filled="true" fillcolor="#93bdff" stroked="false">
                  <v:path arrowok="t"/>
                  <v:fill type="solid"/>
                </v:shape>
                <v:shape style="position:absolute;left:4894;top:1309;width:120;height:2394" id="docshape121" coordorigin="4895,1310" coordsize="120,2394" path="m4895,3703l4895,1359,5014,1310,5014,3703e" filled="false" stroked="true" strokeweight=".169068pt" strokecolor="#93bdff">
                  <v:path arrowok="t"/>
                  <v:stroke dashstyle="solid"/>
                </v:shape>
                <v:shape style="position:absolute;left:4776;top:1309;width:234;height:251" id="docshape122" coordorigin="4776,1310" coordsize="234,251" path="m4776,1560l4895,1361m4895,1359l5010,1310e" filled="false" stroked="true" strokeweight=".192851pt" strokecolor="#000000">
                  <v:path arrowok="t"/>
                  <v:stroke dashstyle="solid"/>
                </v:shape>
                <v:shape style="position:absolute;left:5014;top:1309;width:119;height:2394" id="docshape123" coordorigin="5014,1310" coordsize="119,2394" path="m5014,1310l5014,3703,5132,3703,5132,1377,5014,1310xe" filled="true" fillcolor="#93bdff" stroked="false">
                  <v:path arrowok="t"/>
                  <v:fill type="solid"/>
                </v:shape>
                <v:shape style="position:absolute;left:5014;top:1309;width:119;height:2394" id="docshape124" coordorigin="5014,1310" coordsize="119,2394" path="m5014,3703l5014,1310,5132,1377,5132,3703e" filled="false" stroked="true" strokeweight=".16907pt" strokecolor="#93bdff">
                  <v:path arrowok="t"/>
                  <v:stroke dashstyle="solid"/>
                </v:shape>
                <v:line style="position:absolute" from="5014,1310" to="5130,1375" stroked="true" strokeweight=".184756pt" strokecolor="#000000">
                  <v:stroke dashstyle="solid"/>
                </v:line>
                <v:shape style="position:absolute;left:5132;top:1200;width:118;height:2503" id="docshape125" coordorigin="5132,1201" coordsize="118,2503" path="m5250,1201l5132,1377,5132,3703,5250,3703,5250,1201xe" filled="true" fillcolor="#93bdff" stroked="false">
                  <v:path arrowok="t"/>
                  <v:fill type="solid"/>
                </v:shape>
                <v:shape style="position:absolute;left:5132;top:1200;width:118;height:2503" id="docshape126" coordorigin="5132,1201" coordsize="118,2503" path="m5132,3703l5132,1377,5250,1201,5250,3703e" filled="false" stroked="true" strokeweight=".169076pt" strokecolor="#93bdff">
                  <v:path arrowok="t"/>
                  <v:stroke dashstyle="solid"/>
                </v:shape>
                <v:line style="position:absolute" from="5132,1377" to="5250,1202" stroked="true" strokeweight=".198838pt" strokecolor="#000000">
                  <v:stroke dashstyle="solid"/>
                </v:line>
                <v:shape style="position:absolute;left:5249;top:1200;width:119;height:2503" id="docshape127" coordorigin="5250,1201" coordsize="119,2503" path="m5250,1201l5250,3703,5368,3703,5368,1356,5250,1201xe" filled="true" fillcolor="#93bdff" stroked="false">
                  <v:path arrowok="t"/>
                  <v:fill type="solid"/>
                </v:shape>
                <v:shape style="position:absolute;left:5249;top:1200;width:119;height:2503" id="docshape128" coordorigin="5250,1201" coordsize="119,2503" path="m5250,3703l5250,1201,5368,1356,5368,3703e" filled="false" stroked="true" strokeweight=".169075pt" strokecolor="#93bdff">
                  <v:path arrowok="t"/>
                  <v:stroke dashstyle="solid"/>
                </v:shape>
                <v:line style="position:absolute" from="5250,1201" to="5368,1354" stroked="true" strokeweight=".196833pt" strokecolor="#000000">
                  <v:stroke dashstyle="solid"/>
                </v:line>
                <v:shape style="position:absolute;left:5367;top:1355;width:118;height:2348" id="docshape129" coordorigin="5368,1356" coordsize="118,2348" path="m5368,1356l5368,3703,5486,3703,5486,1526,5368,1356xe" filled="true" fillcolor="#93bdff" stroked="false">
                  <v:path arrowok="t"/>
                  <v:fill type="solid"/>
                </v:shape>
                <v:shape style="position:absolute;left:5367;top:1355;width:118;height:2348" id="docshape130" coordorigin="5368,1356" coordsize="118,2348" path="m5368,3703l5368,1356,5486,1526,5486,3703e" filled="false" stroked="true" strokeweight=".169067pt" strokecolor="#93bdff">
                  <v:path arrowok="t"/>
                  <v:stroke dashstyle="solid"/>
                </v:shape>
                <v:line style="position:absolute" from="5368,1356" to="5486,1525" stroked="true" strokeweight=".198299pt" strokecolor="#000000">
                  <v:stroke dashstyle="solid"/>
                </v:line>
                <v:shape style="position:absolute;left:5485;top:1526;width:120;height:2177" id="docshape131" coordorigin="5486,1526" coordsize="120,2177" path="m5486,1526l5486,3703,5605,3703,5605,1960,5486,1526xe" filled="true" fillcolor="#93bdff" stroked="false">
                  <v:path arrowok="t"/>
                  <v:fill type="solid"/>
                </v:shape>
                <v:shape style="position:absolute;left:5485;top:1526;width:120;height:2177" id="docshape132" coordorigin="5486,1526" coordsize="120,2177" path="m5486,3703l5486,1526,5605,1960,5605,3703e" filled="false" stroked="true" strokeweight=".169054pt" strokecolor="#93bdff">
                  <v:path arrowok="t"/>
                  <v:stroke dashstyle="solid"/>
                </v:shape>
                <v:line style="position:absolute" from="5486,1526" to="5605,1958" stroked="true" strokeweight=".206317pt" strokecolor="#000000">
                  <v:stroke dashstyle="solid"/>
                </v:line>
                <v:shape style="position:absolute;left:5605;top:994;width:118;height:2709" id="docshape133" coordorigin="5605,994" coordsize="118,2709" path="m5723,994l5605,1960,5605,3703,5723,3703,5723,994xe" filled="true" fillcolor="#93bdff" stroked="false">
                  <v:path arrowok="t"/>
                  <v:fill type="solid"/>
                </v:shape>
                <v:shape style="position:absolute;left:5605;top:994;width:118;height:2709" id="docshape134" coordorigin="5605,994" coordsize="118,2709" path="m5605,3703l5605,1960,5723,994,5723,3703e" filled="false" stroked="true" strokeweight=".169083pt" strokecolor="#93bdff">
                  <v:path arrowok="t"/>
                  <v:stroke dashstyle="solid"/>
                </v:shape>
                <v:shape style="position:absolute;left:5485;top:996;width:238;height:964" id="docshape135" coordorigin="5486,996" coordsize="238,964" path="m5486,1526l5605,1958m5605,1960l5723,996e" filled="false" stroked="true" strokeweight=".192851pt" strokecolor="#000000">
                  <v:path arrowok="t"/>
                  <v:stroke dashstyle="solid"/>
                </v:shape>
                <v:shape style="position:absolute;left:5723;top:994;width:118;height:2709" id="docshape136" coordorigin="5723,994" coordsize="118,2709" path="m5723,994l5723,3703,5841,3703,5841,1208,5723,994xe" filled="true" fillcolor="#93bdff" stroked="false">
                  <v:path arrowok="t"/>
                  <v:fill type="solid"/>
                </v:shape>
                <v:shape style="position:absolute;left:5723;top:994;width:118;height:2709" id="docshape137" coordorigin="5723,994" coordsize="118,2709" path="m5723,3703l5723,994,5841,1208,5841,3703e" filled="false" stroked="true" strokeweight=".169084pt" strokecolor="#93bdff">
                  <v:path arrowok="t"/>
                  <v:stroke dashstyle="solid"/>
                </v:shape>
                <v:shape style="position:absolute;left:5605;top:994;width:236;height:966" id="docshape138" coordorigin="5605,994" coordsize="236,966" path="m5605,1960l5723,996m5723,994l5841,1206e" filled="false" stroked="true" strokeweight=".192851pt" strokecolor="#000000">
                  <v:path arrowok="t"/>
                  <v:stroke dashstyle="solid"/>
                </v:shape>
                <v:shape style="position:absolute;left:5840;top:1207;width:118;height:2496" id="docshape139" coordorigin="5841,1208" coordsize="118,2496" path="m5841,1208l5841,3703,5959,3703,5959,2055,5841,1208xe" filled="true" fillcolor="#93bdff" stroked="false">
                  <v:path arrowok="t"/>
                  <v:fill type="solid"/>
                </v:shape>
                <v:shape style="position:absolute;left:5840;top:1207;width:118;height:2496" id="docshape140" coordorigin="5841,1208" coordsize="118,2496" path="m5841,3703l5841,1208,5959,2055,5959,3703e" filled="false" stroked="true" strokeweight=".169075pt" strokecolor="#93bdff">
                  <v:path arrowok="t"/>
                  <v:stroke dashstyle="solid"/>
                </v:shape>
                <v:shape style="position:absolute;left:5723;top:994;width:236;height:1059" id="docshape141" coordorigin="5723,994" coordsize="236,1059" path="m5723,994l5841,1206m5841,1208l5959,2053e" filled="false" stroked="true" strokeweight=".192851pt" strokecolor="#000000">
                  <v:path arrowok="t"/>
                  <v:stroke dashstyle="solid"/>
                </v:shape>
                <v:shape style="position:absolute;left:5958;top:1103;width:119;height:2600" id="docshape142" coordorigin="5959,1104" coordsize="119,2600" path="m6077,1104l5959,2055,5959,3703,6077,3703,6077,1104xe" filled="true" fillcolor="#93bdff" stroked="false">
                  <v:path arrowok="t"/>
                  <v:fill type="solid"/>
                </v:shape>
                <v:shape style="position:absolute;left:5958;top:1103;width:119;height:2600" id="docshape143" coordorigin="5959,1104" coordsize="119,2600" path="m5959,3703l5959,2055,6077,1104,6077,3703e" filled="false" stroked="true" strokeweight=".169079pt" strokecolor="#93bdff">
                  <v:path arrowok="t"/>
                  <v:stroke dashstyle="solid"/>
                </v:shape>
                <v:shape style="position:absolute;left:5840;top:1105;width:237;height:950" id="docshape144" coordorigin="5841,1105" coordsize="237,950" path="m5841,1208l5959,2053m5959,2055l6077,1105e" filled="false" stroked="true" strokeweight=".192851pt" strokecolor="#000000">
                  <v:path arrowok="t"/>
                  <v:stroke dashstyle="solid"/>
                </v:shape>
                <v:shape style="position:absolute;left:6076;top:1103;width:120;height:2600" id="docshape145" coordorigin="6077,1104" coordsize="120,2600" path="m6077,1104l6077,3703,6196,3703,6196,1111,6077,1104xe" filled="true" fillcolor="#93bdff" stroked="false">
                  <v:path arrowok="t"/>
                  <v:fill type="solid"/>
                </v:shape>
                <v:shape style="position:absolute;left:6076;top:1103;width:120;height:2600" id="docshape146" coordorigin="6077,1104" coordsize="120,2600" path="m6077,3703l6077,1104,6196,1111,6196,3703e" filled="false" stroked="true" strokeweight=".169078pt" strokecolor="#93bdff">
                  <v:path arrowok="t"/>
                  <v:stroke dashstyle="solid"/>
                </v:shape>
                <v:shape style="position:absolute;left:5958;top:1103;width:234;height:952" id="docshape147" coordorigin="5959,1104" coordsize="234,952" path="m5959,2055l6077,1105m6077,1104l6192,1111e" filled="false" stroked="true" strokeweight=".192851pt" strokecolor="#000000">
                  <v:path arrowok="t"/>
                  <v:stroke dashstyle="solid"/>
                </v:shape>
                <v:shape style="position:absolute;left:6196;top:714;width:119;height:2989" id="docshape148" coordorigin="6196,714" coordsize="119,2989" path="m6315,714l6196,1111,6196,3703,6315,3703,6315,714xe" filled="true" fillcolor="#93bdff" stroked="false">
                  <v:path arrowok="t"/>
                  <v:fill type="solid"/>
                </v:shape>
                <v:shape style="position:absolute;left:6196;top:714;width:119;height:2989" id="docshape149" coordorigin="6196,714" coordsize="119,2989" path="m6196,3703l6196,1111,6315,714,6315,3703e" filled="false" stroked="true" strokeweight=".169092pt" strokecolor="#93bdff">
                  <v:path arrowok="t"/>
                  <v:stroke dashstyle="solid"/>
                </v:shape>
                <v:line style="position:absolute" from="6196,1111" to="6315,716" stroked="true" strokeweight=".205981pt" strokecolor="#000000">
                  <v:stroke dashstyle="solid"/>
                </v:line>
                <v:shape style="position:absolute;left:6314;top:714;width:118;height:2989" id="docshape150" coordorigin="6315,714" coordsize="118,2989" path="m6315,714l6315,3703,6432,3703,6432,809,6315,714xe" filled="true" fillcolor="#93bdff" stroked="false">
                  <v:path arrowok="t"/>
                  <v:fill type="solid"/>
                </v:shape>
                <v:shape style="position:absolute;left:6314;top:714;width:118;height:2989" id="docshape151" coordorigin="6315,714" coordsize="118,2989" path="m6315,3703l6315,714,6432,809,6432,3703e" filled="false" stroked="true" strokeweight=".169092pt" strokecolor="#93bdff">
                  <v:path arrowok="t"/>
                  <v:stroke dashstyle="solid"/>
                </v:shape>
                <v:shape style="position:absolute;left:6196;top:714;width:236;height:397" id="docshape152" coordorigin="6196,714" coordsize="236,397" path="m6196,1111l6315,716m6315,714l6428,808m6432,809l6430,809e" filled="false" stroked="true" strokeweight=".192851pt" strokecolor="#000000">
                  <v:path arrowok="t"/>
                  <v:stroke dashstyle="solid"/>
                </v:shape>
                <v:shape style="position:absolute;left:6431;top:798;width:119;height:2905" id="docshape153" coordorigin="6432,799" coordsize="119,2905" path="m6550,799l6432,809,6432,3703,6550,3703,6550,799xe" filled="true" fillcolor="#93bdff" stroked="false">
                  <v:path arrowok="t"/>
                  <v:fill type="solid"/>
                </v:shape>
                <v:shape style="position:absolute;left:6431;top:798;width:119;height:2905" id="docshape154" coordorigin="6432,799" coordsize="119,2905" path="m6432,3703l6432,809,6550,799,6550,3703e" filled="false" stroked="true" strokeweight=".169089pt" strokecolor="#93bdff">
                  <v:path arrowok="t"/>
                  <v:stroke dashstyle="solid"/>
                </v:shape>
                <v:line style="position:absolute" from="6432,809" to="6546,799" stroked="true" strokeweight=".177411pt" strokecolor="#000000">
                  <v:stroke dashstyle="solid"/>
                </v:line>
                <v:shape style="position:absolute;left:6549;top:798;width:118;height:2905" id="docshape155" coordorigin="6550,799" coordsize="118,2905" path="m6550,799l6550,3703,6668,3703,6668,933,6550,799xe" filled="true" fillcolor="#93bdff" stroked="false">
                  <v:path arrowok="t"/>
                  <v:fill type="solid"/>
                </v:shape>
                <v:shape style="position:absolute;left:6549;top:798;width:118;height:2905" id="docshape156" coordorigin="6550,799" coordsize="118,2905" path="m6550,3703l6550,799,6668,933,6668,3703e" filled="false" stroked="true" strokeweight=".16909pt" strokecolor="#93bdff">
                  <v:path arrowok="t"/>
                  <v:stroke dashstyle="solid"/>
                </v:shape>
                <v:line style="position:absolute" from="6550,799" to="6665,931" stroked="true" strokeweight=".19498pt" strokecolor="#000000">
                  <v:stroke dashstyle="solid"/>
                </v:line>
                <v:shape style="position:absolute;left:6667;top:933;width:120;height:2770" id="docshape157" coordorigin="6668,933" coordsize="120,2770" path="m6668,933l6668,3703,6788,3703,6788,1107,6668,933xe" filled="true" fillcolor="#93bdff" stroked="false">
                  <v:path arrowok="t"/>
                  <v:fill type="solid"/>
                </v:shape>
                <v:shape style="position:absolute;left:6667;top:933;width:120;height:2770" id="docshape158" coordorigin="6668,933" coordsize="120,2770" path="m6668,3703l6668,933,6788,1107,6788,3703e" filled="false" stroked="true" strokeweight=".169084pt" strokecolor="#93bdff">
                  <v:path arrowok="t"/>
                  <v:stroke dashstyle="solid"/>
                </v:shape>
                <v:line style="position:absolute" from="6668,933" to="6788,1105" stroked="true" strokeweight=".198324pt" strokecolor="#000000">
                  <v:stroke dashstyle="solid"/>
                </v:line>
                <v:shape style="position:absolute;left:6787;top:1107;width:118;height:2596" id="docshape159" coordorigin="6788,1107" coordsize="118,2596" path="m6788,1107l6788,3703,6906,3703,6906,1206,6788,1107xe" filled="true" fillcolor="#93bdff" stroked="false">
                  <v:path arrowok="t"/>
                  <v:fill type="solid"/>
                </v:shape>
                <v:shape style="position:absolute;left:6787;top:1107;width:118;height:2596" id="docshape160" coordorigin="6788,1107" coordsize="118,2596" path="m6788,3703l6788,1107,6906,1206,6906,3703e" filled="false" stroked="true" strokeweight=".169079pt" strokecolor="#93bdff">
                  <v:path arrowok="t"/>
                  <v:stroke dashstyle="solid"/>
                </v:shape>
                <v:line style="position:absolute" from="6788,1107" to="6903,1204" stroked="true" strokeweight=".190082pt" strokecolor="#000000">
                  <v:stroke dashstyle="solid"/>
                </v:line>
                <v:shape style="position:absolute;left:6905;top:1205;width:118;height:2498" id="docshape161" coordorigin="6906,1206" coordsize="118,2498" path="m6906,1206l6906,3703,7023,3703,7023,1576,6906,1206xe" filled="true" fillcolor="#93bdff" stroked="false">
                  <v:path arrowok="t"/>
                  <v:fill type="solid"/>
                </v:shape>
                <v:shape style="position:absolute;left:6905;top:1205;width:118;height:2498" id="docshape162" coordorigin="6906,1206" coordsize="118,2498" path="m6906,3703l6906,1206,7023,1576,7023,3703e" filled="false" stroked="true" strokeweight=".169075pt" strokecolor="#93bdff">
                  <v:path arrowok="t"/>
                  <v:stroke dashstyle="solid"/>
                </v:shape>
                <v:shape style="position:absolute;left:6905;top:1205;width:118;height:370" id="docshape163" coordorigin="6906,1206" coordsize="118,370" path="m6906,1206l7021,1574m7023,1576l7021,1576e" filled="false" stroked="true" strokeweight=".192851pt" strokecolor="#000000">
                  <v:path arrowok="t"/>
                  <v:stroke dashstyle="solid"/>
                </v:shape>
                <v:shape style="position:absolute;left:7023;top:923;width:118;height:2780" id="docshape164" coordorigin="7023,924" coordsize="118,2780" path="m7141,924l7023,1576,7023,3703,7141,3703,7141,924xe" filled="true" fillcolor="#93bdff" stroked="false">
                  <v:path arrowok="t"/>
                  <v:fill type="solid"/>
                </v:shape>
                <v:shape style="position:absolute;left:7023;top:923;width:118;height:2780" id="docshape165" coordorigin="7023,924" coordsize="118,2780" path="m7023,3703l7023,1576,7141,924,7141,3703e" filled="false" stroked="true" strokeweight=".169086pt" strokecolor="#93bdff">
                  <v:path arrowok="t"/>
                  <v:stroke dashstyle="solid"/>
                </v:shape>
                <v:shape style="position:absolute;left:6905;top:925;width:236;height:650" id="docshape166" coordorigin="6906,926" coordsize="236,650" path="m6906,1206l7021,1574m7023,1576l7141,926e" filled="false" stroked="true" strokeweight=".192851pt" strokecolor="#000000">
                  <v:path arrowok="t"/>
                  <v:stroke dashstyle="solid"/>
                </v:shape>
                <v:shape style="position:absolute;left:7140;top:923;width:119;height:2780" id="docshape167" coordorigin="7141,924" coordsize="119,2780" path="m7141,924l7141,3703,7259,3703,7259,2207,7141,924xe" filled="true" fillcolor="#93bdff" stroked="false">
                  <v:path arrowok="t"/>
                  <v:fill type="solid"/>
                </v:shape>
                <v:shape style="position:absolute;left:7140;top:923;width:119;height:2780" id="docshape168" coordorigin="7141,924" coordsize="119,2780" path="m7141,3703l7141,924,7259,2207,7259,3703e" filled="false" stroked="true" strokeweight=".169086pt" strokecolor="#93bdff">
                  <v:path arrowok="t"/>
                  <v:stroke dashstyle="solid"/>
                </v:shape>
                <v:shape style="position:absolute;left:7023;top:923;width:237;height:1281" id="docshape169" coordorigin="7023,924" coordsize="237,1281" path="m7023,1576l7141,926m7141,924l7259,2205e" filled="false" stroked="true" strokeweight=".192851pt" strokecolor="#000000">
                  <v:path arrowok="t"/>
                  <v:stroke dashstyle="solid"/>
                </v:shape>
                <v:shape style="position:absolute;left:7259;top:897;width:120;height:2806" id="docshape170" coordorigin="7259,898" coordsize="120,2806" path="m7379,898l7259,2207,7259,3703,7379,3703,7379,898xe" filled="true" fillcolor="#93bdff" stroked="false">
                  <v:path arrowok="t"/>
                  <v:fill type="solid"/>
                </v:shape>
                <v:shape style="position:absolute;left:7259;top:897;width:120;height:2806" id="docshape171" coordorigin="7259,898" coordsize="120,2806" path="m7259,3703l7259,2207,7379,898,7379,3703e" filled="false" stroked="true" strokeweight=".169085pt" strokecolor="#93bdff">
                  <v:path arrowok="t"/>
                  <v:stroke dashstyle="solid"/>
                </v:shape>
                <v:shape style="position:absolute;left:7140;top:899;width:238;height:1308" id="docshape172" coordorigin="7141,900" coordsize="238,1308" path="m7141,924l7259,2205m7259,2207l7379,900e" filled="false" stroked="true" strokeweight=".192851pt" strokecolor="#000000">
                  <v:path arrowok="t"/>
                  <v:stroke dashstyle="solid"/>
                </v:shape>
                <v:shape style="position:absolute;left:7378;top:897;width:119;height:2806" id="docshape173" coordorigin="7379,898" coordsize="119,2806" path="m7379,898l7379,3703,7497,3703,7497,945,7379,898xe" filled="true" fillcolor="#93bdff" stroked="false">
                  <v:path arrowok="t"/>
                  <v:fill type="solid"/>
                </v:shape>
                <v:shape style="position:absolute;left:7378;top:897;width:119;height:2806" id="docshape174" coordorigin="7379,898" coordsize="119,2806" path="m7379,3703l7379,898,7497,945,7497,3703e" filled="false" stroked="true" strokeweight=".169086pt" strokecolor="#93bdff">
                  <v:path arrowok="t"/>
                  <v:stroke dashstyle="solid"/>
                </v:shape>
                <v:shape style="position:absolute;left:7259;top:897;width:236;height:1310" id="docshape175" coordorigin="7259,898" coordsize="236,1310" path="m7259,2207l7379,900m7379,898l7494,945e" filled="false" stroked="true" strokeweight=".192851pt" strokecolor="#000000">
                  <v:path arrowok="t"/>
                  <v:stroke dashstyle="solid"/>
                </v:shape>
                <v:shape style="position:absolute;left:7496;top:733;width:118;height:2970" id="docshape176" coordorigin="7497,734" coordsize="118,2970" path="m7614,734l7497,945,7497,3703,7614,3703,7614,734xe" filled="true" fillcolor="#93bdff" stroked="false">
                  <v:path arrowok="t"/>
                  <v:fill type="solid"/>
                </v:shape>
                <v:shape style="position:absolute;left:7496;top:733;width:118;height:2970" id="docshape177" coordorigin="7497,734" coordsize="118,2970" path="m7497,3703l7497,945,7614,734,7614,3703e" filled="false" stroked="true" strokeweight=".169092pt" strokecolor="#93bdff">
                  <v:path arrowok="t"/>
                  <v:stroke dashstyle="solid"/>
                </v:shape>
                <v:shape style="position:absolute;left:7496;top:733;width:118;height:212" id="docshape178" coordorigin="7497,734" coordsize="118,212" path="m7497,945l7612,735m7614,734l7612,734e" filled="false" stroked="true" strokeweight=".192851pt" strokecolor="#000000">
                  <v:path arrowok="t"/>
                  <v:stroke dashstyle="solid"/>
                </v:shape>
                <v:shape style="position:absolute;left:7614;top:518;width:119;height:3184" id="docshape179" coordorigin="7614,519" coordsize="119,3184" path="m7732,519l7614,734,7614,3703,7732,3703,7732,519xe" filled="true" fillcolor="#93bdff" stroked="false">
                  <v:path arrowok="t"/>
                  <v:fill type="solid"/>
                </v:shape>
                <v:shape style="position:absolute;left:7614;top:518;width:119;height:3184" id="docshape180" coordorigin="7614,519" coordsize="119,3184" path="m7614,3703l7614,734,7732,519,7732,3703e" filled="false" stroked="true" strokeweight=".169096pt" strokecolor="#93bdff">
                  <v:path arrowok="t"/>
                  <v:stroke dashstyle="solid"/>
                </v:shape>
                <v:shape style="position:absolute;left:7496;top:520;width:236;height:425" id="docshape181" coordorigin="7497,520" coordsize="236,425" path="m7497,945l7612,735m7614,734l7732,520e" filled="false" stroked="true" strokeweight=".192851pt" strokecolor="#000000">
                  <v:path arrowok="t"/>
                  <v:stroke dashstyle="solid"/>
                </v:shape>
                <v:shape style="position:absolute;left:7732;top:518;width:118;height:3184" id="docshape182" coordorigin="7732,519" coordsize="118,3184" path="m7732,519l7732,3703,7850,3703,7850,753,7732,519xe" filled="true" fillcolor="#93bdff" stroked="false">
                  <v:path arrowok="t"/>
                  <v:fill type="solid"/>
                </v:shape>
                <v:shape style="position:absolute;left:7732;top:518;width:118;height:3184" id="docshape183" coordorigin="7732,519" coordsize="118,3184" path="m7732,3703l7732,519,7850,753,7850,3703e" filled="false" stroked="true" strokeweight=".169097pt" strokecolor="#93bdff">
                  <v:path arrowok="t"/>
                  <v:stroke dashstyle="solid"/>
                </v:shape>
                <v:shape style="position:absolute;left:7614;top:518;width:237;height:233" id="docshape184" coordorigin="7614,519" coordsize="237,233" path="m7614,734l7732,520m7732,519l7850,752e" filled="false" stroked="true" strokeweight=".192851pt" strokecolor="#000000">
                  <v:path arrowok="t"/>
                  <v:stroke dashstyle="solid"/>
                </v:shape>
                <v:shape style="position:absolute;left:7850;top:589;width:120;height:3114" id="docshape185" coordorigin="7850,589" coordsize="120,3114" path="m7970,589l7850,753,7850,3703,7970,3703,7970,589xe" filled="true" fillcolor="#93bdff" stroked="false">
                  <v:path arrowok="t"/>
                  <v:fill type="solid"/>
                </v:shape>
                <v:shape style="position:absolute;left:7850;top:589;width:120;height:3114" id="docshape186" coordorigin="7850,589" coordsize="120,3114" path="m7850,3703l7850,753,7970,589,7970,3703e" filled="false" stroked="true" strokeweight=".169094pt" strokecolor="#93bdff">
                  <v:path arrowok="t"/>
                  <v:stroke dashstyle="solid"/>
                </v:shape>
                <v:shape style="position:absolute;left:7732;top:518;width:238;height:235" id="docshape187" coordorigin="7732,519" coordsize="238,235" path="m7732,519l7850,752m7850,753l7970,591e" filled="false" stroked="true" strokeweight=".192851pt" strokecolor="#000000">
                  <v:path arrowok="t"/>
                  <v:stroke dashstyle="solid"/>
                </v:shape>
                <v:shape style="position:absolute;left:7969;top:589;width:118;height:3114" id="docshape188" coordorigin="7970,589" coordsize="118,3114" path="m7970,589l7970,3703,8088,3703,8088,783,7970,589xe" filled="true" fillcolor="#93bdff" stroked="false">
                  <v:path arrowok="t"/>
                  <v:fill type="solid"/>
                </v:shape>
                <v:shape style="position:absolute;left:7969;top:589;width:118;height:3114" id="docshape189" coordorigin="7970,589" coordsize="118,3114" path="m7970,3703l7970,589,8088,783,8088,3703e" filled="false" stroked="true" strokeweight=".169095pt" strokecolor="#93bdff">
                  <v:path arrowok="t"/>
                  <v:stroke dashstyle="solid"/>
                </v:shape>
                <v:line style="position:absolute" from="7970,589" to="8088,781" stroked="true" strokeweight=".199963pt" strokecolor="#000000">
                  <v:stroke dashstyle="solid"/>
                </v:line>
                <v:shape style="position:absolute;left:8087;top:783;width:118;height:2920" id="docshape190" coordorigin="8088,783" coordsize="118,2920" path="m8088,783l8088,3703,8205,3703,8205,989,8088,783xe" filled="true" fillcolor="#93bdff" stroked="false">
                  <v:path arrowok="t"/>
                  <v:fill type="solid"/>
                </v:shape>
                <v:shape style="position:absolute;left:8087;top:783;width:118;height:2920" id="docshape191" coordorigin="8088,783" coordsize="118,2920" path="m8088,3703l8088,783,8205,989,8205,3703e" filled="false" stroked="true" strokeweight=".16909pt" strokecolor="#93bdff">
                  <v:path arrowok="t"/>
                  <v:stroke dashstyle="solid"/>
                </v:shape>
                <v:shape style="position:absolute;left:8087;top:783;width:118;height:207" id="docshape192" coordorigin="8088,783" coordsize="118,207" path="m8088,783l8204,987m8205,989l8204,989e" filled="false" stroked="true" strokeweight=".192851pt" strokecolor="#000000">
                  <v:path arrowok="t"/>
                  <v:stroke dashstyle="solid"/>
                </v:shape>
                <v:shape style="position:absolute;left:8205;top:906;width:118;height:2797" id="docshape193" coordorigin="8205,906" coordsize="118,2797" path="m8323,906l8205,989,8205,3703,8323,3703,8323,906xe" filled="true" fillcolor="#93bdff" stroked="false">
                  <v:path arrowok="t"/>
                  <v:fill type="solid"/>
                </v:shape>
                <v:shape style="position:absolute;left:8205;top:906;width:118;height:2797" id="docshape194" coordorigin="8205,906" coordsize="118,2797" path="m8205,3703l8205,989,8323,906,8323,3703e" filled="false" stroked="true" strokeweight=".169086pt" strokecolor="#93bdff">
                  <v:path arrowok="t"/>
                  <v:stroke dashstyle="solid"/>
                </v:shape>
                <v:shape style="position:absolute;left:8087;top:783;width:232;height:207" id="docshape195" coordorigin="8088,783" coordsize="232,207" path="m8088,783l8204,987m8205,989l8319,908e" filled="false" stroked="true" strokeweight=".192851pt" strokecolor="#000000">
                  <v:path arrowok="t"/>
                  <v:stroke dashstyle="solid"/>
                </v:shape>
                <v:shape style="position:absolute;left:8323;top:906;width:119;height:2797" id="docshape196" coordorigin="8323,906" coordsize="119,2797" path="m8323,906l8323,3703,8441,3703,8441,1364,8323,906xe" filled="true" fillcolor="#93bdff" stroked="false">
                  <v:path arrowok="t"/>
                  <v:fill type="solid"/>
                </v:shape>
                <v:shape style="position:absolute;left:8323;top:906;width:119;height:2797" id="docshape197" coordorigin="8323,906" coordsize="119,2797" path="m8323,3703l8323,906,8441,1364,8441,3703e" filled="false" stroked="true" strokeweight=".169086pt" strokecolor="#93bdff">
                  <v:path arrowok="t"/>
                  <v:stroke dashstyle="solid"/>
                </v:shape>
                <v:line style="position:absolute" from="8323,906" to="8441,1363" stroked="true" strokeweight=".206591pt" strokecolor="#000000">
                  <v:stroke dashstyle="solid"/>
                </v:line>
                <v:shape style="position:absolute;left:8441;top:903;width:120;height:2800" id="docshape198" coordorigin="8441,903" coordsize="120,2800" path="m8561,903l8441,1364,8441,3703,8561,3703,8561,903xe" filled="true" fillcolor="#93bdff" stroked="false">
                  <v:path arrowok="t"/>
                  <v:fill type="solid"/>
                </v:shape>
                <v:shape style="position:absolute;left:8441;top:903;width:120;height:2800" id="docshape199" coordorigin="8441,903" coordsize="120,2800" path="m8441,3703l8441,1364,8561,903,8561,3703e" filled="false" stroked="true" strokeweight=".169085pt" strokecolor="#93bdff">
                  <v:path arrowok="t"/>
                  <v:stroke dashstyle="solid"/>
                </v:shape>
                <v:shape style="position:absolute;left:8323;top:904;width:238;height:460" id="docshape200" coordorigin="8323,904" coordsize="238,460" path="m8323,906l8441,1363m8441,1364l8561,904e" filled="false" stroked="true" strokeweight=".192851pt" strokecolor="#000000">
                  <v:path arrowok="t"/>
                  <v:stroke dashstyle="solid"/>
                </v:shape>
                <v:shape style="position:absolute;left:8560;top:903;width:119;height:2800" id="docshape201" coordorigin="8561,903" coordsize="119,2800" path="m8561,903l8561,3703,8679,3703,8679,1749,8561,903xe" filled="true" fillcolor="#93bdff" stroked="false">
                  <v:path arrowok="t"/>
                  <v:fill type="solid"/>
                </v:shape>
                <v:shape style="position:absolute;left:8560;top:903;width:119;height:2800" id="docshape202" coordorigin="8561,903" coordsize="119,2800" path="m8561,3703l8561,903,8679,1749,8679,3703e" filled="false" stroked="true" strokeweight=".169086pt" strokecolor="#93bdff">
                  <v:path arrowok="t"/>
                  <v:stroke dashstyle="solid"/>
                </v:shape>
                <v:shape style="position:absolute;left:8441;top:903;width:238;height:844" id="docshape203" coordorigin="8441,903" coordsize="238,844" path="m8441,1364l8561,904m8561,903l8679,1746e" filled="false" stroked="true" strokeweight=".192851pt" strokecolor="#000000">
                  <v:path arrowok="t"/>
                  <v:stroke dashstyle="solid"/>
                </v:shape>
                <v:shape style="position:absolute;left:8679;top:747;width:118;height:2955" id="docshape204" coordorigin="8679,748" coordsize="118,2955" path="m8796,748l8679,1749,8679,3703,8796,3703,8796,748xe" filled="true" fillcolor="#93bdff" stroked="false">
                  <v:path arrowok="t"/>
                  <v:fill type="solid"/>
                </v:shape>
                <v:shape style="position:absolute;left:8679;top:747;width:118;height:2955" id="docshape205" coordorigin="8679,748" coordsize="118,2955" path="m8679,3703l8679,1749,8796,748,8796,3703e" filled="false" stroked="true" strokeweight=".169092pt" strokecolor="#93bdff">
                  <v:path arrowok="t"/>
                  <v:stroke dashstyle="solid"/>
                </v:shape>
                <v:shape style="position:absolute;left:8560;top:747;width:236;height:1001" id="docshape206" coordorigin="8561,748" coordsize="236,1001" path="m8561,903l8679,1746m8679,1749l8795,750m8796,748l8795,748e" filled="false" stroked="true" strokeweight=".192851pt" strokecolor="#000000">
                  <v:path arrowok="t"/>
                  <v:stroke dashstyle="solid"/>
                </v:shape>
                <v:shape style="position:absolute;left:8796;top:747;width:119;height:2955" id="docshape207" coordorigin="8796,748" coordsize="119,2955" path="m8796,748l8796,3703,8914,3703,8914,934,8796,748xe" filled="true" fillcolor="#93bdff" stroked="false">
                  <v:path arrowok="t"/>
                  <v:fill type="solid"/>
                </v:shape>
                <v:shape style="position:absolute;left:8796;top:747;width:119;height:2955" id="docshape208" coordorigin="8796,748" coordsize="119,2955" path="m8796,3703l8796,748,8914,934,8914,3703e" filled="false" stroked="true" strokeweight=".169091pt" strokecolor="#93bdff">
                  <v:path arrowok="t"/>
                  <v:stroke dashstyle="solid"/>
                </v:shape>
                <v:shape style="position:absolute;left:8679;top:747;width:236;height:1001" id="docshape209" coordorigin="8679,748" coordsize="236,1001" path="m8679,1749l8795,750m8796,748l8914,933e" filled="false" stroked="true" strokeweight=".192851pt" strokecolor="#000000">
                  <v:path arrowok="t"/>
                  <v:stroke dashstyle="solid"/>
                </v:shape>
                <v:shape style="position:absolute;left:8914;top:596;width:118;height:3107" id="docshape210" coordorigin="8914,596" coordsize="118,3107" path="m9032,596l8914,934,8914,3703,9032,3703,9032,596xe" filled="true" fillcolor="#93bdff" stroked="false">
                  <v:path arrowok="t"/>
                  <v:fill type="solid"/>
                </v:shape>
                <v:shape style="position:absolute;left:8914;top:596;width:118;height:3107" id="docshape211" coordorigin="8914,596" coordsize="118,3107" path="m8914,3703l8914,934,9032,596,9032,3703e" filled="false" stroked="true" strokeweight=".169095pt" strokecolor="#93bdff">
                  <v:path arrowok="t"/>
                  <v:stroke dashstyle="solid"/>
                </v:shape>
                <v:line style="position:absolute" from="8914,934" to="9032,598" stroked="true" strokeweight=".205128pt" strokecolor="#000000">
                  <v:stroke dashstyle="solid"/>
                </v:line>
                <v:shape style="position:absolute;left:9032;top:575;width:120;height:3128" id="docshape212" coordorigin="9032,575" coordsize="120,3128" path="m9152,575l9032,596,9032,3703,9152,3703,9152,575xe" filled="true" fillcolor="#93bdff" stroked="false">
                  <v:path arrowok="t"/>
                  <v:fill type="solid"/>
                </v:shape>
                <v:shape style="position:absolute;left:9032;top:575;width:120;height:3128" id="docshape213" coordorigin="9032,575" coordsize="120,3128" path="m9032,3703l9032,596,9152,575,9152,3703e" filled="false" stroked="true" strokeweight=".169094pt" strokecolor="#93bdff">
                  <v:path arrowok="t"/>
                  <v:stroke dashstyle="solid"/>
                </v:shape>
                <v:shape style="position:absolute;left:8914;top:575;width:234;height:360" id="docshape214" coordorigin="8914,575" coordsize="234,360" path="m8914,934l9032,598m9032,596l9148,575e" filled="false" stroked="true" strokeweight=".192851pt" strokecolor="#000000">
                  <v:path arrowok="t"/>
                  <v:stroke dashstyle="solid"/>
                </v:shape>
                <v:shape style="position:absolute;left:9152;top:575;width:118;height:3128" id="docshape215" coordorigin="9152,575" coordsize="118,3128" path="m9152,575l9152,3703,9270,3703,9270,653,9152,575xe" filled="true" fillcolor="#93bdff" stroked="false">
                  <v:path arrowok="t"/>
                  <v:fill type="solid"/>
                </v:shape>
                <v:shape style="position:absolute;left:9152;top:575;width:118;height:3128" id="docshape216" coordorigin="9152,575" coordsize="118,3128" path="m9152,3703l9152,575,9270,653,9270,3703e" filled="false" stroked="true" strokeweight=".169095pt" strokecolor="#93bdff">
                  <v:path arrowok="t"/>
                  <v:stroke dashstyle="solid"/>
                </v:shape>
                <v:line style="position:absolute" from="9152,575" to="9268,651" stroked="true" strokeweight=".18655pt" strokecolor="#000000">
                  <v:stroke dashstyle="solid"/>
                </v:line>
                <v:shape style="position:absolute;left:9270;top:250;width:118;height:3453" id="docshape217" coordorigin="9270,251" coordsize="118,3453" path="m9387,251l9270,653,9270,3703,9387,3703,9387,251xe" filled="true" fillcolor="#93bdff" stroked="false">
                  <v:path arrowok="t"/>
                  <v:fill type="solid"/>
                </v:shape>
                <v:shape style="position:absolute;left:9270;top:250;width:118;height:3453" id="docshape218" coordorigin="9270,251" coordsize="118,3453" path="m9270,3703l9270,653,9387,251,9387,3703e" filled="false" stroked="true" strokeweight=".169102pt" strokecolor="#93bdff">
                  <v:path arrowok="t"/>
                  <v:stroke dashstyle="solid"/>
                </v:shape>
                <v:shape style="position:absolute;left:9270;top:250;width:118;height:402" id="docshape219" coordorigin="9270,251" coordsize="118,402" path="m9270,653l9386,253m9387,251l9386,251e" filled="false" stroked="true" strokeweight=".192851pt" strokecolor="#000000">
                  <v:path arrowok="t"/>
                  <v:stroke dashstyle="solid"/>
                </v:shape>
                <v:shape style="position:absolute;left:9387;top:250;width:118;height:3453" id="docshape220" coordorigin="9387,251" coordsize="118,3453" path="m9387,251l9387,3703,9505,3703,9505,584,9387,251xe" filled="true" fillcolor="#93bdff" stroked="false">
                  <v:path arrowok="t"/>
                  <v:fill type="solid"/>
                </v:shape>
                <v:shape style="position:absolute;left:9387;top:250;width:118;height:3453" id="docshape221" coordorigin="9387,251" coordsize="118,3453" path="m9387,3703l9387,251,9505,584,9505,3703e" filled="false" stroked="true" strokeweight=".169102pt" strokecolor="#93bdff">
                  <v:path arrowok="t"/>
                  <v:stroke dashstyle="solid"/>
                </v:shape>
                <v:shape style="position:absolute;left:9270;top:250;width:236;height:402" id="docshape222" coordorigin="9270,251" coordsize="236,402" path="m9270,653l9386,253m9387,251l9505,582e" filled="false" stroked="true" strokeweight=".192851pt" strokecolor="#000000">
                  <v:path arrowok="t"/>
                  <v:stroke dashstyle="solid"/>
                </v:shape>
                <v:shape style="position:absolute;left:9505;top:583;width:108;height:3120" id="docshape223" coordorigin="9505,584" coordsize="108,3120" path="m9505,584l9505,3703,9613,3703,9613,725,9505,584xe" filled="true" fillcolor="#93bdff" stroked="false">
                  <v:path arrowok="t"/>
                  <v:fill type="solid"/>
                </v:shape>
                <v:shape style="position:absolute;left:9505;top:583;width:108;height:3120" id="docshape224" coordorigin="9505,584" coordsize="108,3120" path="m9505,3703l9505,584,9613,725e" filled="false" stroked="true" strokeweight=".169101pt" strokecolor="#93bdff">
                  <v:path arrowok="t"/>
                  <v:stroke dashstyle="solid"/>
                </v:shape>
                <v:line style="position:absolute" from="9387,251" to="9505,582" stroked="true" strokeweight=".205033pt" strokecolor="#000000">
                  <v:stroke dashstyle="solid"/>
                </v:line>
                <v:line style="position:absolute" from="9505,584" to="9613,725" stroked="true" strokeweight=".197028pt" strokecolor="#000000">
                  <v:stroke dashstyle="solid"/>
                </v:line>
                <v:shape style="position:absolute;left:2639;top:135;width:6981;height:3572" id="docshape225" coordorigin="2640,135" coordsize="6981,3572" path="m2640,135l2640,3707m2640,3707l9620,3707m9620,3707l9620,135m9620,135l2640,135e" filled="false" stroked="true" strokeweight=".468343pt" strokecolor="#000000">
                  <v:path arrowok="t"/>
                  <v:stroke dashstyle="solid"/>
                </v:shape>
                <w10:wrap type="none"/>
              </v:group>
            </w:pict>
          </mc:Fallback>
        </mc:AlternateContent>
      </w:r>
      <w:r>
        <w:rPr>
          <w:rFonts w:ascii="Arial MT"/>
          <w:spacing w:val="-5"/>
          <w:w w:val="120"/>
          <w:sz w:val="16"/>
        </w:rPr>
        <w:t>170</w:t>
      </w:r>
    </w:p>
    <w:p>
      <w:pPr>
        <w:pStyle w:val="BodyText"/>
        <w:spacing w:before="140"/>
        <w:rPr>
          <w:rFonts w:ascii="Arial MT"/>
          <w:sz w:val="16"/>
        </w:rPr>
      </w:pPr>
    </w:p>
    <w:p>
      <w:pPr>
        <w:spacing w:before="0"/>
        <w:ind w:left="749" w:right="0" w:firstLine="0"/>
        <w:jc w:val="left"/>
        <w:rPr>
          <w:rFonts w:ascii="Arial MT"/>
          <w:sz w:val="16"/>
        </w:rPr>
      </w:pPr>
      <w:r>
        <w:rPr>
          <w:rFonts w:ascii="Arial MT"/>
          <w:spacing w:val="-5"/>
          <w:w w:val="120"/>
          <w:sz w:val="16"/>
        </w:rPr>
        <w:t>160</w:t>
      </w:r>
    </w:p>
    <w:p>
      <w:pPr>
        <w:pStyle w:val="BodyText"/>
        <w:spacing w:before="141"/>
        <w:rPr>
          <w:rFonts w:ascii="Arial MT"/>
          <w:sz w:val="16"/>
        </w:rPr>
      </w:pPr>
    </w:p>
    <w:p>
      <w:pPr>
        <w:spacing w:before="0"/>
        <w:ind w:left="749" w:right="0" w:firstLine="0"/>
        <w:jc w:val="left"/>
        <w:rPr>
          <w:rFonts w:ascii="Arial MT"/>
          <w:sz w:val="16"/>
        </w:rPr>
      </w:pPr>
      <w:r>
        <w:rPr>
          <w:rFonts w:ascii="Arial MT"/>
          <w:spacing w:val="-5"/>
          <w:w w:val="120"/>
          <w:sz w:val="16"/>
        </w:rPr>
        <w:t>150</w:t>
      </w:r>
    </w:p>
    <w:p>
      <w:pPr>
        <w:pStyle w:val="BodyText"/>
        <w:spacing w:before="141"/>
        <w:rPr>
          <w:rFonts w:ascii="Arial MT"/>
          <w:sz w:val="16"/>
        </w:rPr>
      </w:pPr>
    </w:p>
    <w:p>
      <w:pPr>
        <w:spacing w:before="0"/>
        <w:ind w:left="749" w:right="0" w:firstLine="0"/>
        <w:jc w:val="left"/>
        <w:rPr>
          <w:rFonts w:ascii="Arial MT"/>
          <w:sz w:val="16"/>
        </w:rPr>
      </w:pPr>
      <w:r>
        <w:rPr>
          <w:rFonts w:ascii="Arial MT"/>
          <w:spacing w:val="-5"/>
          <w:w w:val="120"/>
          <w:sz w:val="16"/>
        </w:rPr>
        <w:t>140</w:t>
      </w:r>
    </w:p>
    <w:p>
      <w:pPr>
        <w:pStyle w:val="BodyText"/>
        <w:spacing w:before="142"/>
        <w:rPr>
          <w:rFonts w:ascii="Arial MT"/>
          <w:sz w:val="16"/>
        </w:rPr>
      </w:pPr>
    </w:p>
    <w:p>
      <w:pPr>
        <w:spacing w:before="0"/>
        <w:ind w:left="749" w:right="0" w:firstLine="0"/>
        <w:jc w:val="left"/>
        <w:rPr>
          <w:rFonts w:ascii="Arial MT"/>
          <w:sz w:val="16"/>
        </w:rPr>
      </w:pPr>
      <w:r>
        <w:rPr>
          <w:rFonts w:ascii="Arial MT"/>
          <w:spacing w:val="-5"/>
          <w:w w:val="120"/>
          <w:sz w:val="16"/>
        </w:rPr>
        <w:t>130</w:t>
      </w:r>
    </w:p>
    <w:p>
      <w:pPr>
        <w:pStyle w:val="BodyText"/>
        <w:spacing w:before="141"/>
        <w:rPr>
          <w:rFonts w:ascii="Arial MT"/>
          <w:sz w:val="16"/>
        </w:rPr>
      </w:pPr>
    </w:p>
    <w:p>
      <w:pPr>
        <w:spacing w:before="0"/>
        <w:ind w:left="749" w:right="0" w:firstLine="0"/>
        <w:jc w:val="left"/>
        <w:rPr>
          <w:rFonts w:ascii="Arial MT"/>
          <w:sz w:val="16"/>
        </w:rPr>
      </w:pPr>
      <w:r>
        <w:rPr>
          <w:rFonts w:ascii="Arial MT"/>
          <w:spacing w:val="-5"/>
          <w:w w:val="120"/>
          <w:sz w:val="16"/>
        </w:rPr>
        <w:t>120</w:t>
      </w:r>
    </w:p>
    <w:p>
      <w:pPr>
        <w:pStyle w:val="BodyText"/>
        <w:spacing w:before="141"/>
        <w:rPr>
          <w:rFonts w:ascii="Arial MT"/>
          <w:sz w:val="16"/>
        </w:rPr>
      </w:pPr>
    </w:p>
    <w:p>
      <w:pPr>
        <w:spacing w:before="0"/>
        <w:ind w:left="749" w:right="0" w:firstLine="0"/>
        <w:jc w:val="left"/>
        <w:rPr>
          <w:rFonts w:ascii="Arial MT"/>
          <w:sz w:val="16"/>
        </w:rPr>
      </w:pPr>
      <w:r>
        <w:rPr>
          <w:rFonts w:ascii="Arial MT"/>
          <w:spacing w:val="-5"/>
          <w:w w:val="120"/>
          <w:sz w:val="16"/>
        </w:rPr>
        <w:t>110</w:t>
      </w:r>
    </w:p>
    <w:p>
      <w:pPr>
        <w:pStyle w:val="BodyText"/>
        <w:spacing w:before="141"/>
        <w:rPr>
          <w:rFonts w:ascii="Arial MT"/>
          <w:sz w:val="16"/>
        </w:rPr>
      </w:pPr>
    </w:p>
    <w:p>
      <w:pPr>
        <w:spacing w:before="0"/>
        <w:ind w:left="749" w:right="0" w:firstLine="0"/>
        <w:jc w:val="left"/>
        <w:rPr>
          <w:rFonts w:ascii="Arial MT"/>
          <w:sz w:val="16"/>
        </w:rPr>
      </w:pPr>
      <w:r>
        <w:rPr>
          <w:rFonts w:ascii="Arial MT"/>
          <w:spacing w:val="-5"/>
          <w:w w:val="120"/>
          <w:sz w:val="16"/>
        </w:rPr>
        <w:t>100</w:t>
      </w:r>
    </w:p>
    <w:p>
      <w:pPr>
        <w:tabs>
          <w:tab w:pos="1652" w:val="left" w:leader="none"/>
          <w:tab w:pos="1981" w:val="left" w:leader="none"/>
          <w:tab w:pos="2739" w:val="left" w:leader="none"/>
          <w:tab w:pos="3070" w:val="left" w:leader="none"/>
          <w:tab w:pos="3401" w:val="left" w:leader="none"/>
          <w:tab w:pos="4157" w:val="left" w:leader="none"/>
          <w:tab w:pos="4490" w:val="left" w:leader="none"/>
          <w:tab w:pos="4819" w:val="left" w:leader="none"/>
          <w:tab w:pos="5577" w:val="left" w:leader="none"/>
          <w:tab w:pos="5908" w:val="left" w:leader="none"/>
          <w:tab w:pos="6239" w:val="left" w:leader="none"/>
          <w:tab w:pos="6995" w:val="left" w:leader="none"/>
          <w:tab w:pos="7328" w:val="left" w:leader="none"/>
          <w:tab w:pos="7656" w:val="left" w:leader="none"/>
          <w:tab w:pos="7767" w:val="right" w:leader="none"/>
        </w:tabs>
        <w:spacing w:line="420" w:lineRule="auto" w:before="52"/>
        <w:ind w:left="1658" w:right="1051" w:hanging="340"/>
        <w:jc w:val="left"/>
        <w:rPr>
          <w:rFonts w:ascii="Arial MT"/>
          <w:sz w:val="16"/>
        </w:rPr>
      </w:pPr>
      <w:r>
        <w:rPr>
          <w:rFonts w:ascii="Arial MT"/>
          <w:spacing w:val="-10"/>
          <w:w w:val="120"/>
          <w:sz w:val="16"/>
        </w:rPr>
        <w:t>I</w:t>
      </w:r>
      <w:r>
        <w:rPr>
          <w:rFonts w:ascii="Arial MT"/>
          <w:sz w:val="16"/>
        </w:rPr>
        <w:tab/>
      </w:r>
      <w:r>
        <w:rPr>
          <w:rFonts w:ascii="Arial MT"/>
          <w:spacing w:val="-6"/>
          <w:w w:val="120"/>
          <w:sz w:val="16"/>
        </w:rPr>
        <w:t>II</w:t>
      </w:r>
      <w:r>
        <w:rPr>
          <w:rFonts w:ascii="Arial MT"/>
          <w:sz w:val="16"/>
        </w:rPr>
        <w:tab/>
      </w:r>
      <w:r>
        <w:rPr>
          <w:rFonts w:ascii="Arial MT"/>
          <w:w w:val="120"/>
          <w:sz w:val="16"/>
        </w:rPr>
        <w:t>III</w:t>
      </w:r>
      <w:r>
        <w:rPr>
          <w:rFonts w:ascii="Arial MT"/>
          <w:spacing w:val="80"/>
          <w:w w:val="120"/>
          <w:sz w:val="16"/>
        </w:rPr>
        <w:t> </w:t>
      </w:r>
      <w:r>
        <w:rPr>
          <w:rFonts w:ascii="Arial MT"/>
          <w:w w:val="120"/>
          <w:sz w:val="16"/>
        </w:rPr>
        <w:t>IV</w:t>
      </w:r>
      <w:r>
        <w:rPr>
          <w:rFonts w:ascii="Arial MT"/>
          <w:sz w:val="16"/>
        </w:rPr>
        <w:tab/>
      </w:r>
      <w:r>
        <w:rPr>
          <w:rFonts w:ascii="Arial MT"/>
          <w:spacing w:val="-10"/>
          <w:w w:val="120"/>
          <w:sz w:val="16"/>
        </w:rPr>
        <w:t>I</w:t>
      </w:r>
      <w:r>
        <w:rPr>
          <w:rFonts w:ascii="Arial MT"/>
          <w:sz w:val="16"/>
        </w:rPr>
        <w:tab/>
      </w:r>
      <w:r>
        <w:rPr>
          <w:rFonts w:ascii="Arial MT"/>
          <w:spacing w:val="-6"/>
          <w:w w:val="120"/>
          <w:sz w:val="16"/>
        </w:rPr>
        <w:t>II</w:t>
      </w:r>
      <w:r>
        <w:rPr>
          <w:rFonts w:ascii="Arial MT"/>
          <w:sz w:val="16"/>
        </w:rPr>
        <w:tab/>
      </w:r>
      <w:r>
        <w:rPr>
          <w:rFonts w:ascii="Arial MT"/>
          <w:w w:val="120"/>
          <w:sz w:val="16"/>
        </w:rPr>
        <w:t>III</w:t>
      </w:r>
      <w:r>
        <w:rPr>
          <w:rFonts w:ascii="Arial MT"/>
          <w:spacing w:val="80"/>
          <w:w w:val="120"/>
          <w:sz w:val="16"/>
        </w:rPr>
        <w:t> </w:t>
      </w:r>
      <w:r>
        <w:rPr>
          <w:rFonts w:ascii="Arial MT"/>
          <w:w w:val="120"/>
          <w:sz w:val="16"/>
        </w:rPr>
        <w:t>IV</w:t>
      </w:r>
      <w:r>
        <w:rPr>
          <w:rFonts w:ascii="Arial MT"/>
          <w:sz w:val="16"/>
        </w:rPr>
        <w:tab/>
      </w:r>
      <w:r>
        <w:rPr>
          <w:rFonts w:ascii="Arial MT"/>
          <w:spacing w:val="-10"/>
          <w:w w:val="120"/>
          <w:sz w:val="16"/>
        </w:rPr>
        <w:t>I</w:t>
      </w:r>
      <w:r>
        <w:rPr>
          <w:rFonts w:ascii="Arial MT"/>
          <w:sz w:val="16"/>
        </w:rPr>
        <w:tab/>
      </w:r>
      <w:r>
        <w:rPr>
          <w:rFonts w:ascii="Arial MT"/>
          <w:spacing w:val="-6"/>
          <w:w w:val="120"/>
          <w:sz w:val="16"/>
        </w:rPr>
        <w:t>II</w:t>
      </w:r>
      <w:r>
        <w:rPr>
          <w:rFonts w:ascii="Arial MT"/>
          <w:sz w:val="16"/>
        </w:rPr>
        <w:tab/>
      </w:r>
      <w:r>
        <w:rPr>
          <w:rFonts w:ascii="Arial MT"/>
          <w:w w:val="120"/>
          <w:sz w:val="16"/>
        </w:rPr>
        <w:t>III</w:t>
      </w:r>
      <w:r>
        <w:rPr>
          <w:rFonts w:ascii="Arial MT"/>
          <w:spacing w:val="80"/>
          <w:w w:val="120"/>
          <w:sz w:val="16"/>
        </w:rPr>
        <w:t> </w:t>
      </w:r>
      <w:r>
        <w:rPr>
          <w:rFonts w:ascii="Arial MT"/>
          <w:w w:val="120"/>
          <w:sz w:val="16"/>
        </w:rPr>
        <w:t>IV</w:t>
      </w:r>
      <w:r>
        <w:rPr>
          <w:rFonts w:ascii="Arial MT"/>
          <w:sz w:val="16"/>
        </w:rPr>
        <w:tab/>
      </w:r>
      <w:r>
        <w:rPr>
          <w:rFonts w:ascii="Arial MT"/>
          <w:spacing w:val="-10"/>
          <w:w w:val="120"/>
          <w:sz w:val="16"/>
        </w:rPr>
        <w:t>I</w:t>
      </w:r>
      <w:r>
        <w:rPr>
          <w:rFonts w:ascii="Arial MT"/>
          <w:sz w:val="16"/>
        </w:rPr>
        <w:tab/>
      </w:r>
      <w:r>
        <w:rPr>
          <w:rFonts w:ascii="Arial MT"/>
          <w:spacing w:val="-6"/>
          <w:w w:val="120"/>
          <w:sz w:val="16"/>
        </w:rPr>
        <w:t>II</w:t>
      </w:r>
      <w:r>
        <w:rPr>
          <w:rFonts w:ascii="Arial MT"/>
          <w:sz w:val="16"/>
        </w:rPr>
        <w:tab/>
      </w:r>
      <w:r>
        <w:rPr>
          <w:rFonts w:ascii="Arial MT"/>
          <w:w w:val="120"/>
          <w:sz w:val="16"/>
        </w:rPr>
        <w:t>III</w:t>
      </w:r>
      <w:r>
        <w:rPr>
          <w:rFonts w:ascii="Arial MT"/>
          <w:spacing w:val="80"/>
          <w:w w:val="120"/>
          <w:sz w:val="16"/>
        </w:rPr>
        <w:t> </w:t>
      </w:r>
      <w:r>
        <w:rPr>
          <w:rFonts w:ascii="Arial MT"/>
          <w:w w:val="120"/>
          <w:sz w:val="16"/>
        </w:rPr>
        <w:t>IV</w:t>
      </w:r>
      <w:r>
        <w:rPr>
          <w:rFonts w:ascii="Arial MT"/>
          <w:sz w:val="16"/>
        </w:rPr>
        <w:tab/>
      </w:r>
      <w:r>
        <w:rPr>
          <w:rFonts w:ascii="Arial MT"/>
          <w:spacing w:val="-10"/>
          <w:w w:val="120"/>
          <w:sz w:val="16"/>
        </w:rPr>
        <w:t>I</w:t>
      </w:r>
      <w:r>
        <w:rPr>
          <w:rFonts w:ascii="Arial MT"/>
          <w:sz w:val="16"/>
        </w:rPr>
        <w:tab/>
      </w:r>
      <w:r>
        <w:rPr>
          <w:rFonts w:ascii="Arial MT"/>
          <w:spacing w:val="-6"/>
          <w:w w:val="120"/>
          <w:sz w:val="16"/>
        </w:rPr>
        <w:t>II</w:t>
      </w:r>
      <w:r>
        <w:rPr>
          <w:rFonts w:ascii="Arial MT"/>
          <w:sz w:val="16"/>
        </w:rPr>
        <w:tab/>
      </w:r>
      <w:r>
        <w:rPr>
          <w:rFonts w:ascii="Arial MT"/>
          <w:w w:val="120"/>
          <w:sz w:val="16"/>
        </w:rPr>
        <w:t>III</w:t>
      </w:r>
      <w:r>
        <w:rPr>
          <w:rFonts w:ascii="Arial MT"/>
          <w:spacing w:val="76"/>
          <w:w w:val="120"/>
          <w:sz w:val="16"/>
        </w:rPr>
        <w:t> </w:t>
      </w:r>
      <w:r>
        <w:rPr>
          <w:rFonts w:ascii="Arial MT"/>
          <w:w w:val="120"/>
          <w:sz w:val="16"/>
        </w:rPr>
        <w:t>I</w:t>
      </w:r>
      <w:r>
        <w:rPr>
          <w:rFonts w:ascii="Arial MT"/>
          <w:w w:val="120"/>
          <w:sz w:val="16"/>
        </w:rPr>
        <w:t>V</w:t>
      </w:r>
      <w:r>
        <w:rPr>
          <w:rFonts w:ascii="Arial MT"/>
          <w:w w:val="120"/>
          <w:sz w:val="16"/>
        </w:rPr>
        <w:t> </w:t>
      </w:r>
      <w:r>
        <w:rPr>
          <w:rFonts w:ascii="Arial MT"/>
          <w:spacing w:val="-4"/>
          <w:w w:val="120"/>
          <w:sz w:val="16"/>
        </w:rPr>
        <w:t>2020</w:t>
      </w:r>
      <w:r>
        <w:rPr>
          <w:rFonts w:ascii="Arial MT"/>
          <w:sz w:val="16"/>
        </w:rPr>
        <w:tab/>
        <w:tab/>
      </w:r>
      <w:r>
        <w:rPr>
          <w:rFonts w:ascii="Arial MT"/>
          <w:spacing w:val="-39"/>
          <w:sz w:val="16"/>
        </w:rPr>
        <w:t> </w:t>
      </w:r>
      <w:r>
        <w:rPr>
          <w:rFonts w:ascii="Arial MT"/>
          <w:spacing w:val="-2"/>
          <w:w w:val="120"/>
          <w:sz w:val="16"/>
        </w:rPr>
        <w:t>2021</w:t>
      </w:r>
      <w:r>
        <w:rPr>
          <w:rFonts w:ascii="Arial MT"/>
          <w:sz w:val="16"/>
        </w:rPr>
        <w:tab/>
        <w:tab/>
      </w:r>
      <w:r>
        <w:rPr>
          <w:rFonts w:ascii="Arial MT"/>
          <w:spacing w:val="-39"/>
          <w:sz w:val="16"/>
        </w:rPr>
        <w:t> </w:t>
      </w:r>
      <w:r>
        <w:rPr>
          <w:rFonts w:ascii="Arial MT"/>
          <w:spacing w:val="-2"/>
          <w:w w:val="120"/>
          <w:sz w:val="16"/>
        </w:rPr>
        <w:t>2022</w:t>
      </w:r>
      <w:r>
        <w:rPr>
          <w:rFonts w:ascii="Arial MT"/>
          <w:sz w:val="16"/>
        </w:rPr>
        <w:tab/>
        <w:tab/>
      </w:r>
      <w:r>
        <w:rPr>
          <w:rFonts w:ascii="Arial MT"/>
          <w:spacing w:val="-39"/>
          <w:sz w:val="16"/>
        </w:rPr>
        <w:t> </w:t>
      </w:r>
      <w:r>
        <w:rPr>
          <w:rFonts w:ascii="Arial MT"/>
          <w:spacing w:val="-2"/>
          <w:w w:val="120"/>
          <w:sz w:val="16"/>
        </w:rPr>
        <w:t>2023</w:t>
      </w:r>
      <w:r>
        <w:rPr>
          <w:rFonts w:ascii="Arial MT"/>
          <w:sz w:val="16"/>
        </w:rPr>
        <w:tab/>
        <w:tab/>
        <w:tab/>
        <w:tab/>
      </w:r>
      <w:r>
        <w:rPr>
          <w:rFonts w:ascii="Arial MT"/>
          <w:spacing w:val="-4"/>
          <w:w w:val="120"/>
          <w:sz w:val="16"/>
        </w:rPr>
        <w:t>2024</w:t>
      </w:r>
    </w:p>
    <w:p>
      <w:pPr>
        <w:pStyle w:val="BodyText"/>
        <w:spacing w:before="174"/>
        <w:ind w:left="743"/>
      </w:pPr>
      <w:r>
        <w:rPr/>
        <w:t>Sumber:</w:t>
      </w:r>
      <w:r>
        <w:rPr>
          <w:spacing w:val="-4"/>
        </w:rPr>
        <w:t> </w:t>
      </w:r>
      <w:r>
        <w:rPr/>
        <w:t>Data</w:t>
      </w:r>
      <w:r>
        <w:rPr>
          <w:spacing w:val="-1"/>
        </w:rPr>
        <w:t> </w:t>
      </w:r>
      <w:r>
        <w:rPr/>
        <w:t>diolah</w:t>
      </w:r>
      <w:r>
        <w:rPr>
          <w:spacing w:val="-1"/>
        </w:rPr>
        <w:t> </w:t>
      </w:r>
      <w:r>
        <w:rPr>
          <w:spacing w:val="-2"/>
        </w:rPr>
        <w:t>(2025)</w:t>
      </w:r>
    </w:p>
    <w:p>
      <w:pPr>
        <w:pStyle w:val="BodyText"/>
        <w:rPr>
          <w:sz w:val="20"/>
        </w:rPr>
      </w:pPr>
    </w:p>
    <w:p>
      <w:pPr>
        <w:pStyle w:val="BodyText"/>
        <w:rPr>
          <w:sz w:val="20"/>
        </w:rPr>
      </w:pPr>
    </w:p>
    <w:p>
      <w:pPr>
        <w:pStyle w:val="BodyText"/>
        <w:spacing w:before="211"/>
        <w:rPr>
          <w:sz w:val="20"/>
        </w:rPr>
      </w:pPr>
      <w:r>
        <w:rPr>
          <w:sz w:val="20"/>
        </w:rPr>
        <mc:AlternateContent>
          <mc:Choice Requires="wps">
            <w:drawing>
              <wp:anchor distT="0" distB="0" distL="0" distR="0" allowOverlap="1" layoutInCell="1" locked="0" behindDoc="1" simplePos="0" relativeHeight="487596032">
                <wp:simplePos x="0" y="0"/>
                <wp:positionH relativeFrom="page">
                  <wp:posOffset>914704</wp:posOffset>
                </wp:positionH>
                <wp:positionV relativeFrom="paragraph">
                  <wp:posOffset>295551</wp:posOffset>
                </wp:positionV>
                <wp:extent cx="1829435" cy="9525"/>
                <wp:effectExtent l="0" t="0" r="0" b="0"/>
                <wp:wrapTopAndBottom/>
                <wp:docPr id="254" name="Graphic 254"/>
                <wp:cNvGraphicFramePr>
                  <a:graphicFrameLocks/>
                </wp:cNvGraphicFramePr>
                <a:graphic>
                  <a:graphicData uri="http://schemas.microsoft.com/office/word/2010/wordprocessingShape">
                    <wps:wsp>
                      <wps:cNvPr id="254" name="Graphic 254"/>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271767pt;width:144.020pt;height:.72003pt;mso-position-horizontal-relative:page;mso-position-vertical-relative:paragraph;z-index:-15720448;mso-wrap-distance-left:0;mso-wrap-distance-right:0" id="docshape226" filled="true" fillcolor="#000000" stroked="false">
                <v:fill type="solid"/>
                <w10:wrap type="topAndBottom"/>
              </v:rect>
            </w:pict>
          </mc:Fallback>
        </mc:AlternateContent>
      </w:r>
    </w:p>
    <w:p>
      <w:pPr>
        <w:spacing w:before="101"/>
        <w:ind w:left="23" w:right="164" w:firstLine="719"/>
        <w:jc w:val="both"/>
        <w:rPr>
          <w:sz w:val="20"/>
        </w:rPr>
      </w:pPr>
      <w:bookmarkStart w:name="_bookmark35" w:id="36"/>
      <w:bookmarkEnd w:id="36"/>
      <w:r>
        <w:rPr/>
      </w:r>
      <w:r>
        <w:rPr>
          <w:sz w:val="20"/>
          <w:vertAlign w:val="superscript"/>
        </w:rPr>
        <w:t>23</w:t>
      </w:r>
      <w:r>
        <w:rPr>
          <w:sz w:val="20"/>
          <w:vertAlign w:val="baseline"/>
        </w:rPr>
        <w:t> Elvina Hartayu and R.A. Sista Paramita, ‘Pengaruh Indikator Makroekonomi, Harga Minyak Dunia Dan Indeks Bursa Asia Terhadap IHSG Periode 2015-2019’, </w:t>
      </w:r>
      <w:r>
        <w:rPr>
          <w:i/>
          <w:sz w:val="20"/>
          <w:vertAlign w:val="baseline"/>
        </w:rPr>
        <w:t>SINOMIKA Journal: Publikasi Ilmiah Bidang Ekonomi Dan Akuntansi</w:t>
      </w:r>
      <w:r>
        <w:rPr>
          <w:sz w:val="20"/>
          <w:vertAlign w:val="baseline"/>
        </w:rPr>
        <w:t>, 1.5 (2023), 1075–92 &lt;https://doi.org/10.54443/sinomika.v1i5.547&gt;.</w:t>
      </w:r>
    </w:p>
    <w:p>
      <w:pPr>
        <w:spacing w:before="1"/>
        <w:ind w:left="23" w:right="163" w:firstLine="719"/>
        <w:jc w:val="both"/>
        <w:rPr>
          <w:sz w:val="20"/>
        </w:rPr>
      </w:pPr>
      <w:bookmarkStart w:name="_bookmark36" w:id="37"/>
      <w:bookmarkEnd w:id="37"/>
      <w:r>
        <w:rPr/>
      </w:r>
      <w:r>
        <w:rPr>
          <w:sz w:val="20"/>
          <w:vertAlign w:val="superscript"/>
        </w:rPr>
        <w:t>24</w:t>
      </w:r>
      <w:r>
        <w:rPr>
          <w:sz w:val="20"/>
          <w:vertAlign w:val="baseline"/>
        </w:rPr>
        <w:t> Yasir Maulana, Dikdik Harjadi, and Lia Kurniasih, ‘Pengaruh Faktor Mikroekonomi Dan Makroekonomi Terhadap Harga Saham Sektor Pertanian’, </w:t>
      </w:r>
      <w:r>
        <w:rPr>
          <w:i/>
          <w:sz w:val="20"/>
          <w:vertAlign w:val="baseline"/>
        </w:rPr>
        <w:t>Bisnis-Net Jurnal Ekonomi Dan Bisnis</w:t>
      </w:r>
      <w:r>
        <w:rPr>
          <w:sz w:val="20"/>
          <w:vertAlign w:val="baseline"/>
        </w:rPr>
        <w:t>, 6.1 (2023), 329–40 &lt;https://doi.org/10.46576/bn.v6i1.3051&gt;.</w:t>
      </w:r>
    </w:p>
    <w:p>
      <w:pPr>
        <w:spacing w:before="0"/>
        <w:ind w:left="23" w:right="160" w:firstLine="719"/>
        <w:jc w:val="both"/>
        <w:rPr>
          <w:sz w:val="20"/>
        </w:rPr>
      </w:pPr>
      <w:bookmarkStart w:name="_bookmark37" w:id="38"/>
      <w:bookmarkEnd w:id="38"/>
      <w:r>
        <w:rPr/>
      </w:r>
      <w:r>
        <w:rPr>
          <w:sz w:val="20"/>
          <w:vertAlign w:val="superscript"/>
        </w:rPr>
        <w:t>25</w:t>
      </w:r>
      <w:r>
        <w:rPr>
          <w:sz w:val="20"/>
          <w:vertAlign w:val="baseline"/>
        </w:rPr>
        <w:t> Ifan Muarif, Nurul Anwar, and Arintoko Arintoko, ‘Pengaruh Indeks Produksi Industri, Suku Bunga Dan Kurs Terhadap Indeks Harga Saham Syariah Jakarta Islamic Index’, </w:t>
      </w:r>
      <w:r>
        <w:rPr>
          <w:i/>
          <w:sz w:val="20"/>
          <w:vertAlign w:val="baseline"/>
        </w:rPr>
        <w:t>El-Jizya</w:t>
      </w:r>
      <w:r>
        <w:rPr>
          <w:i/>
          <w:spacing w:val="-11"/>
          <w:sz w:val="20"/>
          <w:vertAlign w:val="baseline"/>
        </w:rPr>
        <w:t> </w:t>
      </w:r>
      <w:r>
        <w:rPr>
          <w:i/>
          <w:sz w:val="20"/>
          <w:vertAlign w:val="baseline"/>
        </w:rPr>
        <w:t>: Jurnal Ekonomi Islam</w:t>
      </w:r>
      <w:r>
        <w:rPr>
          <w:sz w:val="20"/>
          <w:vertAlign w:val="baseline"/>
        </w:rPr>
        <w:t>, 12.2 (2024), 203–20 &lt;https://doi.org/10.24090/ej.v12i2.11411&gt;.</w:t>
      </w:r>
    </w:p>
    <w:p>
      <w:pPr>
        <w:spacing w:after="0"/>
        <w:jc w:val="both"/>
        <w:rPr>
          <w:sz w:val="20"/>
        </w:rPr>
        <w:sectPr>
          <w:pgSz w:w="11910" w:h="16840"/>
          <w:pgMar w:header="0" w:footer="1000" w:top="1360" w:bottom="1200" w:left="1417" w:right="1275"/>
        </w:sectPr>
      </w:pPr>
    </w:p>
    <w:p>
      <w:pPr>
        <w:pStyle w:val="BodyText"/>
        <w:spacing w:line="360" w:lineRule="auto" w:before="60"/>
        <w:ind w:left="383" w:right="160" w:firstLine="359"/>
        <w:jc w:val="both"/>
      </w:pPr>
      <w:r>
        <w:rPr/>
        <w:t>Berdasarkan Grafik 1.4, perubahan indeks produksi industri sangat beragam. Dimulai pada</w:t>
      </w:r>
      <w:r>
        <w:rPr>
          <w:spacing w:val="-9"/>
        </w:rPr>
        <w:t> </w:t>
      </w:r>
      <w:r>
        <w:rPr/>
        <w:t>periode</w:t>
      </w:r>
      <w:r>
        <w:rPr>
          <w:spacing w:val="-9"/>
        </w:rPr>
        <w:t> </w:t>
      </w:r>
      <w:r>
        <w:rPr/>
        <w:t>2020</w:t>
      </w:r>
      <w:r>
        <w:rPr>
          <w:spacing w:val="-8"/>
        </w:rPr>
        <w:t> </w:t>
      </w:r>
      <w:r>
        <w:rPr/>
        <w:t>yang</w:t>
      </w:r>
      <w:r>
        <w:rPr>
          <w:spacing w:val="-8"/>
        </w:rPr>
        <w:t> </w:t>
      </w:r>
      <w:r>
        <w:rPr/>
        <w:t>mana</w:t>
      </w:r>
      <w:r>
        <w:rPr>
          <w:spacing w:val="-10"/>
        </w:rPr>
        <w:t> </w:t>
      </w:r>
      <w:r>
        <w:rPr/>
        <w:t>pandemi</w:t>
      </w:r>
      <w:r>
        <w:rPr>
          <w:spacing w:val="-8"/>
        </w:rPr>
        <w:t> </w:t>
      </w:r>
      <w:r>
        <w:rPr>
          <w:i/>
        </w:rPr>
        <w:t>covid</w:t>
      </w:r>
      <w:r>
        <w:rPr>
          <w:i/>
          <w:spacing w:val="-8"/>
        </w:rPr>
        <w:t> </w:t>
      </w:r>
      <w:r>
        <w:rPr/>
        <w:t>terjadi,</w:t>
      </w:r>
      <w:r>
        <w:rPr>
          <w:spacing w:val="-8"/>
        </w:rPr>
        <w:t> </w:t>
      </w:r>
      <w:r>
        <w:rPr/>
        <w:t>IPI</w:t>
      </w:r>
      <w:r>
        <w:rPr>
          <w:spacing w:val="-11"/>
        </w:rPr>
        <w:t> </w:t>
      </w:r>
      <w:r>
        <w:rPr/>
        <w:t>mengalami</w:t>
      </w:r>
      <w:r>
        <w:rPr>
          <w:spacing w:val="-8"/>
        </w:rPr>
        <w:t> </w:t>
      </w:r>
      <w:r>
        <w:rPr/>
        <w:t>penurunan</w:t>
      </w:r>
      <w:r>
        <w:rPr>
          <w:spacing w:val="-8"/>
        </w:rPr>
        <w:t> </w:t>
      </w:r>
      <w:r>
        <w:rPr/>
        <w:t>pada</w:t>
      </w:r>
      <w:r>
        <w:rPr>
          <w:spacing w:val="-9"/>
        </w:rPr>
        <w:t> </w:t>
      </w:r>
      <w:r>
        <w:rPr/>
        <w:t>bulan Mei sebesar 104,02. Hal iu disebabkan oleh lemahnya sektor industri pada masa pandemi yang mengakibatkan terjadinya tekanan pada sentimen investor karena ketidakpastian sektor</w:t>
      </w:r>
      <w:r>
        <w:rPr>
          <w:spacing w:val="-10"/>
        </w:rPr>
        <w:t> </w:t>
      </w:r>
      <w:r>
        <w:rPr/>
        <w:t>ekonomi.</w:t>
      </w:r>
      <w:r>
        <w:rPr>
          <w:spacing w:val="-10"/>
        </w:rPr>
        <w:t> </w:t>
      </w:r>
      <w:r>
        <w:rPr/>
        <w:t>Meski</w:t>
      </w:r>
      <w:r>
        <w:rPr>
          <w:spacing w:val="-9"/>
        </w:rPr>
        <w:t> </w:t>
      </w:r>
      <w:r>
        <w:rPr/>
        <w:t>demikian,</w:t>
      </w:r>
      <w:r>
        <w:rPr>
          <w:spacing w:val="-10"/>
        </w:rPr>
        <w:t> </w:t>
      </w:r>
      <w:r>
        <w:rPr/>
        <w:t>hal</w:t>
      </w:r>
      <w:r>
        <w:rPr>
          <w:spacing w:val="-9"/>
        </w:rPr>
        <w:t> </w:t>
      </w:r>
      <w:r>
        <w:rPr/>
        <w:t>tersebut</w:t>
      </w:r>
      <w:r>
        <w:rPr>
          <w:spacing w:val="-9"/>
        </w:rPr>
        <w:t> </w:t>
      </w:r>
      <w:r>
        <w:rPr/>
        <w:t>tidak</w:t>
      </w:r>
      <w:r>
        <w:rPr>
          <w:spacing w:val="-10"/>
        </w:rPr>
        <w:t> </w:t>
      </w:r>
      <w:r>
        <w:rPr/>
        <w:t>berlangsung</w:t>
      </w:r>
      <w:r>
        <w:rPr>
          <w:spacing w:val="-9"/>
        </w:rPr>
        <w:t> </w:t>
      </w:r>
      <w:r>
        <w:rPr/>
        <w:t>lama</w:t>
      </w:r>
      <w:r>
        <w:rPr>
          <w:spacing w:val="-10"/>
        </w:rPr>
        <w:t> </w:t>
      </w:r>
      <w:r>
        <w:rPr/>
        <w:t>sebab</w:t>
      </w:r>
      <w:r>
        <w:rPr>
          <w:spacing w:val="-10"/>
        </w:rPr>
        <w:t> </w:t>
      </w:r>
      <w:r>
        <w:rPr/>
        <w:t>sektor</w:t>
      </w:r>
      <w:r>
        <w:rPr>
          <w:spacing w:val="-10"/>
        </w:rPr>
        <w:t> </w:t>
      </w:r>
      <w:r>
        <w:rPr/>
        <w:t>industri mulai pulih pada tahun 2021 dan mencapai puncak tertinggi pada level 149,29 di tahun tersebut walaupun penurunan daya beli masyarakat masih terjadi. Pada tahun 2022 naik turunnya IPI dinilai cukup signifikan dalam mempengaruhi harga saham, sebab terjadi peningkatan</w:t>
      </w:r>
      <w:r>
        <w:rPr>
          <w:spacing w:val="-4"/>
        </w:rPr>
        <w:t> </w:t>
      </w:r>
      <w:r>
        <w:rPr/>
        <w:t>ekspor</w:t>
      </w:r>
      <w:r>
        <w:rPr>
          <w:spacing w:val="-4"/>
        </w:rPr>
        <w:t> </w:t>
      </w:r>
      <w:r>
        <w:rPr/>
        <w:t>bahan</w:t>
      </w:r>
      <w:r>
        <w:rPr>
          <w:spacing w:val="-4"/>
        </w:rPr>
        <w:t> </w:t>
      </w:r>
      <w:r>
        <w:rPr/>
        <w:t>minyak</w:t>
      </w:r>
      <w:r>
        <w:rPr>
          <w:spacing w:val="-4"/>
        </w:rPr>
        <w:t> </w:t>
      </w:r>
      <w:r>
        <w:rPr/>
        <w:t>mentah</w:t>
      </w:r>
      <w:r>
        <w:rPr>
          <w:spacing w:val="-4"/>
        </w:rPr>
        <w:t> </w:t>
      </w:r>
      <w:r>
        <w:rPr/>
        <w:t>dan</w:t>
      </w:r>
      <w:r>
        <w:rPr>
          <w:spacing w:val="-4"/>
        </w:rPr>
        <w:t> </w:t>
      </w:r>
      <w:r>
        <w:rPr/>
        <w:t>bahan</w:t>
      </w:r>
      <w:r>
        <w:rPr>
          <w:spacing w:val="-4"/>
        </w:rPr>
        <w:t> </w:t>
      </w:r>
      <w:r>
        <w:rPr/>
        <w:t>kendaraan</w:t>
      </w:r>
      <w:r>
        <w:rPr>
          <w:spacing w:val="-4"/>
        </w:rPr>
        <w:t> </w:t>
      </w:r>
      <w:r>
        <w:rPr/>
        <w:t>seperti</w:t>
      </w:r>
      <w:r>
        <w:rPr>
          <w:spacing w:val="-4"/>
        </w:rPr>
        <w:t> </w:t>
      </w:r>
      <w:r>
        <w:rPr/>
        <w:t>besi</w:t>
      </w:r>
      <w:r>
        <w:rPr>
          <w:spacing w:val="-4"/>
        </w:rPr>
        <w:t> </w:t>
      </w:r>
      <w:r>
        <w:rPr/>
        <w:t>dan</w:t>
      </w:r>
      <w:r>
        <w:rPr>
          <w:spacing w:val="-4"/>
        </w:rPr>
        <w:t> </w:t>
      </w:r>
      <w:r>
        <w:rPr/>
        <w:t>baja</w:t>
      </w:r>
      <w:r>
        <w:rPr>
          <w:spacing w:val="-4"/>
        </w:rPr>
        <w:t> </w:t>
      </w:r>
      <w:r>
        <w:rPr/>
        <w:t>yang menjadi penopang perekonomian walaupun terjadi penurunan drastis pada bulan Mei sebesar 132,50. Begitu pula kondisi IPI pada periode 2023 cenderung positif meskipun fenomena El-Nino menjadi ancaman, kebijakan tarif cukai rokok 10%, dan penurunan harga BBM non-subsidi. Adapun di tahun 2024 tepatnya bulan April sebesar 138,53, perubahan IPI</w:t>
      </w:r>
      <w:r>
        <w:rPr>
          <w:spacing w:val="-4"/>
        </w:rPr>
        <w:t> </w:t>
      </w:r>
      <w:r>
        <w:rPr/>
        <w:t>menurun</w:t>
      </w:r>
      <w:r>
        <w:rPr>
          <w:spacing w:val="-2"/>
        </w:rPr>
        <w:t> </w:t>
      </w:r>
      <w:r>
        <w:rPr/>
        <w:t>drastis</w:t>
      </w:r>
      <w:r>
        <w:rPr>
          <w:spacing w:val="-1"/>
        </w:rPr>
        <w:t> </w:t>
      </w:r>
      <w:r>
        <w:rPr/>
        <w:t>sebab</w:t>
      </w:r>
      <w:r>
        <w:rPr>
          <w:spacing w:val="-1"/>
        </w:rPr>
        <w:t> </w:t>
      </w:r>
      <w:r>
        <w:rPr/>
        <w:t>adanya</w:t>
      </w:r>
      <w:r>
        <w:rPr>
          <w:spacing w:val="-2"/>
        </w:rPr>
        <w:t> </w:t>
      </w:r>
      <w:r>
        <w:rPr/>
        <w:t>tekanan</w:t>
      </w:r>
      <w:r>
        <w:rPr>
          <w:spacing w:val="-1"/>
        </w:rPr>
        <w:t> </w:t>
      </w:r>
      <w:r>
        <w:rPr/>
        <w:t>geopolitik</w:t>
      </w:r>
      <w:r>
        <w:rPr>
          <w:spacing w:val="-1"/>
        </w:rPr>
        <w:t> </w:t>
      </w:r>
      <w:r>
        <w:rPr/>
        <w:t>yang</w:t>
      </w:r>
      <w:r>
        <w:rPr>
          <w:spacing w:val="-1"/>
        </w:rPr>
        <w:t> </w:t>
      </w:r>
      <w:r>
        <w:rPr/>
        <w:t>terjadi</w:t>
      </w:r>
      <w:r>
        <w:rPr>
          <w:spacing w:val="-1"/>
        </w:rPr>
        <w:t> </w:t>
      </w:r>
      <w:r>
        <w:rPr/>
        <w:t>pada</w:t>
      </w:r>
      <w:r>
        <w:rPr>
          <w:spacing w:val="-2"/>
        </w:rPr>
        <w:t> </w:t>
      </w:r>
      <w:r>
        <w:rPr/>
        <w:t>lingkup skala internasional. Akan tetapi perekonomian Indonesia berjalan fluktuatif pada tahun 2024 yang ditandai dengan naiknya pasar industri mikro dan kecil. Pada penelitian yang dilakukan oleh Ash-shiddiqy menyatakan bahwa IPI dalam jangka pendek berpengaruh negatif dan signifikan terhadap Indeks Saham Syariah Indonesia.</w:t>
      </w:r>
      <w:hyperlink w:history="true" w:anchor="_bookmark39">
        <w:r>
          <w:rPr>
            <w:vertAlign w:val="superscript"/>
          </w:rPr>
          <w:t>26</w:t>
        </w:r>
      </w:hyperlink>
      <w:r>
        <w:rPr>
          <w:vertAlign w:val="baseline"/>
        </w:rPr>
        <w:t> Sedangkan Muarif menemukan</w:t>
      </w:r>
      <w:r>
        <w:rPr>
          <w:spacing w:val="-9"/>
          <w:vertAlign w:val="baseline"/>
        </w:rPr>
        <w:t> </w:t>
      </w:r>
      <w:r>
        <w:rPr>
          <w:vertAlign w:val="baseline"/>
        </w:rPr>
        <w:t>sebuah</w:t>
      </w:r>
      <w:r>
        <w:rPr>
          <w:spacing w:val="-8"/>
          <w:vertAlign w:val="baseline"/>
        </w:rPr>
        <w:t> </w:t>
      </w:r>
      <w:r>
        <w:rPr>
          <w:vertAlign w:val="baseline"/>
        </w:rPr>
        <w:t>kondisi</w:t>
      </w:r>
      <w:r>
        <w:rPr>
          <w:spacing w:val="-7"/>
          <w:vertAlign w:val="baseline"/>
        </w:rPr>
        <w:t> </w:t>
      </w:r>
      <w:r>
        <w:rPr>
          <w:vertAlign w:val="baseline"/>
        </w:rPr>
        <w:t>dimana</w:t>
      </w:r>
      <w:r>
        <w:rPr>
          <w:spacing w:val="-9"/>
          <w:vertAlign w:val="baseline"/>
        </w:rPr>
        <w:t> </w:t>
      </w:r>
      <w:r>
        <w:rPr>
          <w:vertAlign w:val="baseline"/>
        </w:rPr>
        <w:t>IPI</w:t>
      </w:r>
      <w:r>
        <w:rPr>
          <w:spacing w:val="-11"/>
          <w:vertAlign w:val="baseline"/>
        </w:rPr>
        <w:t> </w:t>
      </w:r>
      <w:r>
        <w:rPr>
          <w:vertAlign w:val="baseline"/>
        </w:rPr>
        <w:t>berpengaruh</w:t>
      </w:r>
      <w:r>
        <w:rPr>
          <w:spacing w:val="-8"/>
          <w:vertAlign w:val="baseline"/>
        </w:rPr>
        <w:t> </w:t>
      </w:r>
      <w:r>
        <w:rPr>
          <w:vertAlign w:val="baseline"/>
        </w:rPr>
        <w:t>positif</w:t>
      </w:r>
      <w:r>
        <w:rPr>
          <w:spacing w:val="-9"/>
          <w:vertAlign w:val="baseline"/>
        </w:rPr>
        <w:t> </w:t>
      </w:r>
      <w:r>
        <w:rPr>
          <w:vertAlign w:val="baseline"/>
        </w:rPr>
        <w:t>dan</w:t>
      </w:r>
      <w:r>
        <w:rPr>
          <w:spacing w:val="-8"/>
          <w:vertAlign w:val="baseline"/>
        </w:rPr>
        <w:t> </w:t>
      </w:r>
      <w:r>
        <w:rPr>
          <w:vertAlign w:val="baseline"/>
        </w:rPr>
        <w:t>signifikan</w:t>
      </w:r>
      <w:r>
        <w:rPr>
          <w:spacing w:val="-8"/>
          <w:vertAlign w:val="baseline"/>
        </w:rPr>
        <w:t> </w:t>
      </w:r>
      <w:r>
        <w:rPr>
          <w:vertAlign w:val="baseline"/>
        </w:rPr>
        <w:t>terhadap</w:t>
      </w:r>
      <w:r>
        <w:rPr>
          <w:spacing w:val="-8"/>
          <w:vertAlign w:val="baseline"/>
        </w:rPr>
        <w:t> </w:t>
      </w:r>
      <w:r>
        <w:rPr>
          <w:vertAlign w:val="baseline"/>
        </w:rPr>
        <w:t>indeks harga saham syariah JII.</w:t>
      </w:r>
      <w:hyperlink w:history="true" w:anchor="_bookmark40">
        <w:r>
          <w:rPr>
            <w:vertAlign w:val="superscript"/>
          </w:rPr>
          <w:t>27</w:t>
        </w:r>
      </w:hyperlink>
    </w:p>
    <w:p>
      <w:pPr>
        <w:spacing w:line="360" w:lineRule="auto" w:before="3"/>
        <w:ind w:left="383" w:right="160" w:firstLine="359"/>
        <w:jc w:val="both"/>
        <w:rPr>
          <w:b/>
          <w:sz w:val="24"/>
        </w:rPr>
      </w:pPr>
      <w:r>
        <w:rPr>
          <w:sz w:val="24"/>
        </w:rPr>
        <w:t>Bersumber dari inkonsistensi </w:t>
      </w:r>
      <w:r>
        <w:rPr>
          <w:i/>
          <w:sz w:val="24"/>
        </w:rPr>
        <w:t>output </w:t>
      </w:r>
      <w:r>
        <w:rPr>
          <w:sz w:val="24"/>
        </w:rPr>
        <w:t>penelitian tersebut dan atas fenomena-fenomena yang</w:t>
      </w:r>
      <w:r>
        <w:rPr>
          <w:spacing w:val="-15"/>
          <w:sz w:val="24"/>
        </w:rPr>
        <w:t> </w:t>
      </w:r>
      <w:r>
        <w:rPr>
          <w:sz w:val="24"/>
        </w:rPr>
        <w:t>telah</w:t>
      </w:r>
      <w:r>
        <w:rPr>
          <w:spacing w:val="-15"/>
          <w:sz w:val="24"/>
        </w:rPr>
        <w:t> </w:t>
      </w:r>
      <w:r>
        <w:rPr>
          <w:sz w:val="24"/>
        </w:rPr>
        <w:t>dijabarkan,</w:t>
      </w:r>
      <w:r>
        <w:rPr>
          <w:spacing w:val="-15"/>
          <w:sz w:val="24"/>
        </w:rPr>
        <w:t> </w:t>
      </w:r>
      <w:r>
        <w:rPr>
          <w:sz w:val="24"/>
        </w:rPr>
        <w:t>maka</w:t>
      </w:r>
      <w:r>
        <w:rPr>
          <w:spacing w:val="-15"/>
          <w:sz w:val="24"/>
        </w:rPr>
        <w:t> </w:t>
      </w:r>
      <w:r>
        <w:rPr>
          <w:sz w:val="24"/>
        </w:rPr>
        <w:t>dari</w:t>
      </w:r>
      <w:r>
        <w:rPr>
          <w:spacing w:val="-15"/>
          <w:sz w:val="24"/>
        </w:rPr>
        <w:t> </w:t>
      </w:r>
      <w:r>
        <w:rPr>
          <w:sz w:val="24"/>
        </w:rPr>
        <w:t>itu</w:t>
      </w:r>
      <w:r>
        <w:rPr>
          <w:spacing w:val="-15"/>
          <w:sz w:val="24"/>
        </w:rPr>
        <w:t> </w:t>
      </w:r>
      <w:r>
        <w:rPr>
          <w:sz w:val="24"/>
        </w:rPr>
        <w:t>peneliti</w:t>
      </w:r>
      <w:r>
        <w:rPr>
          <w:spacing w:val="-15"/>
          <w:sz w:val="24"/>
        </w:rPr>
        <w:t> </w:t>
      </w:r>
      <w:r>
        <w:rPr>
          <w:sz w:val="24"/>
        </w:rPr>
        <w:t>bermaksud</w:t>
      </w:r>
      <w:r>
        <w:rPr>
          <w:spacing w:val="-15"/>
          <w:sz w:val="24"/>
        </w:rPr>
        <w:t> </w:t>
      </w:r>
      <w:r>
        <w:rPr>
          <w:sz w:val="24"/>
        </w:rPr>
        <w:t>untuk</w:t>
      </w:r>
      <w:r>
        <w:rPr>
          <w:spacing w:val="-15"/>
          <w:sz w:val="24"/>
        </w:rPr>
        <w:t> </w:t>
      </w:r>
      <w:r>
        <w:rPr>
          <w:sz w:val="24"/>
        </w:rPr>
        <w:t>melakukan</w:t>
      </w:r>
      <w:r>
        <w:rPr>
          <w:spacing w:val="-15"/>
          <w:sz w:val="24"/>
        </w:rPr>
        <w:t> </w:t>
      </w:r>
      <w:r>
        <w:rPr>
          <w:sz w:val="24"/>
        </w:rPr>
        <w:t>penelitian</w:t>
      </w:r>
      <w:r>
        <w:rPr>
          <w:spacing w:val="-15"/>
          <w:sz w:val="24"/>
        </w:rPr>
        <w:t> </w:t>
      </w:r>
      <w:r>
        <w:rPr>
          <w:sz w:val="24"/>
        </w:rPr>
        <w:t>dengan judul </w:t>
      </w:r>
      <w:r>
        <w:rPr>
          <w:b/>
          <w:sz w:val="24"/>
        </w:rPr>
        <w:t>Pengaruh Indeks Keyakinan Konsumen dan Indikator MakroEkonomi Terhadap Indeks Saham Syariah Indonesia (ISSI).</w:t>
      </w:r>
    </w:p>
    <w:p>
      <w:pPr>
        <w:pStyle w:val="Heading2"/>
        <w:numPr>
          <w:ilvl w:val="1"/>
          <w:numId w:val="8"/>
        </w:numPr>
        <w:tabs>
          <w:tab w:pos="383" w:val="left" w:leader="none"/>
        </w:tabs>
        <w:spacing w:line="240" w:lineRule="auto" w:before="158" w:after="0"/>
        <w:ind w:left="383" w:right="0" w:hanging="360"/>
        <w:jc w:val="both"/>
      </w:pPr>
      <w:bookmarkStart w:name="_bookmark38" w:id="39"/>
      <w:bookmarkEnd w:id="39"/>
      <w:r>
        <w:rPr>
          <w:b w:val="0"/>
        </w:rPr>
      </w:r>
      <w:r>
        <w:rPr/>
        <w:t>Rumusan</w:t>
      </w:r>
      <w:r>
        <w:rPr>
          <w:spacing w:val="-2"/>
        </w:rPr>
        <w:t> Masalah</w:t>
      </w:r>
    </w:p>
    <w:p>
      <w:pPr>
        <w:pStyle w:val="BodyText"/>
        <w:spacing w:before="22"/>
        <w:rPr>
          <w:b/>
        </w:rPr>
      </w:pPr>
    </w:p>
    <w:p>
      <w:pPr>
        <w:pStyle w:val="BodyText"/>
        <w:ind w:left="383"/>
      </w:pPr>
      <w:r>
        <w:rPr/>
        <w:t>Dari</w:t>
      </w:r>
      <w:r>
        <w:rPr>
          <w:spacing w:val="-1"/>
        </w:rPr>
        <w:t> </w:t>
      </w:r>
      <w:r>
        <w:rPr/>
        <w:t>latar</w:t>
      </w:r>
      <w:r>
        <w:rPr>
          <w:spacing w:val="-3"/>
        </w:rPr>
        <w:t> </w:t>
      </w:r>
      <w:r>
        <w:rPr/>
        <w:t>belakang</w:t>
      </w:r>
      <w:r>
        <w:rPr>
          <w:spacing w:val="-1"/>
        </w:rPr>
        <w:t> </w:t>
      </w:r>
      <w:r>
        <w:rPr/>
        <w:t>di</w:t>
      </w:r>
      <w:r>
        <w:rPr>
          <w:spacing w:val="2"/>
        </w:rPr>
        <w:t> </w:t>
      </w:r>
      <w:r>
        <w:rPr/>
        <w:t>atas</w:t>
      </w:r>
      <w:r>
        <w:rPr>
          <w:spacing w:val="-2"/>
        </w:rPr>
        <w:t> </w:t>
      </w:r>
      <w:r>
        <w:rPr/>
        <w:t>dapat</w:t>
      </w:r>
      <w:r>
        <w:rPr>
          <w:spacing w:val="-1"/>
        </w:rPr>
        <w:t> </w:t>
      </w:r>
      <w:r>
        <w:rPr/>
        <w:t>dirumuskan</w:t>
      </w:r>
      <w:r>
        <w:rPr>
          <w:spacing w:val="-1"/>
        </w:rPr>
        <w:t> </w:t>
      </w:r>
      <w:r>
        <w:rPr/>
        <w:t>menjadi rumusan</w:t>
      </w:r>
      <w:r>
        <w:rPr>
          <w:spacing w:val="-1"/>
        </w:rPr>
        <w:t> </w:t>
      </w:r>
      <w:r>
        <w:rPr/>
        <w:t>masalah</w:t>
      </w:r>
      <w:r>
        <w:rPr>
          <w:spacing w:val="-1"/>
        </w:rPr>
        <w:t> </w:t>
      </w:r>
      <w:r>
        <w:rPr/>
        <w:t>sebagai </w:t>
      </w:r>
      <w:r>
        <w:rPr>
          <w:spacing w:val="-2"/>
        </w:rPr>
        <w:t>berikut:</w:t>
      </w:r>
    </w:p>
    <w:p>
      <w:pPr>
        <w:pStyle w:val="ListParagraph"/>
        <w:numPr>
          <w:ilvl w:val="0"/>
          <w:numId w:val="9"/>
        </w:numPr>
        <w:tabs>
          <w:tab w:pos="743" w:val="left" w:leader="none"/>
        </w:tabs>
        <w:spacing w:line="360" w:lineRule="auto" w:before="140" w:after="0"/>
        <w:ind w:left="743" w:right="163" w:hanging="360"/>
        <w:jc w:val="left"/>
        <w:rPr>
          <w:sz w:val="24"/>
        </w:rPr>
      </w:pPr>
      <w:r>
        <w:rPr>
          <w:sz w:val="24"/>
        </w:rPr>
        <w:t>Bagaimana</w:t>
      </w:r>
      <w:r>
        <w:rPr>
          <w:spacing w:val="40"/>
          <w:sz w:val="24"/>
        </w:rPr>
        <w:t> </w:t>
      </w:r>
      <w:r>
        <w:rPr>
          <w:sz w:val="24"/>
        </w:rPr>
        <w:t>pengaruh</w:t>
      </w:r>
      <w:r>
        <w:rPr>
          <w:spacing w:val="40"/>
          <w:sz w:val="24"/>
        </w:rPr>
        <w:t> </w:t>
      </w:r>
      <w:r>
        <w:rPr>
          <w:sz w:val="24"/>
        </w:rPr>
        <w:t>Indeks</w:t>
      </w:r>
      <w:r>
        <w:rPr>
          <w:spacing w:val="40"/>
          <w:sz w:val="24"/>
        </w:rPr>
        <w:t> </w:t>
      </w:r>
      <w:r>
        <w:rPr>
          <w:sz w:val="24"/>
        </w:rPr>
        <w:t>Keyakinan</w:t>
      </w:r>
      <w:r>
        <w:rPr>
          <w:spacing w:val="40"/>
          <w:sz w:val="24"/>
        </w:rPr>
        <w:t> </w:t>
      </w:r>
      <w:r>
        <w:rPr>
          <w:sz w:val="24"/>
        </w:rPr>
        <w:t>Konsumen</w:t>
      </w:r>
      <w:r>
        <w:rPr>
          <w:spacing w:val="40"/>
          <w:sz w:val="24"/>
        </w:rPr>
        <w:t> </w:t>
      </w:r>
      <w:r>
        <w:rPr>
          <w:sz w:val="24"/>
        </w:rPr>
        <w:t>(IKK)</w:t>
      </w:r>
      <w:r>
        <w:rPr>
          <w:spacing w:val="40"/>
          <w:sz w:val="24"/>
        </w:rPr>
        <w:t> </w:t>
      </w:r>
      <w:r>
        <w:rPr>
          <w:sz w:val="24"/>
        </w:rPr>
        <w:t>terhadap</w:t>
      </w:r>
      <w:r>
        <w:rPr>
          <w:spacing w:val="40"/>
          <w:sz w:val="24"/>
        </w:rPr>
        <w:t> </w:t>
      </w:r>
      <w:r>
        <w:rPr>
          <w:sz w:val="24"/>
        </w:rPr>
        <w:t>Indeks</w:t>
      </w:r>
      <w:r>
        <w:rPr>
          <w:spacing w:val="40"/>
          <w:sz w:val="24"/>
        </w:rPr>
        <w:t> </w:t>
      </w:r>
      <w:r>
        <w:rPr>
          <w:sz w:val="24"/>
        </w:rPr>
        <w:t>Saham Syariah Indonesia (ISSI)?</w:t>
      </w:r>
    </w:p>
    <w:p>
      <w:pPr>
        <w:pStyle w:val="ListParagraph"/>
        <w:numPr>
          <w:ilvl w:val="0"/>
          <w:numId w:val="9"/>
        </w:numPr>
        <w:tabs>
          <w:tab w:pos="742" w:val="left" w:leader="none"/>
        </w:tabs>
        <w:spacing w:line="240" w:lineRule="auto" w:before="0" w:after="0"/>
        <w:ind w:left="742" w:right="0" w:hanging="359"/>
        <w:jc w:val="left"/>
        <w:rPr>
          <w:sz w:val="24"/>
        </w:rPr>
      </w:pPr>
      <w:r>
        <w:rPr>
          <w:sz w:val="24"/>
        </w:rPr>
        <w:t>Bagaimana</w:t>
      </w:r>
      <w:r>
        <w:rPr>
          <w:spacing w:val="-5"/>
          <w:sz w:val="24"/>
        </w:rPr>
        <w:t> </w:t>
      </w:r>
      <w:r>
        <w:rPr>
          <w:sz w:val="24"/>
        </w:rPr>
        <w:t>pengaruh</w:t>
      </w:r>
      <w:r>
        <w:rPr>
          <w:spacing w:val="-2"/>
          <w:sz w:val="24"/>
        </w:rPr>
        <w:t> </w:t>
      </w:r>
      <w:r>
        <w:rPr>
          <w:sz w:val="24"/>
        </w:rPr>
        <w:t>nilai</w:t>
      </w:r>
      <w:r>
        <w:rPr>
          <w:spacing w:val="-1"/>
          <w:sz w:val="24"/>
        </w:rPr>
        <w:t> </w:t>
      </w:r>
      <w:r>
        <w:rPr>
          <w:sz w:val="24"/>
        </w:rPr>
        <w:t>tukar</w:t>
      </w:r>
      <w:r>
        <w:rPr>
          <w:spacing w:val="-3"/>
          <w:sz w:val="24"/>
        </w:rPr>
        <w:t> </w:t>
      </w:r>
      <w:r>
        <w:rPr>
          <w:sz w:val="24"/>
        </w:rPr>
        <w:t>terhadap Indeks</w:t>
      </w:r>
      <w:r>
        <w:rPr>
          <w:spacing w:val="-2"/>
          <w:sz w:val="24"/>
        </w:rPr>
        <w:t> </w:t>
      </w:r>
      <w:r>
        <w:rPr>
          <w:sz w:val="24"/>
        </w:rPr>
        <w:t>Saham</w:t>
      </w:r>
      <w:r>
        <w:rPr>
          <w:spacing w:val="-2"/>
          <w:sz w:val="24"/>
        </w:rPr>
        <w:t> </w:t>
      </w:r>
      <w:r>
        <w:rPr>
          <w:sz w:val="24"/>
        </w:rPr>
        <w:t>Syariah Indonesia </w:t>
      </w:r>
      <w:r>
        <w:rPr>
          <w:spacing w:val="-2"/>
          <w:sz w:val="24"/>
        </w:rPr>
        <w:t>(ISSI)?</w:t>
      </w:r>
    </w:p>
    <w:p>
      <w:pPr>
        <w:pStyle w:val="ListParagraph"/>
        <w:numPr>
          <w:ilvl w:val="0"/>
          <w:numId w:val="9"/>
        </w:numPr>
        <w:tabs>
          <w:tab w:pos="742" w:val="left" w:leader="none"/>
        </w:tabs>
        <w:spacing w:line="240" w:lineRule="auto" w:before="136" w:after="0"/>
        <w:ind w:left="742" w:right="0" w:hanging="359"/>
        <w:jc w:val="left"/>
        <w:rPr>
          <w:sz w:val="24"/>
        </w:rPr>
      </w:pPr>
      <w:r>
        <w:rPr>
          <w:sz w:val="24"/>
        </w:rPr>
        <w:t>Bagaimana</w:t>
      </w:r>
      <w:r>
        <w:rPr>
          <w:spacing w:val="-5"/>
          <w:sz w:val="24"/>
        </w:rPr>
        <w:t> </w:t>
      </w:r>
      <w:r>
        <w:rPr>
          <w:sz w:val="24"/>
        </w:rPr>
        <w:t>pengaruh</w:t>
      </w:r>
      <w:r>
        <w:rPr>
          <w:spacing w:val="-2"/>
          <w:sz w:val="24"/>
        </w:rPr>
        <w:t> </w:t>
      </w:r>
      <w:r>
        <w:rPr>
          <w:sz w:val="24"/>
        </w:rPr>
        <w:t>inflasi</w:t>
      </w:r>
      <w:r>
        <w:rPr>
          <w:spacing w:val="-2"/>
          <w:sz w:val="24"/>
        </w:rPr>
        <w:t> </w:t>
      </w:r>
      <w:r>
        <w:rPr>
          <w:sz w:val="24"/>
        </w:rPr>
        <w:t>terhadap Indeks</w:t>
      </w:r>
      <w:r>
        <w:rPr>
          <w:spacing w:val="-3"/>
          <w:sz w:val="24"/>
        </w:rPr>
        <w:t> </w:t>
      </w:r>
      <w:r>
        <w:rPr>
          <w:sz w:val="24"/>
        </w:rPr>
        <w:t>Saham</w:t>
      </w:r>
      <w:r>
        <w:rPr>
          <w:spacing w:val="-2"/>
          <w:sz w:val="24"/>
        </w:rPr>
        <w:t> </w:t>
      </w:r>
      <w:r>
        <w:rPr>
          <w:sz w:val="24"/>
        </w:rPr>
        <w:t>Syariah Indonesia</w:t>
      </w:r>
      <w:r>
        <w:rPr>
          <w:spacing w:val="-1"/>
          <w:sz w:val="24"/>
        </w:rPr>
        <w:t> </w:t>
      </w:r>
      <w:r>
        <w:rPr>
          <w:spacing w:val="-2"/>
          <w:sz w:val="24"/>
        </w:rPr>
        <w:t>(ISSI)?</w:t>
      </w:r>
    </w:p>
    <w:p>
      <w:pPr>
        <w:pStyle w:val="BodyText"/>
        <w:spacing w:before="71"/>
        <w:rPr>
          <w:sz w:val="20"/>
        </w:rPr>
      </w:pPr>
      <w:r>
        <w:rPr>
          <w:sz w:val="20"/>
        </w:rPr>
        <mc:AlternateContent>
          <mc:Choice Requires="wps">
            <w:drawing>
              <wp:anchor distT="0" distB="0" distL="0" distR="0" allowOverlap="1" layoutInCell="1" locked="0" behindDoc="1" simplePos="0" relativeHeight="487597056">
                <wp:simplePos x="0" y="0"/>
                <wp:positionH relativeFrom="page">
                  <wp:posOffset>914704</wp:posOffset>
                </wp:positionH>
                <wp:positionV relativeFrom="paragraph">
                  <wp:posOffset>206776</wp:posOffset>
                </wp:positionV>
                <wp:extent cx="1829435" cy="9525"/>
                <wp:effectExtent l="0" t="0" r="0" b="0"/>
                <wp:wrapTopAndBottom/>
                <wp:docPr id="255" name="Graphic 255"/>
                <wp:cNvGraphicFramePr>
                  <a:graphicFrameLocks/>
                </wp:cNvGraphicFramePr>
                <a:graphic>
                  <a:graphicData uri="http://schemas.microsoft.com/office/word/2010/wordprocessingShape">
                    <wps:wsp>
                      <wps:cNvPr id="255" name="Graphic 255"/>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6.281593pt;width:144.020pt;height:.71997pt;mso-position-horizontal-relative:page;mso-position-vertical-relative:paragraph;z-index:-15719424;mso-wrap-distance-left:0;mso-wrap-distance-right:0" id="docshape227" filled="true" fillcolor="#000000" stroked="false">
                <v:fill type="solid"/>
                <w10:wrap type="topAndBottom"/>
              </v:rect>
            </w:pict>
          </mc:Fallback>
        </mc:AlternateContent>
      </w:r>
    </w:p>
    <w:p>
      <w:pPr>
        <w:spacing w:before="99"/>
        <w:ind w:left="23" w:right="160" w:firstLine="719"/>
        <w:jc w:val="both"/>
        <w:rPr>
          <w:sz w:val="20"/>
        </w:rPr>
      </w:pPr>
      <w:bookmarkStart w:name="_bookmark39" w:id="40"/>
      <w:bookmarkEnd w:id="40"/>
      <w:r>
        <w:rPr/>
      </w:r>
      <w:r>
        <w:rPr>
          <w:sz w:val="20"/>
          <w:vertAlign w:val="superscript"/>
        </w:rPr>
        <w:t>26</w:t>
      </w:r>
      <w:r>
        <w:rPr>
          <w:sz w:val="20"/>
          <w:vertAlign w:val="baseline"/>
        </w:rPr>
        <w:t> Muhammad Ash-shiddiqy, ‘Pengaruh Indeks Produksi Industri (IPI), Sertifikat Bank Indonesia Syariah (SBIS), Inflasi Dan Nilai Tukar Terhadap Indeks Saham Syariah Indoensia (Periode 2012-2018)’, </w:t>
      </w:r>
      <w:r>
        <w:rPr>
          <w:i/>
          <w:sz w:val="20"/>
          <w:vertAlign w:val="baseline"/>
        </w:rPr>
        <w:t>PANANGKARAN: Jurnal Penelitian Agama Dan Masyarakat</w:t>
      </w:r>
      <w:r>
        <w:rPr>
          <w:sz w:val="20"/>
          <w:vertAlign w:val="baseline"/>
        </w:rPr>
        <w:t>, 3.1 (2018), 39–50.</w:t>
      </w:r>
    </w:p>
    <w:p>
      <w:pPr>
        <w:spacing w:before="1"/>
        <w:ind w:left="743" w:right="0" w:firstLine="0"/>
        <w:jc w:val="both"/>
        <w:rPr>
          <w:sz w:val="20"/>
        </w:rPr>
      </w:pPr>
      <w:bookmarkStart w:name="_bookmark40" w:id="41"/>
      <w:bookmarkEnd w:id="41"/>
      <w:r>
        <w:rPr/>
      </w:r>
      <w:r>
        <w:rPr>
          <w:sz w:val="20"/>
          <w:vertAlign w:val="superscript"/>
        </w:rPr>
        <w:t>27</w:t>
      </w:r>
      <w:r>
        <w:rPr>
          <w:spacing w:val="-3"/>
          <w:sz w:val="20"/>
          <w:vertAlign w:val="baseline"/>
        </w:rPr>
        <w:t> </w:t>
      </w:r>
      <w:r>
        <w:rPr>
          <w:sz w:val="20"/>
          <w:vertAlign w:val="baseline"/>
        </w:rPr>
        <w:t>Muarif,</w:t>
      </w:r>
      <w:r>
        <w:rPr>
          <w:spacing w:val="-3"/>
          <w:sz w:val="20"/>
          <w:vertAlign w:val="baseline"/>
        </w:rPr>
        <w:t> </w:t>
      </w:r>
      <w:r>
        <w:rPr>
          <w:sz w:val="20"/>
          <w:vertAlign w:val="baseline"/>
        </w:rPr>
        <w:t>Anwar,</w:t>
      </w:r>
      <w:r>
        <w:rPr>
          <w:spacing w:val="-5"/>
          <w:sz w:val="20"/>
          <w:vertAlign w:val="baseline"/>
        </w:rPr>
        <w:t> </w:t>
      </w:r>
      <w:r>
        <w:rPr>
          <w:sz w:val="20"/>
          <w:vertAlign w:val="baseline"/>
        </w:rPr>
        <w:t>and</w:t>
      </w:r>
      <w:r>
        <w:rPr>
          <w:spacing w:val="-2"/>
          <w:sz w:val="20"/>
          <w:vertAlign w:val="baseline"/>
        </w:rPr>
        <w:t> Arintoko.</w:t>
      </w:r>
    </w:p>
    <w:p>
      <w:pPr>
        <w:spacing w:after="0"/>
        <w:jc w:val="both"/>
        <w:rPr>
          <w:sz w:val="20"/>
        </w:rPr>
        <w:sectPr>
          <w:pgSz w:w="11910" w:h="16840"/>
          <w:pgMar w:header="0" w:footer="1000" w:top="1360" w:bottom="1200" w:left="1417" w:right="1275"/>
        </w:sectPr>
      </w:pPr>
    </w:p>
    <w:p>
      <w:pPr>
        <w:pStyle w:val="ListParagraph"/>
        <w:numPr>
          <w:ilvl w:val="0"/>
          <w:numId w:val="9"/>
        </w:numPr>
        <w:tabs>
          <w:tab w:pos="743" w:val="left" w:leader="none"/>
        </w:tabs>
        <w:spacing w:line="360" w:lineRule="auto" w:before="60" w:after="0"/>
        <w:ind w:left="743" w:right="166" w:hanging="360"/>
        <w:jc w:val="left"/>
        <w:rPr>
          <w:sz w:val="24"/>
        </w:rPr>
      </w:pPr>
      <w:r>
        <w:rPr>
          <w:sz w:val="24"/>
        </w:rPr>
        <w:t>Bagaimana pengaruh Indeks Produksi Industri (IPI) terhadap Indeks Saham Syariah</w:t>
      </w:r>
      <w:r>
        <w:rPr>
          <w:spacing w:val="40"/>
          <w:sz w:val="24"/>
        </w:rPr>
        <w:t> </w:t>
      </w:r>
      <w:r>
        <w:rPr>
          <w:sz w:val="24"/>
        </w:rPr>
        <w:t>Indonesia (ISSI)?</w:t>
      </w:r>
    </w:p>
    <w:p>
      <w:pPr>
        <w:pStyle w:val="Heading2"/>
        <w:numPr>
          <w:ilvl w:val="1"/>
          <w:numId w:val="8"/>
        </w:numPr>
        <w:tabs>
          <w:tab w:pos="383" w:val="left" w:leader="none"/>
        </w:tabs>
        <w:spacing w:line="240" w:lineRule="auto" w:before="162" w:after="0"/>
        <w:ind w:left="383" w:right="0" w:hanging="360"/>
        <w:jc w:val="left"/>
      </w:pPr>
      <w:bookmarkStart w:name="_bookmark41" w:id="42"/>
      <w:bookmarkEnd w:id="42"/>
      <w:r>
        <w:rPr>
          <w:b w:val="0"/>
        </w:rPr>
      </w:r>
      <w:r>
        <w:rPr/>
        <w:t>Tujuan</w:t>
      </w:r>
      <w:r>
        <w:rPr>
          <w:spacing w:val="-3"/>
        </w:rPr>
        <w:t> </w:t>
      </w:r>
      <w:r>
        <w:rPr/>
        <w:t>Penelitian</w:t>
      </w:r>
      <w:r>
        <w:rPr>
          <w:spacing w:val="-5"/>
        </w:rPr>
        <w:t> </w:t>
      </w:r>
      <w:r>
        <w:rPr/>
        <w:t>dan</w:t>
      </w:r>
      <w:r>
        <w:rPr>
          <w:spacing w:val="-5"/>
        </w:rPr>
        <w:t> </w:t>
      </w:r>
      <w:r>
        <w:rPr/>
        <w:t>Manfaat</w:t>
      </w:r>
      <w:r>
        <w:rPr>
          <w:spacing w:val="-4"/>
        </w:rPr>
        <w:t> </w:t>
      </w:r>
      <w:r>
        <w:rPr>
          <w:spacing w:val="-2"/>
        </w:rPr>
        <w:t>Penelitian</w:t>
      </w:r>
    </w:p>
    <w:p>
      <w:pPr>
        <w:pStyle w:val="BodyText"/>
        <w:spacing w:before="21"/>
        <w:rPr>
          <w:b/>
        </w:rPr>
      </w:pPr>
    </w:p>
    <w:p>
      <w:pPr>
        <w:pStyle w:val="Heading2"/>
        <w:numPr>
          <w:ilvl w:val="2"/>
          <w:numId w:val="8"/>
        </w:numPr>
        <w:tabs>
          <w:tab w:pos="1103" w:val="left" w:leader="none"/>
        </w:tabs>
        <w:spacing w:line="240" w:lineRule="auto" w:before="0" w:after="0"/>
        <w:ind w:left="1103" w:right="0" w:hanging="720"/>
        <w:jc w:val="left"/>
      </w:pPr>
      <w:bookmarkStart w:name="_bookmark42" w:id="43"/>
      <w:bookmarkEnd w:id="43"/>
      <w:r>
        <w:rPr>
          <w:b w:val="0"/>
        </w:rPr>
      </w:r>
      <w:r>
        <w:rPr/>
        <w:t>Tujuan</w:t>
      </w:r>
      <w:r>
        <w:rPr>
          <w:spacing w:val="-3"/>
        </w:rPr>
        <w:t> </w:t>
      </w:r>
      <w:r>
        <w:rPr>
          <w:spacing w:val="-2"/>
        </w:rPr>
        <w:t>Penelitian</w:t>
      </w:r>
    </w:p>
    <w:p>
      <w:pPr>
        <w:pStyle w:val="BodyText"/>
        <w:spacing w:before="22"/>
        <w:rPr>
          <w:b/>
        </w:rPr>
      </w:pPr>
    </w:p>
    <w:p>
      <w:pPr>
        <w:pStyle w:val="BodyText"/>
        <w:ind w:left="1103"/>
      </w:pPr>
      <w:r>
        <w:rPr/>
        <w:t>Berikut</w:t>
      </w:r>
      <w:r>
        <w:rPr>
          <w:spacing w:val="-4"/>
        </w:rPr>
        <w:t> </w:t>
      </w:r>
      <w:r>
        <w:rPr/>
        <w:t>ini</w:t>
      </w:r>
      <w:r>
        <w:rPr>
          <w:spacing w:val="-1"/>
        </w:rPr>
        <w:t> </w:t>
      </w:r>
      <w:r>
        <w:rPr/>
        <w:t>merupakan</w:t>
      </w:r>
      <w:r>
        <w:rPr>
          <w:spacing w:val="-1"/>
        </w:rPr>
        <w:t> </w:t>
      </w:r>
      <w:r>
        <w:rPr/>
        <w:t>tujuan</w:t>
      </w:r>
      <w:r>
        <w:rPr>
          <w:spacing w:val="-2"/>
        </w:rPr>
        <w:t> </w:t>
      </w:r>
      <w:r>
        <w:rPr/>
        <w:t>dilakukannya</w:t>
      </w:r>
      <w:r>
        <w:rPr>
          <w:spacing w:val="-2"/>
        </w:rPr>
        <w:t> </w:t>
      </w:r>
      <w:r>
        <w:rPr/>
        <w:t>penelitian</w:t>
      </w:r>
      <w:r>
        <w:rPr>
          <w:spacing w:val="-1"/>
        </w:rPr>
        <w:t> </w:t>
      </w:r>
      <w:r>
        <w:rPr/>
        <w:t>antara</w:t>
      </w:r>
      <w:r>
        <w:rPr>
          <w:spacing w:val="-2"/>
        </w:rPr>
        <w:t> lain:</w:t>
      </w:r>
    </w:p>
    <w:p>
      <w:pPr>
        <w:pStyle w:val="ListParagraph"/>
        <w:numPr>
          <w:ilvl w:val="0"/>
          <w:numId w:val="10"/>
        </w:numPr>
        <w:tabs>
          <w:tab w:pos="1463" w:val="left" w:leader="none"/>
        </w:tabs>
        <w:spacing w:line="360" w:lineRule="auto" w:before="137" w:after="0"/>
        <w:ind w:left="1463" w:right="163" w:hanging="360"/>
        <w:jc w:val="left"/>
        <w:rPr>
          <w:sz w:val="24"/>
        </w:rPr>
      </w:pPr>
      <w:r>
        <w:rPr>
          <w:sz w:val="24"/>
        </w:rPr>
        <w:t>Untuk</w:t>
      </w:r>
      <w:r>
        <w:rPr>
          <w:spacing w:val="40"/>
          <w:sz w:val="24"/>
        </w:rPr>
        <w:t> </w:t>
      </w:r>
      <w:r>
        <w:rPr>
          <w:sz w:val="24"/>
        </w:rPr>
        <w:t>mengetahui</w:t>
      </w:r>
      <w:r>
        <w:rPr>
          <w:spacing w:val="40"/>
          <w:sz w:val="24"/>
        </w:rPr>
        <w:t> </w:t>
      </w:r>
      <w:r>
        <w:rPr>
          <w:sz w:val="24"/>
        </w:rPr>
        <w:t>pengaruh</w:t>
      </w:r>
      <w:r>
        <w:rPr>
          <w:spacing w:val="40"/>
          <w:sz w:val="24"/>
        </w:rPr>
        <w:t> </w:t>
      </w:r>
      <w:r>
        <w:rPr>
          <w:sz w:val="24"/>
        </w:rPr>
        <w:t>Indeks</w:t>
      </w:r>
      <w:r>
        <w:rPr>
          <w:spacing w:val="40"/>
          <w:sz w:val="24"/>
        </w:rPr>
        <w:t> </w:t>
      </w:r>
      <w:r>
        <w:rPr>
          <w:sz w:val="24"/>
        </w:rPr>
        <w:t>Keyakinan</w:t>
      </w:r>
      <w:r>
        <w:rPr>
          <w:spacing w:val="40"/>
          <w:sz w:val="24"/>
        </w:rPr>
        <w:t> </w:t>
      </w:r>
      <w:r>
        <w:rPr>
          <w:sz w:val="24"/>
        </w:rPr>
        <w:t>Konsumen</w:t>
      </w:r>
      <w:r>
        <w:rPr>
          <w:spacing w:val="40"/>
          <w:sz w:val="24"/>
        </w:rPr>
        <w:t> </w:t>
      </w:r>
      <w:r>
        <w:rPr>
          <w:sz w:val="24"/>
        </w:rPr>
        <w:t>(IKK)</w:t>
      </w:r>
      <w:r>
        <w:rPr>
          <w:spacing w:val="40"/>
          <w:sz w:val="24"/>
        </w:rPr>
        <w:t> </w:t>
      </w:r>
      <w:r>
        <w:rPr>
          <w:sz w:val="24"/>
        </w:rPr>
        <w:t>terhadap Indeks Saham Syariah Indonesia (ISSI).</w:t>
      </w:r>
    </w:p>
    <w:p>
      <w:pPr>
        <w:pStyle w:val="ListParagraph"/>
        <w:numPr>
          <w:ilvl w:val="0"/>
          <w:numId w:val="10"/>
        </w:numPr>
        <w:tabs>
          <w:tab w:pos="1463" w:val="left" w:leader="none"/>
        </w:tabs>
        <w:spacing w:line="362" w:lineRule="auto" w:before="0" w:after="0"/>
        <w:ind w:left="1463" w:right="164" w:hanging="360"/>
        <w:jc w:val="left"/>
        <w:rPr>
          <w:sz w:val="24"/>
        </w:rPr>
      </w:pPr>
      <w:r>
        <w:rPr>
          <w:sz w:val="24"/>
        </w:rPr>
        <w:t>Untuk</w:t>
      </w:r>
      <w:r>
        <w:rPr>
          <w:spacing w:val="80"/>
          <w:sz w:val="24"/>
        </w:rPr>
        <w:t> </w:t>
      </w:r>
      <w:r>
        <w:rPr>
          <w:sz w:val="24"/>
        </w:rPr>
        <w:t>mengetahui</w:t>
      </w:r>
      <w:r>
        <w:rPr>
          <w:spacing w:val="80"/>
          <w:sz w:val="24"/>
        </w:rPr>
        <w:t> </w:t>
      </w:r>
      <w:r>
        <w:rPr>
          <w:sz w:val="24"/>
        </w:rPr>
        <w:t>pengaruh</w:t>
      </w:r>
      <w:r>
        <w:rPr>
          <w:spacing w:val="80"/>
          <w:sz w:val="24"/>
        </w:rPr>
        <w:t> </w:t>
      </w:r>
      <w:r>
        <w:rPr>
          <w:sz w:val="24"/>
        </w:rPr>
        <w:t>nilai</w:t>
      </w:r>
      <w:r>
        <w:rPr>
          <w:spacing w:val="80"/>
          <w:sz w:val="24"/>
        </w:rPr>
        <w:t> </w:t>
      </w:r>
      <w:r>
        <w:rPr>
          <w:sz w:val="24"/>
        </w:rPr>
        <w:t>tukar</w:t>
      </w:r>
      <w:r>
        <w:rPr>
          <w:spacing w:val="80"/>
          <w:sz w:val="24"/>
        </w:rPr>
        <w:t> </w:t>
      </w:r>
      <w:r>
        <w:rPr>
          <w:sz w:val="24"/>
        </w:rPr>
        <w:t>terhadap</w:t>
      </w:r>
      <w:r>
        <w:rPr>
          <w:spacing w:val="80"/>
          <w:sz w:val="24"/>
        </w:rPr>
        <w:t> </w:t>
      </w:r>
      <w:r>
        <w:rPr>
          <w:sz w:val="24"/>
        </w:rPr>
        <w:t>Indeks</w:t>
      </w:r>
      <w:r>
        <w:rPr>
          <w:spacing w:val="80"/>
          <w:sz w:val="24"/>
        </w:rPr>
        <w:t> </w:t>
      </w:r>
      <w:r>
        <w:rPr>
          <w:sz w:val="24"/>
        </w:rPr>
        <w:t>Saham</w:t>
      </w:r>
      <w:r>
        <w:rPr>
          <w:spacing w:val="80"/>
          <w:sz w:val="24"/>
        </w:rPr>
        <w:t> </w:t>
      </w:r>
      <w:r>
        <w:rPr>
          <w:sz w:val="24"/>
        </w:rPr>
        <w:t>Syariah Indonesia (ISSI).</w:t>
      </w:r>
    </w:p>
    <w:p>
      <w:pPr>
        <w:pStyle w:val="ListParagraph"/>
        <w:numPr>
          <w:ilvl w:val="0"/>
          <w:numId w:val="10"/>
        </w:numPr>
        <w:tabs>
          <w:tab w:pos="1463" w:val="left" w:leader="none"/>
        </w:tabs>
        <w:spacing w:line="360" w:lineRule="auto" w:before="0" w:after="0"/>
        <w:ind w:left="1463" w:right="163" w:hanging="360"/>
        <w:jc w:val="left"/>
        <w:rPr>
          <w:sz w:val="24"/>
        </w:rPr>
      </w:pPr>
      <w:r>
        <w:rPr>
          <w:sz w:val="24"/>
        </w:rPr>
        <w:t>Untuk mengetahui pengaruh inflasi terhadap Indeks Saham Syariah Indonesia </w:t>
      </w:r>
      <w:r>
        <w:rPr>
          <w:spacing w:val="-2"/>
          <w:sz w:val="24"/>
        </w:rPr>
        <w:t>(ISSI).</w:t>
      </w:r>
    </w:p>
    <w:p>
      <w:pPr>
        <w:pStyle w:val="ListParagraph"/>
        <w:numPr>
          <w:ilvl w:val="0"/>
          <w:numId w:val="10"/>
        </w:numPr>
        <w:tabs>
          <w:tab w:pos="1463" w:val="left" w:leader="none"/>
        </w:tabs>
        <w:spacing w:line="360" w:lineRule="auto" w:before="0" w:after="0"/>
        <w:ind w:left="1463" w:right="162" w:hanging="360"/>
        <w:jc w:val="left"/>
        <w:rPr>
          <w:sz w:val="24"/>
        </w:rPr>
      </w:pPr>
      <w:r>
        <w:rPr>
          <w:sz w:val="24"/>
        </w:rPr>
        <w:t>Untuk</w:t>
      </w:r>
      <w:r>
        <w:rPr>
          <w:spacing w:val="36"/>
          <w:sz w:val="24"/>
        </w:rPr>
        <w:t> </w:t>
      </w:r>
      <w:r>
        <w:rPr>
          <w:sz w:val="24"/>
        </w:rPr>
        <w:t>mengetahui</w:t>
      </w:r>
      <w:r>
        <w:rPr>
          <w:spacing w:val="36"/>
          <w:sz w:val="24"/>
        </w:rPr>
        <w:t> </w:t>
      </w:r>
      <w:r>
        <w:rPr>
          <w:sz w:val="24"/>
        </w:rPr>
        <w:t>pengaruh</w:t>
      </w:r>
      <w:r>
        <w:rPr>
          <w:spacing w:val="39"/>
          <w:sz w:val="24"/>
        </w:rPr>
        <w:t> </w:t>
      </w:r>
      <w:r>
        <w:rPr>
          <w:sz w:val="24"/>
        </w:rPr>
        <w:t>Indeks</w:t>
      </w:r>
      <w:r>
        <w:rPr>
          <w:spacing w:val="36"/>
          <w:sz w:val="24"/>
        </w:rPr>
        <w:t> </w:t>
      </w:r>
      <w:r>
        <w:rPr>
          <w:sz w:val="24"/>
        </w:rPr>
        <w:t>Produksi</w:t>
      </w:r>
      <w:r>
        <w:rPr>
          <w:spacing w:val="39"/>
          <w:sz w:val="24"/>
        </w:rPr>
        <w:t> </w:t>
      </w:r>
      <w:r>
        <w:rPr>
          <w:sz w:val="24"/>
        </w:rPr>
        <w:t>Industri</w:t>
      </w:r>
      <w:r>
        <w:rPr>
          <w:spacing w:val="36"/>
          <w:sz w:val="24"/>
        </w:rPr>
        <w:t> </w:t>
      </w:r>
      <w:r>
        <w:rPr>
          <w:sz w:val="24"/>
        </w:rPr>
        <w:t>(IPI)</w:t>
      </w:r>
      <w:r>
        <w:rPr>
          <w:spacing w:val="37"/>
          <w:sz w:val="24"/>
        </w:rPr>
        <w:t> </w:t>
      </w:r>
      <w:r>
        <w:rPr>
          <w:sz w:val="24"/>
        </w:rPr>
        <w:t>terhadap</w:t>
      </w:r>
      <w:r>
        <w:rPr>
          <w:spacing w:val="38"/>
          <w:sz w:val="24"/>
        </w:rPr>
        <w:t> </w:t>
      </w:r>
      <w:r>
        <w:rPr>
          <w:sz w:val="24"/>
        </w:rPr>
        <w:t>Indeks Saham Syariah Indonesia (ISSI).</w:t>
      </w:r>
    </w:p>
    <w:p>
      <w:pPr>
        <w:pStyle w:val="Heading2"/>
        <w:numPr>
          <w:ilvl w:val="2"/>
          <w:numId w:val="8"/>
        </w:numPr>
        <w:tabs>
          <w:tab w:pos="1103" w:val="left" w:leader="none"/>
        </w:tabs>
        <w:spacing w:line="240" w:lineRule="auto" w:before="156" w:after="0"/>
        <w:ind w:left="1103" w:right="0" w:hanging="720"/>
        <w:jc w:val="left"/>
      </w:pPr>
      <w:bookmarkStart w:name="_bookmark43" w:id="44"/>
      <w:bookmarkEnd w:id="44"/>
      <w:r>
        <w:rPr>
          <w:b w:val="0"/>
        </w:rPr>
      </w:r>
      <w:r>
        <w:rPr/>
        <w:t>Manfaat</w:t>
      </w:r>
      <w:r>
        <w:rPr>
          <w:spacing w:val="-4"/>
        </w:rPr>
        <w:t> </w:t>
      </w:r>
      <w:r>
        <w:rPr>
          <w:spacing w:val="-2"/>
        </w:rPr>
        <w:t>Penelitian</w:t>
      </w:r>
    </w:p>
    <w:p>
      <w:pPr>
        <w:pStyle w:val="BodyText"/>
        <w:spacing w:before="21"/>
        <w:rPr>
          <w:b/>
        </w:rPr>
      </w:pPr>
    </w:p>
    <w:p>
      <w:pPr>
        <w:pStyle w:val="BodyText"/>
        <w:spacing w:before="1"/>
        <w:ind w:left="1103"/>
      </w:pPr>
      <w:r>
        <w:rPr/>
        <w:t>Adapun</w:t>
      </w:r>
      <w:r>
        <w:rPr>
          <w:spacing w:val="-1"/>
        </w:rPr>
        <w:t> </w:t>
      </w:r>
      <w:r>
        <w:rPr/>
        <w:t>manfaat</w:t>
      </w:r>
      <w:r>
        <w:rPr>
          <w:spacing w:val="-1"/>
        </w:rPr>
        <w:t> </w:t>
      </w:r>
      <w:r>
        <w:rPr/>
        <w:t>dari</w:t>
      </w:r>
      <w:r>
        <w:rPr>
          <w:spacing w:val="-1"/>
        </w:rPr>
        <w:t> </w:t>
      </w:r>
      <w:r>
        <w:rPr/>
        <w:t>penelitian</w:t>
      </w:r>
      <w:r>
        <w:rPr>
          <w:spacing w:val="-1"/>
        </w:rPr>
        <w:t> </w:t>
      </w:r>
      <w:r>
        <w:rPr/>
        <w:t>ini</w:t>
      </w:r>
      <w:r>
        <w:rPr>
          <w:spacing w:val="-1"/>
        </w:rPr>
        <w:t> </w:t>
      </w:r>
      <w:r>
        <w:rPr>
          <w:spacing w:val="-2"/>
        </w:rPr>
        <w:t>diantaranya:</w:t>
      </w:r>
    </w:p>
    <w:p>
      <w:pPr>
        <w:pStyle w:val="ListParagraph"/>
        <w:numPr>
          <w:ilvl w:val="0"/>
          <w:numId w:val="11"/>
        </w:numPr>
        <w:tabs>
          <w:tab w:pos="1463" w:val="left" w:leader="none"/>
        </w:tabs>
        <w:spacing w:line="240" w:lineRule="auto" w:before="139" w:after="0"/>
        <w:ind w:left="1463" w:right="0" w:hanging="360"/>
        <w:jc w:val="both"/>
        <w:rPr>
          <w:sz w:val="24"/>
        </w:rPr>
      </w:pPr>
      <w:r>
        <w:rPr>
          <w:sz w:val="24"/>
        </w:rPr>
        <w:t>Manfaat</w:t>
      </w:r>
      <w:r>
        <w:rPr>
          <w:spacing w:val="-4"/>
          <w:sz w:val="24"/>
        </w:rPr>
        <w:t> </w:t>
      </w:r>
      <w:r>
        <w:rPr>
          <w:spacing w:val="-2"/>
          <w:sz w:val="24"/>
        </w:rPr>
        <w:t>Akademis</w:t>
      </w:r>
    </w:p>
    <w:p>
      <w:pPr>
        <w:pStyle w:val="BodyText"/>
        <w:spacing w:line="360" w:lineRule="auto" w:before="137"/>
        <w:ind w:left="1463" w:right="160" w:firstLine="720"/>
        <w:jc w:val="both"/>
      </w:pPr>
      <w:r>
        <w:rPr/>
        <w:t>Diharapkan penelitian ini dapat meningkatkan pengetahuan tentang ilmu ekonomi islam dan menjadi sumber rujukan atau pun pembanding untuk penelitian terkait pengaruh Indeks Keyakinan Konsumen (IKK) dan faktor ekonomi makro dalam studi kasus Indeks Saham Syariah Indonesia di masa </w:t>
      </w:r>
      <w:r>
        <w:rPr>
          <w:spacing w:val="-2"/>
        </w:rPr>
        <w:t>depan.</w:t>
      </w:r>
    </w:p>
    <w:p>
      <w:pPr>
        <w:pStyle w:val="ListParagraph"/>
        <w:numPr>
          <w:ilvl w:val="0"/>
          <w:numId w:val="11"/>
        </w:numPr>
        <w:tabs>
          <w:tab w:pos="1463" w:val="left" w:leader="none"/>
        </w:tabs>
        <w:spacing w:line="240" w:lineRule="auto" w:before="1" w:after="0"/>
        <w:ind w:left="1463" w:right="0" w:hanging="360"/>
        <w:jc w:val="both"/>
        <w:rPr>
          <w:sz w:val="24"/>
        </w:rPr>
      </w:pPr>
      <w:r>
        <w:rPr>
          <w:sz w:val="24"/>
        </w:rPr>
        <w:t>Manfaat</w:t>
      </w:r>
      <w:r>
        <w:rPr>
          <w:spacing w:val="-4"/>
          <w:sz w:val="24"/>
        </w:rPr>
        <w:t> </w:t>
      </w:r>
      <w:r>
        <w:rPr>
          <w:spacing w:val="-2"/>
          <w:sz w:val="24"/>
        </w:rPr>
        <w:t>Praktis</w:t>
      </w:r>
    </w:p>
    <w:p>
      <w:pPr>
        <w:pStyle w:val="ListParagraph"/>
        <w:numPr>
          <w:ilvl w:val="1"/>
          <w:numId w:val="11"/>
        </w:numPr>
        <w:tabs>
          <w:tab w:pos="1822" w:val="left" w:leader="none"/>
        </w:tabs>
        <w:spacing w:line="240" w:lineRule="auto" w:before="137" w:after="0"/>
        <w:ind w:left="1822" w:right="0" w:hanging="359"/>
        <w:jc w:val="both"/>
        <w:rPr>
          <w:sz w:val="24"/>
        </w:rPr>
      </w:pPr>
      <w:r>
        <w:rPr>
          <w:sz w:val="24"/>
        </w:rPr>
        <w:t>Bagi</w:t>
      </w:r>
      <w:r>
        <w:rPr>
          <w:spacing w:val="-3"/>
          <w:sz w:val="24"/>
        </w:rPr>
        <w:t> </w:t>
      </w:r>
      <w:r>
        <w:rPr>
          <w:spacing w:val="-2"/>
          <w:sz w:val="24"/>
        </w:rPr>
        <w:t>Investor</w:t>
      </w:r>
    </w:p>
    <w:p>
      <w:pPr>
        <w:pStyle w:val="BodyText"/>
        <w:spacing w:line="360" w:lineRule="auto" w:before="137"/>
        <w:ind w:left="1823" w:right="160" w:firstLine="360"/>
        <w:jc w:val="both"/>
      </w:pPr>
      <w:r>
        <w:rPr/>
        <w:t>Penelitian ini diharapkan dapat membantu investor untuk </w:t>
      </w:r>
      <w:r>
        <w:rPr/>
        <w:t>lebih memahami laporan keuangan dan memperhatikan kondisi makroekonomi sebelum menanamkan modalnya, sehingga mereka dapat memutuskan produk investasi mana yang akan dipilih sesuai dengan kriteria saham syariah yang terdapat dalam ISSI.</w:t>
      </w:r>
    </w:p>
    <w:p>
      <w:pPr>
        <w:pStyle w:val="ListParagraph"/>
        <w:numPr>
          <w:ilvl w:val="1"/>
          <w:numId w:val="11"/>
        </w:numPr>
        <w:tabs>
          <w:tab w:pos="1823" w:val="left" w:leader="none"/>
        </w:tabs>
        <w:spacing w:line="240" w:lineRule="auto" w:before="2" w:after="0"/>
        <w:ind w:left="1823" w:right="0" w:hanging="360"/>
        <w:jc w:val="both"/>
        <w:rPr>
          <w:sz w:val="24"/>
        </w:rPr>
      </w:pPr>
      <w:r>
        <w:rPr>
          <w:sz w:val="24"/>
        </w:rPr>
        <w:t>Bagi</w:t>
      </w:r>
      <w:r>
        <w:rPr>
          <w:spacing w:val="-1"/>
          <w:sz w:val="24"/>
        </w:rPr>
        <w:t> </w:t>
      </w:r>
      <w:r>
        <w:rPr>
          <w:spacing w:val="-2"/>
          <w:sz w:val="24"/>
        </w:rPr>
        <w:t>Perusahaan</w:t>
      </w:r>
    </w:p>
    <w:p>
      <w:pPr>
        <w:pStyle w:val="BodyText"/>
        <w:spacing w:line="360" w:lineRule="auto" w:before="137"/>
        <w:ind w:left="1823" w:right="164" w:firstLine="360"/>
        <w:jc w:val="both"/>
      </w:pPr>
      <w:r>
        <w:rPr/>
        <w:t>Perusahaan yang sahamnya</w:t>
      </w:r>
      <w:r>
        <w:rPr>
          <w:spacing w:val="-1"/>
        </w:rPr>
        <w:t> </w:t>
      </w:r>
      <w:r>
        <w:rPr/>
        <w:t>tercatat di ISSI bisa memanfaatkan temuan studi ini sebagai data penilaian atas kondisi makroekonomi dan sentimen konsumen</w:t>
      </w:r>
      <w:r>
        <w:rPr>
          <w:spacing w:val="59"/>
          <w:w w:val="150"/>
        </w:rPr>
        <w:t> </w:t>
      </w:r>
      <w:r>
        <w:rPr/>
        <w:t>yang</w:t>
      </w:r>
      <w:r>
        <w:rPr>
          <w:spacing w:val="62"/>
          <w:w w:val="150"/>
        </w:rPr>
        <w:t> </w:t>
      </w:r>
      <w:r>
        <w:rPr/>
        <w:t>mempengaruhi</w:t>
      </w:r>
      <w:r>
        <w:rPr>
          <w:spacing w:val="62"/>
          <w:w w:val="150"/>
        </w:rPr>
        <w:t> </w:t>
      </w:r>
      <w:r>
        <w:rPr/>
        <w:t>harga</w:t>
      </w:r>
      <w:r>
        <w:rPr>
          <w:spacing w:val="59"/>
          <w:w w:val="150"/>
        </w:rPr>
        <w:t> </w:t>
      </w:r>
      <w:r>
        <w:rPr/>
        <w:t>sahamnya.</w:t>
      </w:r>
      <w:r>
        <w:rPr>
          <w:spacing w:val="64"/>
          <w:w w:val="150"/>
        </w:rPr>
        <w:t> </w:t>
      </w:r>
      <w:r>
        <w:rPr/>
        <w:t>Informasi</w:t>
      </w:r>
      <w:r>
        <w:rPr>
          <w:spacing w:val="62"/>
          <w:w w:val="150"/>
        </w:rPr>
        <w:t> </w:t>
      </w:r>
      <w:r>
        <w:rPr/>
        <w:t>ini</w:t>
      </w:r>
      <w:r>
        <w:rPr>
          <w:spacing w:val="63"/>
          <w:w w:val="150"/>
        </w:rPr>
        <w:t> </w:t>
      </w:r>
      <w:r>
        <w:rPr>
          <w:spacing w:val="-2"/>
        </w:rPr>
        <w:t>dapat</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1823" w:right="165"/>
        <w:jc w:val="both"/>
      </w:pPr>
      <w:r>
        <w:rPr/>
        <w:t>membantu perusahaan dalam merumuskan strategi bisnis dan komunikasi dengan investor guna meningkatkan nilai perusahaan dan daya </w:t>
      </w:r>
      <w:r>
        <w:rPr/>
        <w:t>tarik </w:t>
      </w:r>
      <w:r>
        <w:rPr>
          <w:spacing w:val="-2"/>
        </w:rPr>
        <w:t>investasi.</w:t>
      </w:r>
    </w:p>
    <w:p>
      <w:pPr>
        <w:pStyle w:val="ListParagraph"/>
        <w:numPr>
          <w:ilvl w:val="1"/>
          <w:numId w:val="11"/>
        </w:numPr>
        <w:tabs>
          <w:tab w:pos="1822" w:val="left" w:leader="none"/>
        </w:tabs>
        <w:spacing w:line="275" w:lineRule="exact" w:before="0" w:after="0"/>
        <w:ind w:left="1822" w:right="0" w:hanging="359"/>
        <w:jc w:val="both"/>
        <w:rPr>
          <w:sz w:val="24"/>
        </w:rPr>
      </w:pPr>
      <w:r>
        <w:rPr>
          <w:sz w:val="24"/>
        </w:rPr>
        <w:t>Bagi</w:t>
      </w:r>
      <w:r>
        <w:rPr>
          <w:spacing w:val="-2"/>
          <w:sz w:val="24"/>
        </w:rPr>
        <w:t> </w:t>
      </w:r>
      <w:r>
        <w:rPr>
          <w:sz w:val="24"/>
        </w:rPr>
        <w:t>Pihak </w:t>
      </w:r>
      <w:r>
        <w:rPr>
          <w:spacing w:val="-4"/>
          <w:sz w:val="24"/>
        </w:rPr>
        <w:t>Lain</w:t>
      </w:r>
    </w:p>
    <w:p>
      <w:pPr>
        <w:pStyle w:val="BodyText"/>
        <w:spacing w:line="360" w:lineRule="auto" w:before="140"/>
        <w:ind w:left="1823" w:right="161" w:firstLine="360"/>
        <w:jc w:val="both"/>
      </w:pPr>
      <w:r>
        <w:rPr/>
        <w:t>Adapun manfaat dalam bentuk pengetahuan, ilmu pengetahuan, dan referensi bacaan diharapkan dapat diperoleh dari penelitian ini sebagai pengembangan karya di kemudian hari serta dapat menginspirasi banyak </w:t>
      </w:r>
      <w:r>
        <w:rPr>
          <w:spacing w:val="-2"/>
        </w:rPr>
        <w:t>orang.</w:t>
      </w:r>
    </w:p>
    <w:p>
      <w:pPr>
        <w:pStyle w:val="Heading2"/>
        <w:numPr>
          <w:ilvl w:val="1"/>
          <w:numId w:val="8"/>
        </w:numPr>
        <w:tabs>
          <w:tab w:pos="383" w:val="left" w:leader="none"/>
        </w:tabs>
        <w:spacing w:line="240" w:lineRule="auto" w:before="161" w:after="0"/>
        <w:ind w:left="383" w:right="0" w:hanging="360"/>
        <w:jc w:val="both"/>
      </w:pPr>
      <w:bookmarkStart w:name="_bookmark44" w:id="45"/>
      <w:bookmarkEnd w:id="45"/>
      <w:r>
        <w:rPr>
          <w:b w:val="0"/>
        </w:rPr>
      </w:r>
      <w:r>
        <w:rPr/>
        <w:t>Sistematika</w:t>
      </w:r>
      <w:r>
        <w:rPr>
          <w:spacing w:val="-3"/>
        </w:rPr>
        <w:t> </w:t>
      </w:r>
      <w:r>
        <w:rPr>
          <w:spacing w:val="-2"/>
        </w:rPr>
        <w:t>Penulisan</w:t>
      </w:r>
    </w:p>
    <w:p>
      <w:pPr>
        <w:pStyle w:val="BodyText"/>
        <w:spacing w:before="22"/>
        <w:rPr>
          <w:b/>
        </w:rPr>
      </w:pPr>
    </w:p>
    <w:p>
      <w:pPr>
        <w:pStyle w:val="BodyText"/>
        <w:spacing w:line="360" w:lineRule="auto"/>
        <w:ind w:left="863" w:right="161" w:firstLine="600"/>
        <w:jc w:val="both"/>
      </w:pPr>
      <w:r>
        <w:rPr/>
        <w:t>Tujuan dari pembuatan sistematika ini adalah untuk meringankan pemahaman terhadap penelitian. Agar alur pembahasan masalah lebih terstruktur, peneliti membuat kerangka penelitian secara metodis. Berikut ini adalah teknik penyusunan yang digunakan dalam penelitian ini:</w:t>
      </w:r>
    </w:p>
    <w:p>
      <w:pPr>
        <w:pStyle w:val="BodyText"/>
        <w:tabs>
          <w:tab w:pos="2183" w:val="left" w:leader="none"/>
        </w:tabs>
        <w:ind w:left="863"/>
      </w:pPr>
      <w:r>
        <w:rPr/>
        <w:t>BAB </w:t>
      </w:r>
      <w:r>
        <w:rPr>
          <w:spacing w:val="-10"/>
        </w:rPr>
        <w:t>I</w:t>
      </w:r>
      <w:r>
        <w:rPr/>
        <w:tab/>
        <w:t>: </w:t>
      </w:r>
      <w:r>
        <w:rPr>
          <w:spacing w:val="-2"/>
        </w:rPr>
        <w:t>PENDAHULUAN</w:t>
      </w:r>
    </w:p>
    <w:p>
      <w:pPr>
        <w:pStyle w:val="BodyText"/>
        <w:spacing w:line="360" w:lineRule="auto" w:before="137"/>
        <w:ind w:left="2291" w:right="166"/>
        <w:jc w:val="both"/>
      </w:pPr>
      <w:r>
        <w:rPr/>
        <w:t>Pada bab inilah penulis menjelaskan banyak hal mengenai latar belakang,</w:t>
      </w:r>
      <w:r>
        <w:rPr>
          <w:spacing w:val="-3"/>
        </w:rPr>
        <w:t> </w:t>
      </w:r>
      <w:r>
        <w:rPr/>
        <w:t>rumusan</w:t>
      </w:r>
      <w:r>
        <w:rPr>
          <w:spacing w:val="-5"/>
        </w:rPr>
        <w:t> </w:t>
      </w:r>
      <w:r>
        <w:rPr/>
        <w:t>masalah,</w:t>
      </w:r>
      <w:r>
        <w:rPr>
          <w:spacing w:val="-5"/>
        </w:rPr>
        <w:t> </w:t>
      </w:r>
      <w:r>
        <w:rPr/>
        <w:t>tujuan</w:t>
      </w:r>
      <w:r>
        <w:rPr>
          <w:spacing w:val="-5"/>
        </w:rPr>
        <w:t> </w:t>
      </w:r>
      <w:r>
        <w:rPr/>
        <w:t>penelitian,</w:t>
      </w:r>
      <w:r>
        <w:rPr>
          <w:spacing w:val="-5"/>
        </w:rPr>
        <w:t> </w:t>
      </w:r>
      <w:r>
        <w:rPr/>
        <w:t>manfaat</w:t>
      </w:r>
      <w:r>
        <w:rPr>
          <w:spacing w:val="-5"/>
        </w:rPr>
        <w:t> </w:t>
      </w:r>
      <w:r>
        <w:rPr/>
        <w:t>penelitian,</w:t>
      </w:r>
      <w:r>
        <w:rPr>
          <w:spacing w:val="-5"/>
        </w:rPr>
        <w:t> </w:t>
      </w:r>
      <w:r>
        <w:rPr/>
        <w:t>dan sistematika penulisan.</w:t>
      </w:r>
    </w:p>
    <w:p>
      <w:pPr>
        <w:pStyle w:val="BodyText"/>
        <w:tabs>
          <w:tab w:pos="2183" w:val="left" w:leader="none"/>
        </w:tabs>
        <w:spacing w:before="2"/>
        <w:ind w:left="863"/>
      </w:pPr>
      <w:r>
        <w:rPr/>
        <w:t>BAB </w:t>
      </w:r>
      <w:r>
        <w:rPr>
          <w:spacing w:val="-5"/>
        </w:rPr>
        <w:t>II</w:t>
      </w:r>
      <w:r>
        <w:rPr/>
        <w:tab/>
        <w:t>:</w:t>
      </w:r>
      <w:r>
        <w:rPr>
          <w:spacing w:val="-4"/>
        </w:rPr>
        <w:t> </w:t>
      </w:r>
      <w:r>
        <w:rPr/>
        <w:t>TINJAUAN</w:t>
      </w:r>
      <w:r>
        <w:rPr>
          <w:spacing w:val="-3"/>
        </w:rPr>
        <w:t> </w:t>
      </w:r>
      <w:r>
        <w:rPr>
          <w:spacing w:val="-2"/>
        </w:rPr>
        <w:t>PUSTAKA</w:t>
      </w:r>
    </w:p>
    <w:p>
      <w:pPr>
        <w:pStyle w:val="BodyText"/>
        <w:spacing w:line="360" w:lineRule="auto" w:before="136"/>
        <w:ind w:left="2291" w:right="161"/>
        <w:jc w:val="both"/>
      </w:pPr>
      <w:r>
        <w:rPr/>
        <w:t>Penjelasan</w:t>
      </w:r>
      <w:r>
        <w:rPr>
          <w:spacing w:val="-15"/>
        </w:rPr>
        <w:t> </w:t>
      </w:r>
      <w:r>
        <w:rPr/>
        <w:t>tentang</w:t>
      </w:r>
      <w:r>
        <w:rPr>
          <w:spacing w:val="-15"/>
        </w:rPr>
        <w:t> </w:t>
      </w:r>
      <w:r>
        <w:rPr>
          <w:i/>
        </w:rPr>
        <w:t>signaling</w:t>
      </w:r>
      <w:r>
        <w:rPr>
          <w:i/>
          <w:spacing w:val="-15"/>
        </w:rPr>
        <w:t> </w:t>
      </w:r>
      <w:r>
        <w:rPr>
          <w:i/>
        </w:rPr>
        <w:t>theory</w:t>
      </w:r>
      <w:r>
        <w:rPr>
          <w:i/>
          <w:spacing w:val="-15"/>
        </w:rPr>
        <w:t> </w:t>
      </w:r>
      <w:r>
        <w:rPr/>
        <w:t>yang</w:t>
      </w:r>
      <w:r>
        <w:rPr>
          <w:spacing w:val="-15"/>
        </w:rPr>
        <w:t> </w:t>
      </w:r>
      <w:r>
        <w:rPr/>
        <w:t>menjadi</w:t>
      </w:r>
      <w:r>
        <w:rPr>
          <w:spacing w:val="-15"/>
        </w:rPr>
        <w:t> </w:t>
      </w:r>
      <w:r>
        <w:rPr/>
        <w:t>landasan</w:t>
      </w:r>
      <w:r>
        <w:rPr>
          <w:spacing w:val="-15"/>
        </w:rPr>
        <w:t> </w:t>
      </w:r>
      <w:r>
        <w:rPr/>
        <w:t>teori</w:t>
      </w:r>
      <w:r>
        <w:rPr>
          <w:spacing w:val="-15"/>
        </w:rPr>
        <w:t> </w:t>
      </w:r>
      <w:r>
        <w:rPr/>
        <w:t>tertera dalam</w:t>
      </w:r>
      <w:r>
        <w:rPr>
          <w:spacing w:val="-13"/>
        </w:rPr>
        <w:t> </w:t>
      </w:r>
      <w:r>
        <w:rPr/>
        <w:t>bab</w:t>
      </w:r>
      <w:r>
        <w:rPr>
          <w:spacing w:val="-13"/>
        </w:rPr>
        <w:t> </w:t>
      </w:r>
      <w:r>
        <w:rPr/>
        <w:t>ini.</w:t>
      </w:r>
      <w:r>
        <w:rPr>
          <w:spacing w:val="-13"/>
        </w:rPr>
        <w:t> </w:t>
      </w:r>
      <w:r>
        <w:rPr/>
        <w:t>Selain</w:t>
      </w:r>
      <w:r>
        <w:rPr>
          <w:spacing w:val="-13"/>
        </w:rPr>
        <w:t> </w:t>
      </w:r>
      <w:r>
        <w:rPr/>
        <w:t>itu</w:t>
      </w:r>
      <w:r>
        <w:rPr>
          <w:spacing w:val="-13"/>
        </w:rPr>
        <w:t> </w:t>
      </w:r>
      <w:r>
        <w:rPr/>
        <w:t>terdapat</w:t>
      </w:r>
      <w:r>
        <w:rPr>
          <w:spacing w:val="-13"/>
        </w:rPr>
        <w:t> </w:t>
      </w:r>
      <w:r>
        <w:rPr/>
        <w:t>kajian</w:t>
      </w:r>
      <w:r>
        <w:rPr>
          <w:spacing w:val="-13"/>
        </w:rPr>
        <w:t> </w:t>
      </w:r>
      <w:r>
        <w:rPr/>
        <w:t>mengenai</w:t>
      </w:r>
      <w:r>
        <w:rPr>
          <w:spacing w:val="-10"/>
        </w:rPr>
        <w:t> </w:t>
      </w:r>
      <w:r>
        <w:rPr/>
        <w:t>pasar</w:t>
      </w:r>
      <w:r>
        <w:rPr>
          <w:spacing w:val="-14"/>
        </w:rPr>
        <w:t> </w:t>
      </w:r>
      <w:r>
        <w:rPr/>
        <w:t>modal</w:t>
      </w:r>
      <w:r>
        <w:rPr>
          <w:spacing w:val="-13"/>
        </w:rPr>
        <w:t> </w:t>
      </w:r>
      <w:r>
        <w:rPr/>
        <w:t>syariah, Indeks</w:t>
      </w:r>
      <w:r>
        <w:rPr>
          <w:spacing w:val="-4"/>
        </w:rPr>
        <w:t> </w:t>
      </w:r>
      <w:r>
        <w:rPr/>
        <w:t>Saham</w:t>
      </w:r>
      <w:r>
        <w:rPr>
          <w:spacing w:val="-4"/>
        </w:rPr>
        <w:t> </w:t>
      </w:r>
      <w:r>
        <w:rPr/>
        <w:t>Syariah</w:t>
      </w:r>
      <w:r>
        <w:rPr>
          <w:spacing w:val="-2"/>
        </w:rPr>
        <w:t> </w:t>
      </w:r>
      <w:r>
        <w:rPr/>
        <w:t>Indonesia</w:t>
      </w:r>
      <w:r>
        <w:rPr>
          <w:spacing w:val="-4"/>
        </w:rPr>
        <w:t> </w:t>
      </w:r>
      <w:r>
        <w:rPr/>
        <w:t>(ISSI),</w:t>
      </w:r>
      <w:r>
        <w:rPr>
          <w:spacing w:val="-2"/>
        </w:rPr>
        <w:t> </w:t>
      </w:r>
      <w:r>
        <w:rPr/>
        <w:t>Indeks</w:t>
      </w:r>
      <w:r>
        <w:rPr>
          <w:spacing w:val="-4"/>
        </w:rPr>
        <w:t> </w:t>
      </w:r>
      <w:r>
        <w:rPr/>
        <w:t>Keyakinan</w:t>
      </w:r>
      <w:r>
        <w:rPr>
          <w:spacing w:val="-4"/>
        </w:rPr>
        <w:t> </w:t>
      </w:r>
      <w:r>
        <w:rPr/>
        <w:t>Konsumen (IKK), nilai tukar, inflasi, dan Indeks Produksi Industri (IPI) untuk selanjutnya dapat dibuat kerangka pemikiran teoritis dan hipotesis </w:t>
      </w:r>
      <w:r>
        <w:rPr>
          <w:spacing w:val="-2"/>
        </w:rPr>
        <w:t>penelitian.</w:t>
      </w:r>
    </w:p>
    <w:p>
      <w:pPr>
        <w:pStyle w:val="BodyText"/>
        <w:tabs>
          <w:tab w:pos="2183" w:val="left" w:leader="none"/>
        </w:tabs>
        <w:spacing w:before="1"/>
        <w:ind w:left="863"/>
      </w:pPr>
      <w:r>
        <w:rPr/>
        <w:t>BAB </w:t>
      </w:r>
      <w:r>
        <w:rPr>
          <w:spacing w:val="-5"/>
        </w:rPr>
        <w:t>III</w:t>
      </w:r>
      <w:r>
        <w:rPr/>
        <w:tab/>
        <w:t>:</w:t>
      </w:r>
      <w:r>
        <w:rPr>
          <w:spacing w:val="-3"/>
        </w:rPr>
        <w:t> </w:t>
      </w:r>
      <w:r>
        <w:rPr/>
        <w:t>METODE</w:t>
      </w:r>
      <w:r>
        <w:rPr>
          <w:spacing w:val="-2"/>
        </w:rPr>
        <w:t> PENELITIAN</w:t>
      </w:r>
    </w:p>
    <w:p>
      <w:pPr>
        <w:pStyle w:val="BodyText"/>
        <w:spacing w:line="360" w:lineRule="auto" w:before="136"/>
        <w:ind w:left="2291" w:right="159"/>
        <w:jc w:val="both"/>
      </w:pPr>
      <w:r>
        <w:rPr/>
        <w:t>Penulis menjabarkan banyak hal yang termasuk dalam metode penelitian, yang mana memuat jenis dan sumber data, populasi dan sampel,</w:t>
      </w:r>
      <w:r>
        <w:rPr>
          <w:spacing w:val="-3"/>
        </w:rPr>
        <w:t> </w:t>
      </w:r>
      <w:r>
        <w:rPr/>
        <w:t>metode</w:t>
      </w:r>
      <w:r>
        <w:rPr>
          <w:spacing w:val="-4"/>
        </w:rPr>
        <w:t> </w:t>
      </w:r>
      <w:r>
        <w:rPr/>
        <w:t>pengumpulan</w:t>
      </w:r>
      <w:r>
        <w:rPr>
          <w:spacing w:val="-3"/>
        </w:rPr>
        <w:t> </w:t>
      </w:r>
      <w:r>
        <w:rPr/>
        <w:t>data,</w:t>
      </w:r>
      <w:r>
        <w:rPr>
          <w:spacing w:val="-4"/>
        </w:rPr>
        <w:t> </w:t>
      </w:r>
      <w:r>
        <w:rPr/>
        <w:t>definisi</w:t>
      </w:r>
      <w:r>
        <w:rPr>
          <w:spacing w:val="-3"/>
        </w:rPr>
        <w:t> </w:t>
      </w:r>
      <w:r>
        <w:rPr/>
        <w:t>variabel</w:t>
      </w:r>
      <w:r>
        <w:rPr>
          <w:spacing w:val="-3"/>
        </w:rPr>
        <w:t> </w:t>
      </w:r>
      <w:r>
        <w:rPr/>
        <w:t>operasional,</w:t>
      </w:r>
      <w:r>
        <w:rPr>
          <w:spacing w:val="-3"/>
        </w:rPr>
        <w:t> </w:t>
      </w:r>
      <w:r>
        <w:rPr/>
        <w:t>serta teknik analisis data.</w:t>
      </w:r>
    </w:p>
    <w:p>
      <w:pPr>
        <w:pStyle w:val="BodyText"/>
        <w:tabs>
          <w:tab w:pos="2183" w:val="left" w:leader="none"/>
        </w:tabs>
        <w:spacing w:before="1"/>
        <w:ind w:left="863"/>
      </w:pPr>
      <w:r>
        <w:rPr/>
        <w:t>BAB </w:t>
      </w:r>
      <w:r>
        <w:rPr>
          <w:spacing w:val="-5"/>
        </w:rPr>
        <w:t>IV</w:t>
      </w:r>
      <w:r>
        <w:rPr/>
        <w:tab/>
        <w:t>:</w:t>
      </w:r>
      <w:r>
        <w:rPr>
          <w:spacing w:val="-3"/>
        </w:rPr>
        <w:t> </w:t>
      </w:r>
      <w:r>
        <w:rPr/>
        <w:t>HASIL</w:t>
      </w:r>
      <w:r>
        <w:rPr>
          <w:spacing w:val="-3"/>
        </w:rPr>
        <w:t> </w:t>
      </w:r>
      <w:r>
        <w:rPr/>
        <w:t>ANALISIS</w:t>
      </w:r>
      <w:r>
        <w:rPr>
          <w:spacing w:val="-3"/>
        </w:rPr>
        <w:t> </w:t>
      </w:r>
      <w:r>
        <w:rPr/>
        <w:t>DATA</w:t>
      </w:r>
      <w:r>
        <w:rPr>
          <w:spacing w:val="-4"/>
        </w:rPr>
        <w:t> </w:t>
      </w:r>
      <w:r>
        <w:rPr/>
        <w:t>DAN</w:t>
      </w:r>
      <w:r>
        <w:rPr>
          <w:spacing w:val="-3"/>
        </w:rPr>
        <w:t> </w:t>
      </w:r>
      <w:r>
        <w:rPr>
          <w:spacing w:val="-2"/>
        </w:rPr>
        <w:t>PEMBAHASAN</w:t>
      </w:r>
    </w:p>
    <w:p>
      <w:pPr>
        <w:pStyle w:val="BodyText"/>
        <w:spacing w:line="360" w:lineRule="auto" w:before="139"/>
        <w:ind w:left="2291" w:right="163"/>
        <w:jc w:val="both"/>
      </w:pPr>
      <w:r>
        <w:rPr/>
        <w:t>Topik bahasan dalam bab ini akan dijelaskan mengenai hasil analisis data</w:t>
      </w:r>
      <w:r>
        <w:rPr>
          <w:spacing w:val="43"/>
        </w:rPr>
        <w:t> </w:t>
      </w:r>
      <w:r>
        <w:rPr/>
        <w:t>beserta</w:t>
      </w:r>
      <w:r>
        <w:rPr>
          <w:spacing w:val="45"/>
        </w:rPr>
        <w:t> </w:t>
      </w:r>
      <w:r>
        <w:rPr/>
        <w:t>pembahasan</w:t>
      </w:r>
      <w:r>
        <w:rPr>
          <w:spacing w:val="46"/>
        </w:rPr>
        <w:t> </w:t>
      </w:r>
      <w:r>
        <w:rPr/>
        <w:t>dari</w:t>
      </w:r>
      <w:r>
        <w:rPr>
          <w:spacing w:val="47"/>
        </w:rPr>
        <w:t> </w:t>
      </w:r>
      <w:r>
        <w:rPr/>
        <w:t>Indeks</w:t>
      </w:r>
      <w:r>
        <w:rPr>
          <w:spacing w:val="46"/>
        </w:rPr>
        <w:t> </w:t>
      </w:r>
      <w:r>
        <w:rPr/>
        <w:t>Keyakinan</w:t>
      </w:r>
      <w:r>
        <w:rPr>
          <w:spacing w:val="46"/>
        </w:rPr>
        <w:t> </w:t>
      </w:r>
      <w:r>
        <w:rPr/>
        <w:t>Konsumen</w:t>
      </w:r>
      <w:r>
        <w:rPr>
          <w:spacing w:val="49"/>
        </w:rPr>
        <w:t> </w:t>
      </w:r>
      <w:r>
        <w:rPr>
          <w:spacing w:val="-2"/>
        </w:rPr>
        <w:t>(IKK),</w:t>
      </w:r>
    </w:p>
    <w:p>
      <w:pPr>
        <w:pStyle w:val="BodyText"/>
        <w:spacing w:after="0" w:line="360" w:lineRule="auto"/>
        <w:jc w:val="both"/>
        <w:sectPr>
          <w:pgSz w:w="11910" w:h="16840"/>
          <w:pgMar w:header="0" w:footer="1000" w:top="1360" w:bottom="1200" w:left="1417" w:right="1275"/>
        </w:sectPr>
      </w:pPr>
    </w:p>
    <w:p>
      <w:pPr>
        <w:pStyle w:val="BodyText"/>
        <w:tabs>
          <w:tab w:pos="2919" w:val="left" w:leader="none"/>
          <w:tab w:pos="3672" w:val="left" w:leader="none"/>
          <w:tab w:pos="4535" w:val="left" w:leader="none"/>
          <w:tab w:pos="5085" w:val="left" w:leader="none"/>
          <w:tab w:pos="5923" w:val="left" w:leader="none"/>
          <w:tab w:pos="6981" w:val="left" w:leader="none"/>
          <w:tab w:pos="7930" w:val="left" w:leader="none"/>
          <w:tab w:pos="8583" w:val="left" w:leader="none"/>
        </w:tabs>
        <w:spacing w:line="360" w:lineRule="auto" w:before="60"/>
        <w:ind w:left="2291" w:right="163"/>
      </w:pPr>
      <w:r>
        <w:rPr>
          <w:spacing w:val="-2"/>
        </w:rPr>
        <w:t>nilai</w:t>
      </w:r>
      <w:r>
        <w:rPr/>
        <w:tab/>
      </w:r>
      <w:r>
        <w:rPr>
          <w:spacing w:val="-2"/>
        </w:rPr>
        <w:t>tukar,</w:t>
      </w:r>
      <w:r>
        <w:rPr/>
        <w:tab/>
      </w:r>
      <w:r>
        <w:rPr>
          <w:spacing w:val="-2"/>
        </w:rPr>
        <w:t>inflasi,</w:t>
      </w:r>
      <w:r>
        <w:rPr/>
        <w:tab/>
      </w:r>
      <w:r>
        <w:rPr>
          <w:spacing w:val="-4"/>
        </w:rPr>
        <w:t>dan</w:t>
      </w:r>
      <w:r>
        <w:rPr/>
        <w:tab/>
      </w:r>
      <w:r>
        <w:rPr>
          <w:spacing w:val="-2"/>
        </w:rPr>
        <w:t>Indeks</w:t>
      </w:r>
      <w:r>
        <w:rPr/>
        <w:tab/>
      </w:r>
      <w:r>
        <w:rPr>
          <w:spacing w:val="-2"/>
        </w:rPr>
        <w:t>Produksi</w:t>
      </w:r>
      <w:r>
        <w:rPr/>
        <w:tab/>
      </w:r>
      <w:r>
        <w:rPr>
          <w:spacing w:val="-2"/>
        </w:rPr>
        <w:t>Industri</w:t>
      </w:r>
      <w:r>
        <w:rPr/>
        <w:tab/>
      </w:r>
      <w:r>
        <w:rPr>
          <w:spacing w:val="-2"/>
        </w:rPr>
        <w:t>(IPI)</w:t>
      </w:r>
      <w:r>
        <w:rPr/>
        <w:tab/>
      </w:r>
      <w:r>
        <w:rPr>
          <w:spacing w:val="-4"/>
        </w:rPr>
        <w:t>yang </w:t>
      </w:r>
      <w:r>
        <w:rPr/>
        <w:t>mempengaruhi Indeks Saham Syariah Indonesia.</w:t>
      </w:r>
    </w:p>
    <w:p>
      <w:pPr>
        <w:pStyle w:val="BodyText"/>
        <w:tabs>
          <w:tab w:pos="2183" w:val="left" w:leader="none"/>
        </w:tabs>
        <w:spacing w:before="1"/>
        <w:ind w:left="863"/>
      </w:pPr>
      <w:r>
        <w:rPr/>
        <w:t>BAB </w:t>
      </w:r>
      <w:r>
        <w:rPr>
          <w:spacing w:val="-10"/>
        </w:rPr>
        <w:t>V</w:t>
      </w:r>
      <w:r>
        <w:rPr/>
        <w:tab/>
        <w:t>: </w:t>
      </w:r>
      <w:r>
        <w:rPr>
          <w:spacing w:val="-2"/>
        </w:rPr>
        <w:t>PENUTUP</w:t>
      </w:r>
    </w:p>
    <w:p>
      <w:pPr>
        <w:pStyle w:val="BodyText"/>
        <w:spacing w:line="360" w:lineRule="auto" w:before="137"/>
        <w:ind w:left="2291"/>
      </w:pPr>
      <w:r>
        <w:rPr/>
        <w:t>Bab</w:t>
      </w:r>
      <w:r>
        <w:rPr>
          <w:spacing w:val="-10"/>
        </w:rPr>
        <w:t> </w:t>
      </w:r>
      <w:r>
        <w:rPr/>
        <w:t>ini</w:t>
      </w:r>
      <w:r>
        <w:rPr>
          <w:spacing w:val="-8"/>
        </w:rPr>
        <w:t> </w:t>
      </w:r>
      <w:r>
        <w:rPr/>
        <w:t>merupakan</w:t>
      </w:r>
      <w:r>
        <w:rPr>
          <w:spacing w:val="-10"/>
        </w:rPr>
        <w:t> </w:t>
      </w:r>
      <w:r>
        <w:rPr/>
        <w:t>bagian</w:t>
      </w:r>
      <w:r>
        <w:rPr>
          <w:spacing w:val="-10"/>
        </w:rPr>
        <w:t> </w:t>
      </w:r>
      <w:r>
        <w:rPr/>
        <w:t>akhir</w:t>
      </w:r>
      <w:r>
        <w:rPr>
          <w:spacing w:val="-10"/>
        </w:rPr>
        <w:t> </w:t>
      </w:r>
      <w:r>
        <w:rPr/>
        <w:t>dari</w:t>
      </w:r>
      <w:r>
        <w:rPr>
          <w:spacing w:val="-10"/>
        </w:rPr>
        <w:t> </w:t>
      </w:r>
      <w:r>
        <w:rPr/>
        <w:t>penelitian</w:t>
      </w:r>
      <w:r>
        <w:rPr>
          <w:spacing w:val="-10"/>
        </w:rPr>
        <w:t> </w:t>
      </w:r>
      <w:r>
        <w:rPr/>
        <w:t>yang</w:t>
      </w:r>
      <w:r>
        <w:rPr>
          <w:spacing w:val="-10"/>
        </w:rPr>
        <w:t> </w:t>
      </w:r>
      <w:r>
        <w:rPr/>
        <w:t>dilakukan</w:t>
      </w:r>
      <w:r>
        <w:rPr>
          <w:spacing w:val="-10"/>
        </w:rPr>
        <w:t> </w:t>
      </w:r>
      <w:r>
        <w:rPr/>
        <w:t>penulis berbentuk kesimpulan dan saran.</w:t>
      </w:r>
    </w:p>
    <w:p>
      <w:pPr>
        <w:pStyle w:val="BodyText"/>
        <w:spacing w:after="0" w:line="360" w:lineRule="auto"/>
        <w:sectPr>
          <w:pgSz w:w="11910" w:h="16840"/>
          <w:pgMar w:header="0" w:footer="1000" w:top="1360" w:bottom="1200" w:left="1417" w:right="1275"/>
        </w:sectPr>
      </w:pPr>
    </w:p>
    <w:p>
      <w:pPr>
        <w:pStyle w:val="Heading1"/>
        <w:spacing w:line="499" w:lineRule="auto"/>
        <w:ind w:left="3312" w:right="3217" w:firstLine="854"/>
        <w:jc w:val="left"/>
      </w:pPr>
      <w:bookmarkStart w:name="_bookmark45" w:id="46"/>
      <w:bookmarkEnd w:id="46"/>
      <w:r>
        <w:rPr>
          <w:b w:val="0"/>
        </w:rPr>
      </w:r>
      <w:r>
        <w:rPr/>
        <w:t>BAB II </w:t>
      </w:r>
      <w:bookmarkStart w:name="_bookmark46" w:id="47"/>
      <w:bookmarkEnd w:id="47"/>
      <w:r>
        <w:rPr/>
        <w:t>T</w:t>
      </w:r>
      <w:r>
        <w:rPr/>
        <w:t>INJAUAN</w:t>
      </w:r>
      <w:r>
        <w:rPr>
          <w:spacing w:val="-15"/>
        </w:rPr>
        <w:t> </w:t>
      </w:r>
      <w:r>
        <w:rPr/>
        <w:t>PUSTAKA</w:t>
      </w:r>
    </w:p>
    <w:p>
      <w:pPr>
        <w:pStyle w:val="Heading2"/>
        <w:numPr>
          <w:ilvl w:val="1"/>
          <w:numId w:val="12"/>
        </w:numPr>
        <w:tabs>
          <w:tab w:pos="874" w:val="left" w:leader="none"/>
        </w:tabs>
        <w:spacing w:line="240" w:lineRule="auto" w:before="0" w:after="0"/>
        <w:ind w:left="874" w:right="0" w:hanging="359"/>
        <w:jc w:val="left"/>
      </w:pPr>
      <w:bookmarkStart w:name="_bookmark47" w:id="48"/>
      <w:bookmarkEnd w:id="48"/>
      <w:r>
        <w:rPr>
          <w:b w:val="0"/>
        </w:rPr>
      </w:r>
      <w:r>
        <w:rPr/>
        <w:t>Landasan</w:t>
      </w:r>
      <w:r>
        <w:rPr>
          <w:spacing w:val="-4"/>
        </w:rPr>
        <w:t> </w:t>
      </w:r>
      <w:r>
        <w:rPr>
          <w:spacing w:val="-2"/>
        </w:rPr>
        <w:t>Teori</w:t>
      </w:r>
    </w:p>
    <w:p>
      <w:pPr>
        <w:pStyle w:val="BodyText"/>
        <w:spacing w:before="21"/>
        <w:rPr>
          <w:b/>
        </w:rPr>
      </w:pPr>
    </w:p>
    <w:p>
      <w:pPr>
        <w:pStyle w:val="ListParagraph"/>
        <w:numPr>
          <w:ilvl w:val="2"/>
          <w:numId w:val="12"/>
        </w:numPr>
        <w:tabs>
          <w:tab w:pos="1643" w:val="left" w:leader="none"/>
        </w:tabs>
        <w:spacing w:line="240" w:lineRule="auto" w:before="1" w:after="0"/>
        <w:ind w:left="1643" w:right="0" w:hanging="540"/>
        <w:jc w:val="left"/>
        <w:rPr>
          <w:b/>
          <w:sz w:val="24"/>
        </w:rPr>
      </w:pPr>
      <w:bookmarkStart w:name="_bookmark48" w:id="49"/>
      <w:bookmarkEnd w:id="49"/>
      <w:r>
        <w:rPr/>
      </w:r>
      <w:r>
        <w:rPr>
          <w:b/>
          <w:i/>
          <w:sz w:val="24"/>
        </w:rPr>
        <w:t>Signaling</w:t>
      </w:r>
      <w:r>
        <w:rPr>
          <w:b/>
          <w:i/>
          <w:spacing w:val="-3"/>
          <w:sz w:val="24"/>
        </w:rPr>
        <w:t> </w:t>
      </w:r>
      <w:r>
        <w:rPr>
          <w:b/>
          <w:i/>
          <w:sz w:val="24"/>
        </w:rPr>
        <w:t>Theory</w:t>
      </w:r>
      <w:r>
        <w:rPr>
          <w:b/>
          <w:i/>
          <w:spacing w:val="-2"/>
          <w:sz w:val="24"/>
        </w:rPr>
        <w:t> </w:t>
      </w:r>
      <w:r>
        <w:rPr>
          <w:b/>
          <w:sz w:val="24"/>
        </w:rPr>
        <w:t>(Teori</w:t>
      </w:r>
      <w:r>
        <w:rPr>
          <w:b/>
          <w:spacing w:val="-2"/>
          <w:sz w:val="24"/>
        </w:rPr>
        <w:t> Sinyal)</w:t>
      </w:r>
    </w:p>
    <w:p>
      <w:pPr>
        <w:pStyle w:val="BodyText"/>
        <w:spacing w:before="23"/>
        <w:rPr>
          <w:b/>
        </w:rPr>
      </w:pPr>
    </w:p>
    <w:p>
      <w:pPr>
        <w:pStyle w:val="BodyText"/>
        <w:spacing w:line="360" w:lineRule="auto" w:before="1"/>
        <w:ind w:left="1823" w:right="158" w:firstLine="360"/>
        <w:jc w:val="both"/>
      </w:pPr>
      <w:r>
        <w:rPr/>
        <w:t>Pencetus </w:t>
      </w:r>
      <w:r>
        <w:rPr>
          <w:i/>
        </w:rPr>
        <w:t>Signaling Theory </w:t>
      </w:r>
      <w:r>
        <w:rPr/>
        <w:t>awal mulanya ialah Michael Spence pada tahun 1973. Menurut Spence, dengan mengirimkan sinyal, pemilik informasi menyalurkan laporan kepada orang yang menerima informasi tersebut.</w:t>
      </w:r>
      <w:r>
        <w:rPr>
          <w:spacing w:val="-9"/>
        </w:rPr>
        <w:t> </w:t>
      </w:r>
      <w:r>
        <w:rPr/>
        <w:t>Setelah</w:t>
      </w:r>
      <w:r>
        <w:rPr>
          <w:spacing w:val="-9"/>
        </w:rPr>
        <w:t> </w:t>
      </w:r>
      <w:r>
        <w:rPr/>
        <w:t>itu,</w:t>
      </w:r>
      <w:r>
        <w:rPr>
          <w:spacing w:val="-9"/>
        </w:rPr>
        <w:t> </w:t>
      </w:r>
      <w:r>
        <w:rPr/>
        <w:t>penerima</w:t>
      </w:r>
      <w:r>
        <w:rPr>
          <w:spacing w:val="-10"/>
        </w:rPr>
        <w:t> </w:t>
      </w:r>
      <w:r>
        <w:rPr/>
        <w:t>akan</w:t>
      </w:r>
      <w:r>
        <w:rPr>
          <w:spacing w:val="-9"/>
        </w:rPr>
        <w:t> </w:t>
      </w:r>
      <w:r>
        <w:rPr/>
        <w:t>memodifikasi</w:t>
      </w:r>
      <w:r>
        <w:rPr>
          <w:spacing w:val="-6"/>
        </w:rPr>
        <w:t> </w:t>
      </w:r>
      <w:r>
        <w:rPr/>
        <w:t>tindakannya</w:t>
      </w:r>
      <w:r>
        <w:rPr>
          <w:spacing w:val="-10"/>
        </w:rPr>
        <w:t> </w:t>
      </w:r>
      <w:r>
        <w:rPr/>
        <w:t>berdasarkan atas apa yang telah ditafsirkan pada sinyal tersebut.</w:t>
      </w:r>
      <w:hyperlink w:history="true" w:anchor="_bookmark49">
        <w:r>
          <w:rPr>
            <w:vertAlign w:val="superscript"/>
          </w:rPr>
          <w:t>28</w:t>
        </w:r>
      </w:hyperlink>
      <w:r>
        <w:rPr>
          <w:vertAlign w:val="baseline"/>
        </w:rPr>
        <w:t> Kemampuan manajemen untuk meramalkan peristiwa bisnis di masa depan yang mana akan memengaruhi keputusan investor, dijelaskan oleh teori sinyal. Sinyal biasanya digambarkan sebagai kode yang diberikan bisnis kepada calon investor.</w:t>
      </w:r>
      <w:hyperlink w:history="true" w:anchor="_bookmark50">
        <w:r>
          <w:rPr>
            <w:vertAlign w:val="superscript"/>
          </w:rPr>
          <w:t>29</w:t>
        </w:r>
      </w:hyperlink>
      <w:r>
        <w:rPr>
          <w:spacing w:val="-13"/>
          <w:vertAlign w:val="baseline"/>
        </w:rPr>
        <w:t> </w:t>
      </w:r>
      <w:r>
        <w:rPr>
          <w:vertAlign w:val="baseline"/>
        </w:rPr>
        <w:t>Teori</w:t>
      </w:r>
      <w:r>
        <w:rPr>
          <w:spacing w:val="-14"/>
          <w:vertAlign w:val="baseline"/>
        </w:rPr>
        <w:t> </w:t>
      </w:r>
      <w:r>
        <w:rPr>
          <w:vertAlign w:val="baseline"/>
        </w:rPr>
        <w:t>sinyal</w:t>
      </w:r>
      <w:r>
        <w:rPr>
          <w:spacing w:val="-11"/>
          <w:vertAlign w:val="baseline"/>
        </w:rPr>
        <w:t> </w:t>
      </w:r>
      <w:r>
        <w:rPr>
          <w:vertAlign w:val="baseline"/>
        </w:rPr>
        <w:t>dapat</w:t>
      </w:r>
      <w:r>
        <w:rPr>
          <w:spacing w:val="-14"/>
          <w:vertAlign w:val="baseline"/>
        </w:rPr>
        <w:t> </w:t>
      </w:r>
      <w:r>
        <w:rPr>
          <w:vertAlign w:val="baseline"/>
        </w:rPr>
        <w:t>menjelaskan</w:t>
      </w:r>
      <w:r>
        <w:rPr>
          <w:spacing w:val="-12"/>
          <w:vertAlign w:val="baseline"/>
        </w:rPr>
        <w:t> </w:t>
      </w:r>
      <w:r>
        <w:rPr>
          <w:vertAlign w:val="baseline"/>
        </w:rPr>
        <w:t>bagaimana</w:t>
      </w:r>
      <w:r>
        <w:rPr>
          <w:spacing w:val="-15"/>
          <w:vertAlign w:val="baseline"/>
        </w:rPr>
        <w:t> </w:t>
      </w:r>
      <w:r>
        <w:rPr>
          <w:vertAlign w:val="baseline"/>
        </w:rPr>
        <w:t>badan</w:t>
      </w:r>
      <w:r>
        <w:rPr>
          <w:spacing w:val="-12"/>
          <w:vertAlign w:val="baseline"/>
        </w:rPr>
        <w:t> </w:t>
      </w:r>
      <w:r>
        <w:rPr>
          <w:vertAlign w:val="baseline"/>
        </w:rPr>
        <w:t>usaha</w:t>
      </w:r>
      <w:r>
        <w:rPr>
          <w:spacing w:val="-13"/>
          <w:vertAlign w:val="baseline"/>
        </w:rPr>
        <w:t> </w:t>
      </w:r>
      <w:r>
        <w:rPr>
          <w:vertAlign w:val="baseline"/>
        </w:rPr>
        <w:t>memberi tahu</w:t>
      </w:r>
      <w:r>
        <w:rPr>
          <w:spacing w:val="-4"/>
          <w:vertAlign w:val="baseline"/>
        </w:rPr>
        <w:t> </w:t>
      </w:r>
      <w:r>
        <w:rPr>
          <w:vertAlign w:val="baseline"/>
        </w:rPr>
        <w:t>pasar</w:t>
      </w:r>
      <w:r>
        <w:rPr>
          <w:spacing w:val="-4"/>
          <w:vertAlign w:val="baseline"/>
        </w:rPr>
        <w:t> </w:t>
      </w:r>
      <w:r>
        <w:rPr>
          <w:vertAlign w:val="baseline"/>
        </w:rPr>
        <w:t>dan</w:t>
      </w:r>
      <w:r>
        <w:rPr>
          <w:spacing w:val="-4"/>
          <w:vertAlign w:val="baseline"/>
        </w:rPr>
        <w:t> </w:t>
      </w:r>
      <w:r>
        <w:rPr>
          <w:vertAlign w:val="baseline"/>
        </w:rPr>
        <w:t>sistematika</w:t>
      </w:r>
      <w:r>
        <w:rPr>
          <w:spacing w:val="-5"/>
          <w:vertAlign w:val="baseline"/>
        </w:rPr>
        <w:t> </w:t>
      </w:r>
      <w:r>
        <w:rPr>
          <w:vertAlign w:val="baseline"/>
        </w:rPr>
        <w:t>harga</w:t>
      </w:r>
      <w:r>
        <w:rPr>
          <w:spacing w:val="-6"/>
          <w:vertAlign w:val="baseline"/>
        </w:rPr>
        <w:t> </w:t>
      </w:r>
      <w:r>
        <w:rPr>
          <w:vertAlign w:val="baseline"/>
        </w:rPr>
        <w:t>saham</w:t>
      </w:r>
      <w:r>
        <w:rPr>
          <w:spacing w:val="-4"/>
          <w:vertAlign w:val="baseline"/>
        </w:rPr>
        <w:t> </w:t>
      </w:r>
      <w:r>
        <w:rPr>
          <w:vertAlign w:val="baseline"/>
        </w:rPr>
        <w:t>dipengaruhi</w:t>
      </w:r>
      <w:r>
        <w:rPr>
          <w:spacing w:val="-4"/>
          <w:vertAlign w:val="baseline"/>
        </w:rPr>
        <w:t> </w:t>
      </w:r>
      <w:r>
        <w:rPr>
          <w:vertAlign w:val="baseline"/>
        </w:rPr>
        <w:t>oleh</w:t>
      </w:r>
      <w:r>
        <w:rPr>
          <w:spacing w:val="-4"/>
          <w:vertAlign w:val="baseline"/>
        </w:rPr>
        <w:t> </w:t>
      </w:r>
      <w:r>
        <w:rPr>
          <w:vertAlign w:val="baseline"/>
        </w:rPr>
        <w:t>teori</w:t>
      </w:r>
      <w:r>
        <w:rPr>
          <w:spacing w:val="-4"/>
          <w:vertAlign w:val="baseline"/>
        </w:rPr>
        <w:t> </w:t>
      </w:r>
      <w:r>
        <w:rPr>
          <w:vertAlign w:val="baseline"/>
        </w:rPr>
        <w:t>ini.</w:t>
      </w:r>
      <w:r>
        <w:rPr>
          <w:spacing w:val="-1"/>
          <w:vertAlign w:val="baseline"/>
        </w:rPr>
        <w:t> </w:t>
      </w:r>
      <w:r>
        <w:rPr>
          <w:vertAlign w:val="baseline"/>
        </w:rPr>
        <w:t>Menurut teori sinyal, investor dapat bereaksi secara berbeda terhadap informasi perusahaan, yang dapat berdampak positif atau negatif pada perubahan harga saham.</w:t>
      </w:r>
      <w:hyperlink w:history="true" w:anchor="_bookmark51">
        <w:r>
          <w:rPr>
            <w:vertAlign w:val="superscript"/>
          </w:rPr>
          <w:t>30</w:t>
        </w:r>
      </w:hyperlink>
      <w:r>
        <w:rPr>
          <w:vertAlign w:val="baseline"/>
        </w:rPr>
        <w:t> Pemilik modal akan lebih cenderung memegang saham mereka</w:t>
      </w:r>
      <w:r>
        <w:rPr>
          <w:spacing w:val="-15"/>
          <w:vertAlign w:val="baseline"/>
        </w:rPr>
        <w:t> </w:t>
      </w:r>
      <w:r>
        <w:rPr>
          <w:vertAlign w:val="baseline"/>
        </w:rPr>
        <w:t>untuk</w:t>
      </w:r>
      <w:r>
        <w:rPr>
          <w:spacing w:val="-15"/>
          <w:vertAlign w:val="baseline"/>
        </w:rPr>
        <w:t> </w:t>
      </w:r>
      <w:r>
        <w:rPr>
          <w:vertAlign w:val="baseline"/>
        </w:rPr>
        <w:t>waktu</w:t>
      </w:r>
      <w:r>
        <w:rPr>
          <w:spacing w:val="-15"/>
          <w:vertAlign w:val="baseline"/>
        </w:rPr>
        <w:t> </w:t>
      </w:r>
      <w:r>
        <w:rPr>
          <w:vertAlign w:val="baseline"/>
        </w:rPr>
        <w:t>yang</w:t>
      </w:r>
      <w:r>
        <w:rPr>
          <w:spacing w:val="-15"/>
          <w:vertAlign w:val="baseline"/>
        </w:rPr>
        <w:t> </w:t>
      </w:r>
      <w:r>
        <w:rPr>
          <w:vertAlign w:val="baseline"/>
        </w:rPr>
        <w:t>lebih</w:t>
      </w:r>
      <w:r>
        <w:rPr>
          <w:spacing w:val="-15"/>
          <w:vertAlign w:val="baseline"/>
        </w:rPr>
        <w:t> </w:t>
      </w:r>
      <w:r>
        <w:rPr>
          <w:vertAlign w:val="baseline"/>
        </w:rPr>
        <w:t>lama</w:t>
      </w:r>
      <w:r>
        <w:rPr>
          <w:spacing w:val="-15"/>
          <w:vertAlign w:val="baseline"/>
        </w:rPr>
        <w:t> </w:t>
      </w:r>
      <w:r>
        <w:rPr>
          <w:vertAlign w:val="baseline"/>
        </w:rPr>
        <w:t>jika</w:t>
      </w:r>
      <w:r>
        <w:rPr>
          <w:spacing w:val="-15"/>
          <w:vertAlign w:val="baseline"/>
        </w:rPr>
        <w:t> </w:t>
      </w:r>
      <w:r>
        <w:rPr>
          <w:vertAlign w:val="baseline"/>
        </w:rPr>
        <w:t>perusahaan</w:t>
      </w:r>
      <w:r>
        <w:rPr>
          <w:spacing w:val="-15"/>
          <w:vertAlign w:val="baseline"/>
        </w:rPr>
        <w:t> </w:t>
      </w:r>
      <w:r>
        <w:rPr>
          <w:vertAlign w:val="baseline"/>
        </w:rPr>
        <w:t>memberikan</w:t>
      </w:r>
      <w:r>
        <w:rPr>
          <w:spacing w:val="-15"/>
          <w:vertAlign w:val="baseline"/>
        </w:rPr>
        <w:t> </w:t>
      </w:r>
      <w:r>
        <w:rPr>
          <w:vertAlign w:val="baseline"/>
        </w:rPr>
        <w:t>informasi dengan tanda-tanda yang menggembirakan. Sebaliknya, jika materi perusahaan berisi tanda-tanda</w:t>
      </w:r>
      <w:r>
        <w:rPr>
          <w:spacing w:val="-1"/>
          <w:vertAlign w:val="baseline"/>
        </w:rPr>
        <w:t> </w:t>
      </w:r>
      <w:r>
        <w:rPr>
          <w:vertAlign w:val="baseline"/>
        </w:rPr>
        <w:t>peringatan, waktu investor untuk memegang sahamnya akan lebih singkat.</w:t>
      </w:r>
      <w:hyperlink w:history="true" w:anchor="_bookmark52">
        <w:r>
          <w:rPr>
            <w:vertAlign w:val="superscript"/>
          </w:rPr>
          <w:t>31</w:t>
        </w:r>
      </w:hyperlink>
    </w:p>
    <w:p>
      <w:pPr>
        <w:pStyle w:val="BodyText"/>
        <w:spacing w:line="360" w:lineRule="auto"/>
        <w:ind w:left="1823" w:right="162" w:firstLine="360"/>
        <w:jc w:val="both"/>
      </w:pPr>
      <w:r>
        <w:rPr/>
        <w:t>Teori</w:t>
      </w:r>
      <w:r>
        <w:rPr>
          <w:spacing w:val="-4"/>
        </w:rPr>
        <w:t> </w:t>
      </w:r>
      <w:r>
        <w:rPr/>
        <w:t>ini</w:t>
      </w:r>
      <w:r>
        <w:rPr>
          <w:spacing w:val="-4"/>
        </w:rPr>
        <w:t> </w:t>
      </w:r>
      <w:r>
        <w:rPr/>
        <w:t>awalnya</w:t>
      </w:r>
      <w:r>
        <w:rPr>
          <w:spacing w:val="-5"/>
        </w:rPr>
        <w:t> </w:t>
      </w:r>
      <w:r>
        <w:rPr/>
        <w:t>disajikan</w:t>
      </w:r>
      <w:r>
        <w:rPr>
          <w:spacing w:val="-4"/>
        </w:rPr>
        <w:t> </w:t>
      </w:r>
      <w:r>
        <w:rPr/>
        <w:t>dalam</w:t>
      </w:r>
      <w:r>
        <w:rPr>
          <w:spacing w:val="-4"/>
        </w:rPr>
        <w:t> </w:t>
      </w:r>
      <w:r>
        <w:rPr/>
        <w:t>kaitannya</w:t>
      </w:r>
      <w:r>
        <w:rPr>
          <w:spacing w:val="-5"/>
        </w:rPr>
        <w:t> </w:t>
      </w:r>
      <w:r>
        <w:rPr/>
        <w:t>dengan</w:t>
      </w:r>
      <w:r>
        <w:rPr>
          <w:spacing w:val="-4"/>
        </w:rPr>
        <w:t> </w:t>
      </w:r>
      <w:r>
        <w:rPr/>
        <w:t>pasar</w:t>
      </w:r>
      <w:r>
        <w:rPr>
          <w:spacing w:val="-3"/>
        </w:rPr>
        <w:t> </w:t>
      </w:r>
      <w:r>
        <w:rPr/>
        <w:t>tenaga</w:t>
      </w:r>
      <w:r>
        <w:rPr>
          <w:spacing w:val="-5"/>
        </w:rPr>
        <w:t> </w:t>
      </w:r>
      <w:r>
        <w:rPr/>
        <w:t>kerja, tetapi sejak saat itu telah digunakan secara luas di sejumlah industri, termasuk</w:t>
      </w:r>
      <w:r>
        <w:rPr>
          <w:spacing w:val="29"/>
        </w:rPr>
        <w:t> </w:t>
      </w:r>
      <w:r>
        <w:rPr/>
        <w:t>pemasaran,</w:t>
      </w:r>
      <w:r>
        <w:rPr>
          <w:spacing w:val="32"/>
        </w:rPr>
        <w:t> </w:t>
      </w:r>
      <w:r>
        <w:rPr/>
        <w:t>perbankan,</w:t>
      </w:r>
      <w:r>
        <w:rPr>
          <w:spacing w:val="33"/>
        </w:rPr>
        <w:t> </w:t>
      </w:r>
      <w:r>
        <w:rPr/>
        <w:t>dan</w:t>
      </w:r>
      <w:r>
        <w:rPr>
          <w:spacing w:val="37"/>
        </w:rPr>
        <w:t> </w:t>
      </w:r>
      <w:r>
        <w:rPr/>
        <w:t>administrasi.</w:t>
      </w:r>
      <w:r>
        <w:rPr>
          <w:spacing w:val="32"/>
        </w:rPr>
        <w:t> </w:t>
      </w:r>
      <w:r>
        <w:rPr/>
        <w:t>Dengan</w:t>
      </w:r>
      <w:r>
        <w:rPr>
          <w:spacing w:val="34"/>
        </w:rPr>
        <w:t> </w:t>
      </w:r>
      <w:r>
        <w:rPr>
          <w:spacing w:val="-2"/>
        </w:rPr>
        <w:t>menunjukkan</w:t>
      </w:r>
    </w:p>
    <w:p>
      <w:pPr>
        <w:pStyle w:val="BodyText"/>
        <w:rPr>
          <w:sz w:val="20"/>
        </w:rPr>
      </w:pPr>
    </w:p>
    <w:p>
      <w:pPr>
        <w:pStyle w:val="BodyText"/>
        <w:spacing w:before="25"/>
        <w:rPr>
          <w:sz w:val="20"/>
        </w:rPr>
      </w:pPr>
      <w:r>
        <w:rPr>
          <w:sz w:val="20"/>
        </w:rPr>
        <mc:AlternateContent>
          <mc:Choice Requires="wps">
            <w:drawing>
              <wp:anchor distT="0" distB="0" distL="0" distR="0" allowOverlap="1" layoutInCell="1" locked="0" behindDoc="1" simplePos="0" relativeHeight="487597568">
                <wp:simplePos x="0" y="0"/>
                <wp:positionH relativeFrom="page">
                  <wp:posOffset>914704</wp:posOffset>
                </wp:positionH>
                <wp:positionV relativeFrom="paragraph">
                  <wp:posOffset>177516</wp:posOffset>
                </wp:positionV>
                <wp:extent cx="1829435" cy="9525"/>
                <wp:effectExtent l="0" t="0" r="0" b="0"/>
                <wp:wrapTopAndBottom/>
                <wp:docPr id="256" name="Graphic 256"/>
                <wp:cNvGraphicFramePr>
                  <a:graphicFrameLocks/>
                </wp:cNvGraphicFramePr>
                <a:graphic>
                  <a:graphicData uri="http://schemas.microsoft.com/office/word/2010/wordprocessingShape">
                    <wps:wsp>
                      <wps:cNvPr id="256" name="Graphic 256"/>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3.977665pt;width:144.020pt;height:.72003pt;mso-position-horizontal-relative:page;mso-position-vertical-relative:paragraph;z-index:-15718912;mso-wrap-distance-left:0;mso-wrap-distance-right:0" id="docshape228" filled="true" fillcolor="#000000" stroked="false">
                <v:fill type="solid"/>
                <w10:wrap type="topAndBottom"/>
              </v:rect>
            </w:pict>
          </mc:Fallback>
        </mc:AlternateContent>
      </w:r>
    </w:p>
    <w:p>
      <w:pPr>
        <w:spacing w:before="101"/>
        <w:ind w:left="23" w:right="160" w:firstLine="719"/>
        <w:jc w:val="both"/>
        <w:rPr>
          <w:sz w:val="20"/>
        </w:rPr>
      </w:pPr>
      <w:bookmarkStart w:name="_bookmark49" w:id="50"/>
      <w:bookmarkEnd w:id="50"/>
      <w:r>
        <w:rPr/>
      </w:r>
      <w:r>
        <w:rPr>
          <w:sz w:val="20"/>
          <w:vertAlign w:val="superscript"/>
        </w:rPr>
        <w:t>28</w:t>
      </w:r>
      <w:r>
        <w:rPr>
          <w:sz w:val="20"/>
          <w:vertAlign w:val="baseline"/>
        </w:rPr>
        <w:t> Annisa Lutvy Amanda, Desi</w:t>
      </w:r>
      <w:r>
        <w:rPr>
          <w:spacing w:val="-1"/>
          <w:sz w:val="20"/>
          <w:vertAlign w:val="baseline"/>
        </w:rPr>
        <w:t> </w:t>
      </w:r>
      <w:r>
        <w:rPr>
          <w:sz w:val="20"/>
          <w:vertAlign w:val="baseline"/>
        </w:rPr>
        <w:t>Efrianti, and Bintang Sahala Marpaung, ‘Analisis Pengaruh Kandungan Informasi Komponen Laba Dan Rugi Terhadap Koefisien Respon Laba (Erc) Studi Empiris Pada Perusahaan Manufaktur Sektor Industri Dasar Dan Kimia Yang Terdaftar Di Bursa Efek Indonesia (BEI)’, </w:t>
      </w:r>
      <w:r>
        <w:rPr>
          <w:i/>
          <w:sz w:val="20"/>
          <w:vertAlign w:val="baseline"/>
        </w:rPr>
        <w:t>Jurnal Ilmiah Manajemen Kesatuan</w:t>
      </w:r>
      <w:r>
        <w:rPr>
          <w:sz w:val="20"/>
          <w:vertAlign w:val="baseline"/>
        </w:rPr>
        <w:t>, 7.1 (2019), 188–200 &lt;https://doi.org/10.37641/jimkes.v7i1.212&gt;.</w:t>
      </w:r>
    </w:p>
    <w:p>
      <w:pPr>
        <w:spacing w:before="0"/>
        <w:ind w:left="23" w:right="161" w:firstLine="719"/>
        <w:jc w:val="both"/>
        <w:rPr>
          <w:sz w:val="20"/>
        </w:rPr>
      </w:pPr>
      <w:bookmarkStart w:name="_bookmark50" w:id="51"/>
      <w:bookmarkEnd w:id="51"/>
      <w:r>
        <w:rPr/>
      </w:r>
      <w:r>
        <w:rPr>
          <w:sz w:val="20"/>
          <w:vertAlign w:val="superscript"/>
        </w:rPr>
        <w:t>29</w:t>
      </w:r>
      <w:r>
        <w:rPr>
          <w:sz w:val="20"/>
          <w:vertAlign w:val="baseline"/>
        </w:rPr>
        <w:t> Brian L. Connelly and others, ‘Signaling Theory: State of the Theory and Its Future’, </w:t>
      </w:r>
      <w:r>
        <w:rPr>
          <w:i/>
          <w:sz w:val="20"/>
          <w:vertAlign w:val="baseline"/>
        </w:rPr>
        <w:t>Journal of Management</w:t>
      </w:r>
      <w:r>
        <w:rPr>
          <w:sz w:val="20"/>
          <w:vertAlign w:val="baseline"/>
        </w:rPr>
        <w:t>, 51.1 (2025), 24–61 &lt;https://doi.org/10.1177/01492063241268459&gt;.</w:t>
      </w:r>
    </w:p>
    <w:p>
      <w:pPr>
        <w:tabs>
          <w:tab w:pos="2017" w:val="left" w:leader="none"/>
          <w:tab w:pos="3637" w:val="left" w:leader="none"/>
          <w:tab w:pos="5320" w:val="left" w:leader="none"/>
          <w:tab w:pos="6668" w:val="left" w:leader="none"/>
          <w:tab w:pos="9054" w:val="right" w:leader="none"/>
        </w:tabs>
        <w:spacing w:before="0"/>
        <w:ind w:left="23" w:right="157" w:firstLine="719"/>
        <w:jc w:val="both"/>
        <w:rPr>
          <w:sz w:val="20"/>
        </w:rPr>
      </w:pPr>
      <w:bookmarkStart w:name="_bookmark51" w:id="52"/>
      <w:bookmarkEnd w:id="52"/>
      <w:r>
        <w:rPr/>
      </w:r>
      <w:r>
        <w:rPr>
          <w:sz w:val="20"/>
          <w:vertAlign w:val="superscript"/>
        </w:rPr>
        <w:t>30</w:t>
      </w:r>
      <w:r>
        <w:rPr>
          <w:spacing w:val="-13"/>
          <w:sz w:val="20"/>
          <w:vertAlign w:val="baseline"/>
        </w:rPr>
        <w:t> </w:t>
      </w:r>
      <w:r>
        <w:rPr>
          <w:sz w:val="20"/>
          <w:vertAlign w:val="baseline"/>
        </w:rPr>
        <w:t>Preisia</w:t>
      </w:r>
      <w:r>
        <w:rPr>
          <w:spacing w:val="-12"/>
          <w:sz w:val="20"/>
          <w:vertAlign w:val="baseline"/>
        </w:rPr>
        <w:t> </w:t>
      </w:r>
      <w:r>
        <w:rPr>
          <w:sz w:val="20"/>
          <w:vertAlign w:val="baseline"/>
        </w:rPr>
        <w:t>Sigar</w:t>
      </w:r>
      <w:r>
        <w:rPr>
          <w:spacing w:val="-13"/>
          <w:sz w:val="20"/>
          <w:vertAlign w:val="baseline"/>
        </w:rPr>
        <w:t> </w:t>
      </w:r>
      <w:r>
        <w:rPr>
          <w:sz w:val="20"/>
          <w:vertAlign w:val="baseline"/>
        </w:rPr>
        <w:t>and</w:t>
      </w:r>
      <w:r>
        <w:rPr>
          <w:spacing w:val="-12"/>
          <w:sz w:val="20"/>
          <w:vertAlign w:val="baseline"/>
        </w:rPr>
        <w:t> </w:t>
      </w:r>
      <w:r>
        <w:rPr>
          <w:sz w:val="20"/>
          <w:vertAlign w:val="baseline"/>
        </w:rPr>
        <w:t>Lintje</w:t>
      </w:r>
      <w:r>
        <w:rPr>
          <w:spacing w:val="-13"/>
          <w:sz w:val="20"/>
          <w:vertAlign w:val="baseline"/>
        </w:rPr>
        <w:t> </w:t>
      </w:r>
      <w:r>
        <w:rPr>
          <w:sz w:val="20"/>
          <w:vertAlign w:val="baseline"/>
        </w:rPr>
        <w:t>Kalangi,</w:t>
      </w:r>
      <w:r>
        <w:rPr>
          <w:spacing w:val="-12"/>
          <w:sz w:val="20"/>
          <w:vertAlign w:val="baseline"/>
        </w:rPr>
        <w:t> </w:t>
      </w:r>
      <w:r>
        <w:rPr>
          <w:sz w:val="20"/>
          <w:vertAlign w:val="baseline"/>
        </w:rPr>
        <w:t>‘Pengaruh</w:t>
      </w:r>
      <w:r>
        <w:rPr>
          <w:spacing w:val="-12"/>
          <w:sz w:val="20"/>
          <w:vertAlign w:val="baseline"/>
        </w:rPr>
        <w:t> </w:t>
      </w:r>
      <w:r>
        <w:rPr>
          <w:sz w:val="20"/>
          <w:vertAlign w:val="baseline"/>
        </w:rPr>
        <w:t>Ukuran</w:t>
      </w:r>
      <w:r>
        <w:rPr>
          <w:spacing w:val="-11"/>
          <w:sz w:val="20"/>
          <w:vertAlign w:val="baseline"/>
        </w:rPr>
        <w:t> </w:t>
      </w:r>
      <w:r>
        <w:rPr>
          <w:sz w:val="20"/>
          <w:vertAlign w:val="baseline"/>
        </w:rPr>
        <w:t>Perusahaan</w:t>
      </w:r>
      <w:r>
        <w:rPr>
          <w:spacing w:val="-12"/>
          <w:sz w:val="20"/>
          <w:vertAlign w:val="baseline"/>
        </w:rPr>
        <w:t> </w:t>
      </w:r>
      <w:r>
        <w:rPr>
          <w:sz w:val="20"/>
          <w:vertAlign w:val="baseline"/>
        </w:rPr>
        <w:t>Dan</w:t>
      </w:r>
      <w:r>
        <w:rPr>
          <w:spacing w:val="-11"/>
          <w:sz w:val="20"/>
          <w:vertAlign w:val="baseline"/>
        </w:rPr>
        <w:t> </w:t>
      </w:r>
      <w:r>
        <w:rPr>
          <w:sz w:val="20"/>
          <w:vertAlign w:val="baseline"/>
        </w:rPr>
        <w:t>Pertumbuhan</w:t>
      </w:r>
      <w:r>
        <w:rPr>
          <w:spacing w:val="-13"/>
          <w:sz w:val="20"/>
          <w:vertAlign w:val="baseline"/>
        </w:rPr>
        <w:t> </w:t>
      </w:r>
      <w:r>
        <w:rPr>
          <w:sz w:val="20"/>
          <w:vertAlign w:val="baseline"/>
        </w:rPr>
        <w:t>Penjualan</w:t>
      </w:r>
      <w:r>
        <w:rPr>
          <w:spacing w:val="-11"/>
          <w:sz w:val="20"/>
          <w:vertAlign w:val="baseline"/>
        </w:rPr>
        <w:t> </w:t>
      </w:r>
      <w:r>
        <w:rPr>
          <w:sz w:val="20"/>
          <w:vertAlign w:val="baseline"/>
        </w:rPr>
        <w:t>Terhadap Harga Saham Pada Perusahaan Manufaktur Sektor Industry Barang Konsumsi Yang Terdaftar Di Bursa Efek </w:t>
      </w:r>
      <w:r>
        <w:rPr>
          <w:spacing w:val="-2"/>
          <w:sz w:val="20"/>
          <w:vertAlign w:val="baseline"/>
        </w:rPr>
        <w:t>Indonesia’,</w:t>
      </w:r>
      <w:r>
        <w:rPr>
          <w:sz w:val="20"/>
          <w:vertAlign w:val="baseline"/>
        </w:rPr>
        <w:tab/>
      </w:r>
      <w:r>
        <w:rPr>
          <w:i/>
          <w:spacing w:val="-2"/>
          <w:sz w:val="20"/>
          <w:vertAlign w:val="baseline"/>
        </w:rPr>
        <w:t>Jurnal</w:t>
      </w:r>
      <w:r>
        <w:rPr>
          <w:i/>
          <w:sz w:val="20"/>
          <w:vertAlign w:val="baseline"/>
        </w:rPr>
        <w:tab/>
      </w:r>
      <w:r>
        <w:rPr>
          <w:i/>
          <w:spacing w:val="-2"/>
          <w:sz w:val="20"/>
          <w:vertAlign w:val="baseline"/>
        </w:rPr>
        <w:t>EMBA</w:t>
      </w:r>
      <w:r>
        <w:rPr>
          <w:spacing w:val="-2"/>
          <w:sz w:val="20"/>
          <w:vertAlign w:val="baseline"/>
        </w:rPr>
        <w:t>,</w:t>
      </w:r>
      <w:r>
        <w:rPr>
          <w:sz w:val="20"/>
          <w:vertAlign w:val="baseline"/>
        </w:rPr>
        <w:tab/>
      </w:r>
      <w:r>
        <w:rPr>
          <w:spacing w:val="-5"/>
          <w:sz w:val="20"/>
          <w:vertAlign w:val="baseline"/>
        </w:rPr>
        <w:t>7.3</w:t>
      </w:r>
      <w:r>
        <w:rPr>
          <w:sz w:val="20"/>
          <w:vertAlign w:val="baseline"/>
        </w:rPr>
        <w:tab/>
      </w:r>
      <w:r>
        <w:rPr>
          <w:spacing w:val="-2"/>
          <w:sz w:val="20"/>
          <w:vertAlign w:val="baseline"/>
        </w:rPr>
        <w:t>(2019),</w:t>
      </w:r>
      <w:r>
        <w:rPr>
          <w:sz w:val="20"/>
          <w:vertAlign w:val="baseline"/>
        </w:rPr>
        <w:tab/>
      </w:r>
      <w:r>
        <w:rPr>
          <w:spacing w:val="-2"/>
          <w:sz w:val="20"/>
          <w:vertAlign w:val="baseline"/>
        </w:rPr>
        <w:t>3029–39</w:t>
      </w:r>
    </w:p>
    <w:p>
      <w:pPr>
        <w:spacing w:line="229" w:lineRule="exact" w:before="0"/>
        <w:ind w:left="23" w:right="0" w:firstLine="0"/>
        <w:jc w:val="left"/>
        <w:rPr>
          <w:sz w:val="20"/>
        </w:rPr>
      </w:pPr>
      <w:r>
        <w:rPr>
          <w:spacing w:val="-2"/>
          <w:sz w:val="20"/>
        </w:rPr>
        <w:t>&lt;https://ejournal.unsrat.ac.id/v3/index.php/emba/article/view/24054&gt;.</w:t>
      </w:r>
    </w:p>
    <w:p>
      <w:pPr>
        <w:spacing w:before="1"/>
        <w:ind w:left="23" w:right="0" w:firstLine="719"/>
        <w:jc w:val="left"/>
        <w:rPr>
          <w:sz w:val="20"/>
        </w:rPr>
      </w:pPr>
      <w:bookmarkStart w:name="_bookmark52" w:id="53"/>
      <w:bookmarkEnd w:id="53"/>
      <w:r>
        <w:rPr/>
      </w:r>
      <w:r>
        <w:rPr>
          <w:sz w:val="20"/>
          <w:vertAlign w:val="superscript"/>
        </w:rPr>
        <w:t>31</w:t>
      </w:r>
      <w:r>
        <w:rPr>
          <w:spacing w:val="34"/>
          <w:sz w:val="20"/>
          <w:vertAlign w:val="baseline"/>
        </w:rPr>
        <w:t> </w:t>
      </w:r>
      <w:r>
        <w:rPr>
          <w:sz w:val="20"/>
          <w:vertAlign w:val="baseline"/>
        </w:rPr>
        <w:t>Eko</w:t>
      </w:r>
      <w:r>
        <w:rPr>
          <w:spacing w:val="35"/>
          <w:sz w:val="20"/>
          <w:vertAlign w:val="baseline"/>
        </w:rPr>
        <w:t> </w:t>
      </w:r>
      <w:r>
        <w:rPr>
          <w:sz w:val="20"/>
          <w:vertAlign w:val="baseline"/>
        </w:rPr>
        <w:t>Edy</w:t>
      </w:r>
      <w:r>
        <w:rPr>
          <w:spacing w:val="35"/>
          <w:sz w:val="20"/>
          <w:vertAlign w:val="baseline"/>
        </w:rPr>
        <w:t> </w:t>
      </w:r>
      <w:r>
        <w:rPr>
          <w:sz w:val="20"/>
          <w:vertAlign w:val="baseline"/>
        </w:rPr>
        <w:t>Susanto</w:t>
      </w:r>
      <w:r>
        <w:rPr>
          <w:spacing w:val="35"/>
          <w:sz w:val="20"/>
          <w:vertAlign w:val="baseline"/>
        </w:rPr>
        <w:t> </w:t>
      </w:r>
      <w:r>
        <w:rPr>
          <w:sz w:val="20"/>
          <w:vertAlign w:val="baseline"/>
        </w:rPr>
        <w:t>and</w:t>
      </w:r>
      <w:r>
        <w:rPr>
          <w:spacing w:val="35"/>
          <w:sz w:val="20"/>
          <w:vertAlign w:val="baseline"/>
        </w:rPr>
        <w:t> </w:t>
      </w:r>
      <w:r>
        <w:rPr>
          <w:sz w:val="20"/>
          <w:vertAlign w:val="baseline"/>
        </w:rPr>
        <w:t>Zuli</w:t>
      </w:r>
      <w:r>
        <w:rPr>
          <w:spacing w:val="31"/>
          <w:sz w:val="20"/>
          <w:vertAlign w:val="baseline"/>
        </w:rPr>
        <w:t> </w:t>
      </w:r>
      <w:r>
        <w:rPr>
          <w:sz w:val="20"/>
          <w:vertAlign w:val="baseline"/>
        </w:rPr>
        <w:t>Suryani,</w:t>
      </w:r>
      <w:r>
        <w:rPr>
          <w:spacing w:val="35"/>
          <w:sz w:val="20"/>
          <w:vertAlign w:val="baseline"/>
        </w:rPr>
        <w:t> </w:t>
      </w:r>
      <w:r>
        <w:rPr>
          <w:sz w:val="20"/>
          <w:vertAlign w:val="baseline"/>
        </w:rPr>
        <w:t>‘Pengaruh</w:t>
      </w:r>
      <w:r>
        <w:rPr>
          <w:spacing w:val="35"/>
          <w:sz w:val="20"/>
          <w:vertAlign w:val="baseline"/>
        </w:rPr>
        <w:t> </w:t>
      </w:r>
      <w:r>
        <w:rPr>
          <w:sz w:val="20"/>
          <w:vertAlign w:val="baseline"/>
        </w:rPr>
        <w:t>Ukuran</w:t>
      </w:r>
      <w:r>
        <w:rPr>
          <w:spacing w:val="33"/>
          <w:sz w:val="20"/>
          <w:vertAlign w:val="baseline"/>
        </w:rPr>
        <w:t> </w:t>
      </w:r>
      <w:r>
        <w:rPr>
          <w:sz w:val="20"/>
          <w:vertAlign w:val="baseline"/>
        </w:rPr>
        <w:t>Perusahaan,</w:t>
      </w:r>
      <w:r>
        <w:rPr>
          <w:spacing w:val="35"/>
          <w:sz w:val="20"/>
          <w:vertAlign w:val="baseline"/>
        </w:rPr>
        <w:t> </w:t>
      </w:r>
      <w:r>
        <w:rPr>
          <w:sz w:val="20"/>
          <w:vertAlign w:val="baseline"/>
        </w:rPr>
        <w:t>Leverage,</w:t>
      </w:r>
      <w:r>
        <w:rPr>
          <w:spacing w:val="35"/>
          <w:sz w:val="20"/>
          <w:vertAlign w:val="baseline"/>
        </w:rPr>
        <w:t> </w:t>
      </w:r>
      <w:r>
        <w:rPr>
          <w:sz w:val="20"/>
          <w:vertAlign w:val="baseline"/>
        </w:rPr>
        <w:t>Dan</w:t>
      </w:r>
      <w:r>
        <w:rPr>
          <w:spacing w:val="33"/>
          <w:sz w:val="20"/>
          <w:vertAlign w:val="baseline"/>
        </w:rPr>
        <w:t> </w:t>
      </w:r>
      <w:r>
        <w:rPr>
          <w:sz w:val="20"/>
          <w:vertAlign w:val="baseline"/>
        </w:rPr>
        <w:t>Profitabilitas Terhadap Nilai Perusahaan’, </w:t>
      </w:r>
      <w:r>
        <w:rPr>
          <w:i/>
          <w:sz w:val="20"/>
          <w:vertAlign w:val="baseline"/>
        </w:rPr>
        <w:t>Jurnal Cakrawala Ilmiah</w:t>
      </w:r>
      <w:r>
        <w:rPr>
          <w:sz w:val="20"/>
          <w:vertAlign w:val="baseline"/>
        </w:rPr>
        <w:t>, 3.9 (2024), 2413–26.</w:t>
      </w:r>
    </w:p>
    <w:p>
      <w:pPr>
        <w:spacing w:after="0"/>
        <w:jc w:val="left"/>
        <w:rPr>
          <w:sz w:val="20"/>
        </w:rPr>
        <w:sectPr>
          <w:pgSz w:w="11910" w:h="16840"/>
          <w:pgMar w:header="0" w:footer="1000" w:top="1360" w:bottom="1200" w:left="1417" w:right="1275"/>
        </w:sectPr>
      </w:pPr>
    </w:p>
    <w:p>
      <w:pPr>
        <w:pStyle w:val="BodyText"/>
        <w:spacing w:line="360" w:lineRule="auto" w:before="60"/>
        <w:ind w:left="1823" w:right="157"/>
        <w:jc w:val="both"/>
      </w:pPr>
      <w:r>
        <w:rPr/>
        <w:t>bagaimana indikator-indikator makroekonomi dapat bertindak sebagai sinyal bagi investor untuk mengevaluasi kondisi ekonomi dan membuat keputusan</w:t>
      </w:r>
      <w:r>
        <w:rPr>
          <w:spacing w:val="-10"/>
        </w:rPr>
        <w:t> </w:t>
      </w:r>
      <w:r>
        <w:rPr/>
        <w:t>investasi,</w:t>
      </w:r>
      <w:r>
        <w:rPr>
          <w:spacing w:val="-10"/>
        </w:rPr>
        <w:t> </w:t>
      </w:r>
      <w:r>
        <w:rPr/>
        <w:t>teori</w:t>
      </w:r>
      <w:r>
        <w:rPr>
          <w:spacing w:val="-9"/>
        </w:rPr>
        <w:t> </w:t>
      </w:r>
      <w:r>
        <w:rPr/>
        <w:t>sinyal</w:t>
      </w:r>
      <w:r>
        <w:rPr>
          <w:spacing w:val="-10"/>
        </w:rPr>
        <w:t> </w:t>
      </w:r>
      <w:r>
        <w:rPr/>
        <w:t>memberikan</w:t>
      </w:r>
      <w:r>
        <w:rPr>
          <w:spacing w:val="-10"/>
        </w:rPr>
        <w:t> </w:t>
      </w:r>
      <w:r>
        <w:rPr/>
        <w:t>penjelasan</w:t>
      </w:r>
      <w:r>
        <w:rPr>
          <w:spacing w:val="-10"/>
        </w:rPr>
        <w:t> </w:t>
      </w:r>
      <w:r>
        <w:rPr/>
        <w:t>tentang</w:t>
      </w:r>
      <w:r>
        <w:rPr>
          <w:spacing w:val="-10"/>
        </w:rPr>
        <w:t> </w:t>
      </w:r>
      <w:r>
        <w:rPr/>
        <w:t>bagaimana makroekonomi</w:t>
      </w:r>
      <w:r>
        <w:rPr>
          <w:spacing w:val="-8"/>
        </w:rPr>
        <w:t> </w:t>
      </w:r>
      <w:r>
        <w:rPr/>
        <w:t>mempengaruhi</w:t>
      </w:r>
      <w:r>
        <w:rPr>
          <w:spacing w:val="-8"/>
        </w:rPr>
        <w:t> </w:t>
      </w:r>
      <w:r>
        <w:rPr/>
        <w:t>perubahan</w:t>
      </w:r>
      <w:r>
        <w:rPr>
          <w:spacing w:val="-8"/>
        </w:rPr>
        <w:t> </w:t>
      </w:r>
      <w:r>
        <w:rPr/>
        <w:t>harga</w:t>
      </w:r>
      <w:r>
        <w:rPr>
          <w:spacing w:val="-9"/>
        </w:rPr>
        <w:t> </w:t>
      </w:r>
      <w:r>
        <w:rPr/>
        <w:t>saham.</w:t>
      </w:r>
      <w:r>
        <w:rPr>
          <w:spacing w:val="-8"/>
        </w:rPr>
        <w:t> </w:t>
      </w:r>
      <w:r>
        <w:rPr/>
        <w:t>Perubahan</w:t>
      </w:r>
      <w:r>
        <w:rPr>
          <w:spacing w:val="-8"/>
        </w:rPr>
        <w:t> </w:t>
      </w:r>
      <w:r>
        <w:rPr/>
        <w:t>variabel makroekonomi sering dilihat dalam konteks pasar saham sebagai indikator keadaan</w:t>
      </w:r>
      <w:r>
        <w:rPr>
          <w:spacing w:val="-2"/>
        </w:rPr>
        <w:t> </w:t>
      </w:r>
      <w:r>
        <w:rPr/>
        <w:t>ekonomi,</w:t>
      </w:r>
      <w:r>
        <w:rPr>
          <w:spacing w:val="-2"/>
        </w:rPr>
        <w:t> </w:t>
      </w:r>
      <w:r>
        <w:rPr/>
        <w:t>yang</w:t>
      </w:r>
      <w:r>
        <w:rPr>
          <w:spacing w:val="-2"/>
        </w:rPr>
        <w:t> </w:t>
      </w:r>
      <w:r>
        <w:rPr/>
        <w:t>pada</w:t>
      </w:r>
      <w:r>
        <w:rPr>
          <w:spacing w:val="-3"/>
        </w:rPr>
        <w:t> </w:t>
      </w:r>
      <w:r>
        <w:rPr/>
        <w:t>gilirannya</w:t>
      </w:r>
      <w:r>
        <w:rPr>
          <w:spacing w:val="-3"/>
        </w:rPr>
        <w:t> </w:t>
      </w:r>
      <w:r>
        <w:rPr/>
        <w:t>mempengaruhi</w:t>
      </w:r>
      <w:r>
        <w:rPr>
          <w:spacing w:val="-3"/>
        </w:rPr>
        <w:t> </w:t>
      </w:r>
      <w:r>
        <w:rPr/>
        <w:t>harga</w:t>
      </w:r>
      <w:r>
        <w:rPr>
          <w:spacing w:val="-4"/>
        </w:rPr>
        <w:t> </w:t>
      </w:r>
      <w:r>
        <w:rPr/>
        <w:t>saham.</w:t>
      </w:r>
      <w:hyperlink w:history="true" w:anchor="_bookmark54">
        <w:r>
          <w:rPr>
            <w:vertAlign w:val="superscript"/>
          </w:rPr>
          <w:t>32</w:t>
        </w:r>
      </w:hyperlink>
      <w:r>
        <w:rPr>
          <w:spacing w:val="-1"/>
          <w:vertAlign w:val="baseline"/>
        </w:rPr>
        <w:t> </w:t>
      </w:r>
      <w:r>
        <w:rPr>
          <w:vertAlign w:val="baseline"/>
        </w:rPr>
        <w:t>Hal tersebut sejalan dengan penelitian yang dilakukan Agus Fuadi yang mana menganalisis pengaruh kondisi inflasi terhadap keputusan investasi</w:t>
      </w:r>
      <w:hyperlink w:history="true" w:anchor="_bookmark55">
        <w:r>
          <w:rPr>
            <w:vertAlign w:val="baseline"/>
          </w:rPr>
          <w:t>.</w:t>
        </w:r>
        <w:r>
          <w:rPr>
            <w:vertAlign w:val="superscript"/>
          </w:rPr>
          <w:t>33</w:t>
        </w:r>
      </w:hyperlink>
      <w:r>
        <w:rPr>
          <w:vertAlign w:val="baseline"/>
        </w:rPr>
        <w:t> Penelitian</w:t>
      </w:r>
      <w:r>
        <w:rPr>
          <w:spacing w:val="-12"/>
          <w:vertAlign w:val="baseline"/>
        </w:rPr>
        <w:t> </w:t>
      </w:r>
      <w:r>
        <w:rPr>
          <w:vertAlign w:val="baseline"/>
        </w:rPr>
        <w:t>ini</w:t>
      </w:r>
      <w:r>
        <w:rPr>
          <w:spacing w:val="-11"/>
          <w:vertAlign w:val="baseline"/>
        </w:rPr>
        <w:t> </w:t>
      </w:r>
      <w:r>
        <w:rPr>
          <w:vertAlign w:val="baseline"/>
        </w:rPr>
        <w:t>mengacu</w:t>
      </w:r>
      <w:r>
        <w:rPr>
          <w:spacing w:val="-12"/>
          <w:vertAlign w:val="baseline"/>
        </w:rPr>
        <w:t> </w:t>
      </w:r>
      <w:r>
        <w:rPr>
          <w:vertAlign w:val="baseline"/>
        </w:rPr>
        <w:t>pada</w:t>
      </w:r>
      <w:r>
        <w:rPr>
          <w:spacing w:val="-13"/>
          <w:vertAlign w:val="baseline"/>
        </w:rPr>
        <w:t> </w:t>
      </w:r>
      <w:r>
        <w:rPr>
          <w:vertAlign w:val="baseline"/>
        </w:rPr>
        <w:t>teori</w:t>
      </w:r>
      <w:r>
        <w:rPr>
          <w:spacing w:val="-11"/>
          <w:vertAlign w:val="baseline"/>
        </w:rPr>
        <w:t> </w:t>
      </w:r>
      <w:r>
        <w:rPr>
          <w:vertAlign w:val="baseline"/>
        </w:rPr>
        <w:t>sinyal</w:t>
      </w:r>
      <w:r>
        <w:rPr>
          <w:spacing w:val="-11"/>
          <w:vertAlign w:val="baseline"/>
        </w:rPr>
        <w:t> </w:t>
      </w:r>
      <w:r>
        <w:rPr>
          <w:vertAlign w:val="baseline"/>
        </w:rPr>
        <w:t>bahwasanya</w:t>
      </w:r>
      <w:r>
        <w:rPr>
          <w:spacing w:val="-13"/>
          <w:vertAlign w:val="baseline"/>
        </w:rPr>
        <w:t> </w:t>
      </w:r>
      <w:r>
        <w:rPr>
          <w:vertAlign w:val="baseline"/>
        </w:rPr>
        <w:t>jumlah</w:t>
      </w:r>
      <w:r>
        <w:rPr>
          <w:spacing w:val="-12"/>
          <w:vertAlign w:val="baseline"/>
        </w:rPr>
        <w:t> </w:t>
      </w:r>
      <w:r>
        <w:rPr>
          <w:vertAlign w:val="baseline"/>
        </w:rPr>
        <w:t>pendapatan</w:t>
      </w:r>
      <w:r>
        <w:rPr>
          <w:spacing w:val="-12"/>
          <w:vertAlign w:val="baseline"/>
        </w:rPr>
        <w:t> </w:t>
      </w:r>
      <w:r>
        <w:rPr>
          <w:vertAlign w:val="baseline"/>
        </w:rPr>
        <w:t>riil yang diterima investor dari investasi mereka berkurang karena inflasi yang tinggi. Di sisi lain, investor harus berbesar hati jika tingkat inflasi suatu negara menurun karena hal ini mengurangi bahaya penurunan pendapatan riil dan penurunan daya beli uang. Selain itu penelitian Sulistyana menyatakan</w:t>
      </w:r>
      <w:r>
        <w:rPr>
          <w:spacing w:val="-15"/>
          <w:vertAlign w:val="baseline"/>
        </w:rPr>
        <w:t> </w:t>
      </w:r>
      <w:r>
        <w:rPr>
          <w:vertAlign w:val="baseline"/>
        </w:rPr>
        <w:t>pertimbangan</w:t>
      </w:r>
      <w:r>
        <w:rPr>
          <w:spacing w:val="-15"/>
          <w:vertAlign w:val="baseline"/>
        </w:rPr>
        <w:t> </w:t>
      </w:r>
      <w:r>
        <w:rPr>
          <w:vertAlign w:val="baseline"/>
        </w:rPr>
        <w:t>makroekonomi</w:t>
      </w:r>
      <w:r>
        <w:rPr>
          <w:spacing w:val="-15"/>
          <w:vertAlign w:val="baseline"/>
        </w:rPr>
        <w:t> </w:t>
      </w:r>
      <w:r>
        <w:rPr>
          <w:vertAlign w:val="baseline"/>
        </w:rPr>
        <w:t>memengaruhi</w:t>
      </w:r>
      <w:r>
        <w:rPr>
          <w:spacing w:val="-15"/>
          <w:vertAlign w:val="baseline"/>
        </w:rPr>
        <w:t> </w:t>
      </w:r>
      <w:r>
        <w:rPr>
          <w:vertAlign w:val="baseline"/>
        </w:rPr>
        <w:t>kinerja</w:t>
      </w:r>
      <w:r>
        <w:rPr>
          <w:spacing w:val="-15"/>
          <w:vertAlign w:val="baseline"/>
        </w:rPr>
        <w:t> </w:t>
      </w:r>
      <w:r>
        <w:rPr>
          <w:vertAlign w:val="baseline"/>
        </w:rPr>
        <w:t>perusahaan serta pergeseran dalam kinerja tersebut memberi sinyal pada nilai saham pasar. Harga saham akan langsung terdampak karena investor merespon perubahan fundamental makroekonomi dengan lebih cepat.</w:t>
      </w:r>
      <w:hyperlink w:history="true" w:anchor="_bookmark56">
        <w:r>
          <w:rPr>
            <w:vertAlign w:val="superscript"/>
          </w:rPr>
          <w:t>34</w:t>
        </w:r>
      </w:hyperlink>
      <w:r>
        <w:rPr>
          <w:vertAlign w:val="baseline"/>
        </w:rPr>
        <w:t> </w:t>
      </w:r>
      <w:r>
        <w:rPr>
          <w:vertAlign w:val="baseline"/>
        </w:rPr>
        <w:t>Adapun temuan Sari dalam tulisannya menganalisis bagaimana keadaan ekonomi makro memengaruhi nilai perusahaan adalah aplikasi yang kuat dari teori sinyal. Umpan balik investor dalam hal ini dapat diperoleh dari reaksi perusahaan terhadap perubahan data ekonomi makro.</w:t>
      </w:r>
      <w:hyperlink w:history="true" w:anchor="_bookmark57">
        <w:r>
          <w:rPr>
            <w:vertAlign w:val="superscript"/>
          </w:rPr>
          <w:t>35</w:t>
        </w:r>
      </w:hyperlink>
    </w:p>
    <w:p>
      <w:pPr>
        <w:pStyle w:val="Heading2"/>
        <w:numPr>
          <w:ilvl w:val="2"/>
          <w:numId w:val="12"/>
        </w:numPr>
        <w:tabs>
          <w:tab w:pos="1643" w:val="left" w:leader="none"/>
        </w:tabs>
        <w:spacing w:line="240" w:lineRule="auto" w:before="162" w:after="0"/>
        <w:ind w:left="1643" w:right="0" w:hanging="540"/>
        <w:jc w:val="both"/>
      </w:pPr>
      <w:bookmarkStart w:name="_bookmark53" w:id="54"/>
      <w:bookmarkEnd w:id="54"/>
      <w:r>
        <w:rPr>
          <w:b w:val="0"/>
        </w:rPr>
      </w:r>
      <w:r>
        <w:rPr/>
        <w:t>Pasar</w:t>
      </w:r>
      <w:r>
        <w:rPr>
          <w:spacing w:val="-1"/>
        </w:rPr>
        <w:t> </w:t>
      </w:r>
      <w:r>
        <w:rPr>
          <w:spacing w:val="-2"/>
        </w:rPr>
        <w:t>Modal</w:t>
      </w:r>
    </w:p>
    <w:p>
      <w:pPr>
        <w:pStyle w:val="BodyText"/>
        <w:spacing w:before="22"/>
        <w:rPr>
          <w:b/>
        </w:rPr>
      </w:pPr>
    </w:p>
    <w:p>
      <w:pPr>
        <w:pStyle w:val="BodyText"/>
        <w:spacing w:line="360" w:lineRule="auto"/>
        <w:ind w:left="1823" w:right="165" w:firstLine="360"/>
        <w:jc w:val="both"/>
      </w:pPr>
      <w:r>
        <w:rPr/>
        <w:t>Menurut etimologinya, istilah bursa, pertukaran, dan pasar digunakan untuk merujuk pada pasar. Mengenai frasa modal, istilah saham, sekuritas, dan</w:t>
      </w:r>
      <w:r>
        <w:rPr>
          <w:spacing w:val="55"/>
          <w:w w:val="150"/>
        </w:rPr>
        <w:t> </w:t>
      </w:r>
      <w:r>
        <w:rPr/>
        <w:t>sekuritas</w:t>
      </w:r>
      <w:r>
        <w:rPr>
          <w:spacing w:val="59"/>
          <w:w w:val="150"/>
        </w:rPr>
        <w:t> </w:t>
      </w:r>
      <w:r>
        <w:rPr/>
        <w:t>sering</w:t>
      </w:r>
      <w:r>
        <w:rPr>
          <w:spacing w:val="58"/>
          <w:w w:val="150"/>
        </w:rPr>
        <w:t> </w:t>
      </w:r>
      <w:r>
        <w:rPr/>
        <w:t>digunakan.</w:t>
      </w:r>
      <w:r>
        <w:rPr>
          <w:spacing w:val="59"/>
          <w:w w:val="150"/>
        </w:rPr>
        <w:t> </w:t>
      </w:r>
      <w:r>
        <w:rPr/>
        <w:t>Pasar</w:t>
      </w:r>
      <w:r>
        <w:rPr>
          <w:spacing w:val="57"/>
          <w:w w:val="150"/>
        </w:rPr>
        <w:t> </w:t>
      </w:r>
      <w:r>
        <w:rPr/>
        <w:t>secara</w:t>
      </w:r>
      <w:r>
        <w:rPr>
          <w:spacing w:val="57"/>
          <w:w w:val="150"/>
        </w:rPr>
        <w:t> </w:t>
      </w:r>
      <w:r>
        <w:rPr/>
        <w:t>sederhana</w:t>
      </w:r>
      <w:r>
        <w:rPr>
          <w:spacing w:val="57"/>
          <w:w w:val="150"/>
        </w:rPr>
        <w:t> </w:t>
      </w:r>
      <w:r>
        <w:rPr>
          <w:spacing w:val="-2"/>
        </w:rPr>
        <w:t>didefinisikan</w:t>
      </w:r>
    </w:p>
    <w:p>
      <w:pPr>
        <w:pStyle w:val="BodyText"/>
        <w:spacing w:before="11"/>
        <w:rPr>
          <w:sz w:val="13"/>
        </w:rPr>
      </w:pPr>
      <w:r>
        <w:rPr>
          <w:sz w:val="13"/>
        </w:rPr>
        <mc:AlternateContent>
          <mc:Choice Requires="wps">
            <w:drawing>
              <wp:anchor distT="0" distB="0" distL="0" distR="0" allowOverlap="1" layoutInCell="1" locked="0" behindDoc="1" simplePos="0" relativeHeight="487598080">
                <wp:simplePos x="0" y="0"/>
                <wp:positionH relativeFrom="page">
                  <wp:posOffset>914704</wp:posOffset>
                </wp:positionH>
                <wp:positionV relativeFrom="paragraph">
                  <wp:posOffset>117278</wp:posOffset>
                </wp:positionV>
                <wp:extent cx="1829435" cy="9525"/>
                <wp:effectExtent l="0" t="0" r="0" b="0"/>
                <wp:wrapTopAndBottom/>
                <wp:docPr id="257" name="Graphic 257"/>
                <wp:cNvGraphicFramePr>
                  <a:graphicFrameLocks/>
                </wp:cNvGraphicFramePr>
                <a:graphic>
                  <a:graphicData uri="http://schemas.microsoft.com/office/word/2010/wordprocessingShape">
                    <wps:wsp>
                      <wps:cNvPr id="257" name="Graphic 257"/>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9.234501pt;width:144.020pt;height:.72003pt;mso-position-horizontal-relative:page;mso-position-vertical-relative:paragraph;z-index:-15718400;mso-wrap-distance-left:0;mso-wrap-distance-right:0" id="docshape229" filled="true" fillcolor="#000000" stroked="false">
                <v:fill type="solid"/>
                <w10:wrap type="topAndBottom"/>
              </v:rect>
            </w:pict>
          </mc:Fallback>
        </mc:AlternateContent>
      </w:r>
    </w:p>
    <w:p>
      <w:pPr>
        <w:spacing w:before="102"/>
        <w:ind w:left="0" w:right="170" w:firstLine="0"/>
        <w:jc w:val="right"/>
        <w:rPr>
          <w:sz w:val="20"/>
        </w:rPr>
      </w:pPr>
      <w:bookmarkStart w:name="_bookmark54" w:id="55"/>
      <w:bookmarkEnd w:id="55"/>
      <w:r>
        <w:rPr/>
      </w:r>
      <w:r>
        <w:rPr>
          <w:sz w:val="20"/>
          <w:vertAlign w:val="superscript"/>
        </w:rPr>
        <w:t>32</w:t>
      </w:r>
      <w:r>
        <w:rPr>
          <w:spacing w:val="-6"/>
          <w:sz w:val="20"/>
          <w:vertAlign w:val="baseline"/>
        </w:rPr>
        <w:t> </w:t>
      </w:r>
      <w:r>
        <w:rPr>
          <w:sz w:val="20"/>
          <w:vertAlign w:val="baseline"/>
        </w:rPr>
        <w:t>Santika</w:t>
      </w:r>
      <w:r>
        <w:rPr>
          <w:spacing w:val="-6"/>
          <w:sz w:val="20"/>
          <w:vertAlign w:val="baseline"/>
        </w:rPr>
        <w:t> </w:t>
      </w:r>
      <w:r>
        <w:rPr>
          <w:sz w:val="20"/>
          <w:vertAlign w:val="baseline"/>
        </w:rPr>
        <w:t>Maya</w:t>
      </w:r>
      <w:r>
        <w:rPr>
          <w:spacing w:val="-6"/>
          <w:sz w:val="20"/>
          <w:vertAlign w:val="baseline"/>
        </w:rPr>
        <w:t> </w:t>
      </w:r>
      <w:r>
        <w:rPr>
          <w:sz w:val="20"/>
          <w:vertAlign w:val="baseline"/>
        </w:rPr>
        <w:t>Rindika,</w:t>
      </w:r>
      <w:r>
        <w:rPr>
          <w:spacing w:val="-5"/>
          <w:sz w:val="20"/>
          <w:vertAlign w:val="baseline"/>
        </w:rPr>
        <w:t> </w:t>
      </w:r>
      <w:r>
        <w:rPr>
          <w:sz w:val="20"/>
          <w:vertAlign w:val="baseline"/>
        </w:rPr>
        <w:t>‘Dampak</w:t>
      </w:r>
      <w:r>
        <w:rPr>
          <w:spacing w:val="-5"/>
          <w:sz w:val="20"/>
          <w:vertAlign w:val="baseline"/>
        </w:rPr>
        <w:t> </w:t>
      </w:r>
      <w:r>
        <w:rPr>
          <w:sz w:val="20"/>
          <w:vertAlign w:val="baseline"/>
        </w:rPr>
        <w:t>Variabel</w:t>
      </w:r>
      <w:r>
        <w:rPr>
          <w:spacing w:val="-5"/>
          <w:sz w:val="20"/>
          <w:vertAlign w:val="baseline"/>
        </w:rPr>
        <w:t> </w:t>
      </w:r>
      <w:r>
        <w:rPr>
          <w:sz w:val="20"/>
          <w:vertAlign w:val="baseline"/>
        </w:rPr>
        <w:t>Makroekonomi</w:t>
      </w:r>
      <w:r>
        <w:rPr>
          <w:spacing w:val="-9"/>
          <w:sz w:val="20"/>
          <w:vertAlign w:val="baseline"/>
        </w:rPr>
        <w:t> </w:t>
      </w:r>
      <w:r>
        <w:rPr>
          <w:sz w:val="20"/>
          <w:vertAlign w:val="baseline"/>
        </w:rPr>
        <w:t>Terhadap</w:t>
      </w:r>
      <w:r>
        <w:rPr>
          <w:spacing w:val="-5"/>
          <w:sz w:val="20"/>
          <w:vertAlign w:val="baseline"/>
        </w:rPr>
        <w:t> </w:t>
      </w:r>
      <w:r>
        <w:rPr>
          <w:sz w:val="20"/>
          <w:vertAlign w:val="baseline"/>
        </w:rPr>
        <w:t>Pergerakan</w:t>
      </w:r>
      <w:r>
        <w:rPr>
          <w:spacing w:val="-4"/>
          <w:sz w:val="20"/>
          <w:vertAlign w:val="baseline"/>
        </w:rPr>
        <w:t> </w:t>
      </w:r>
      <w:r>
        <w:rPr>
          <w:sz w:val="20"/>
          <w:vertAlign w:val="baseline"/>
        </w:rPr>
        <w:t>Indeks</w:t>
      </w:r>
      <w:r>
        <w:rPr>
          <w:spacing w:val="-9"/>
          <w:sz w:val="20"/>
          <w:vertAlign w:val="baseline"/>
        </w:rPr>
        <w:t> </w:t>
      </w:r>
      <w:r>
        <w:rPr>
          <w:sz w:val="20"/>
          <w:vertAlign w:val="baseline"/>
        </w:rPr>
        <w:t>Harga</w:t>
      </w:r>
      <w:r>
        <w:rPr>
          <w:spacing w:val="-6"/>
          <w:sz w:val="20"/>
          <w:vertAlign w:val="baseline"/>
        </w:rPr>
        <w:t> </w:t>
      </w:r>
      <w:r>
        <w:rPr>
          <w:spacing w:val="-2"/>
          <w:sz w:val="20"/>
          <w:vertAlign w:val="baseline"/>
        </w:rPr>
        <w:t>Saham</w:t>
      </w:r>
    </w:p>
    <w:p>
      <w:pPr>
        <w:tabs>
          <w:tab w:pos="1086" w:val="left" w:leader="none"/>
          <w:tab w:pos="1414" w:val="left" w:leader="none"/>
          <w:tab w:pos="2143" w:val="left" w:leader="none"/>
          <w:tab w:pos="2472" w:val="left" w:leader="none"/>
          <w:tab w:pos="3323" w:val="left" w:leader="none"/>
          <w:tab w:pos="4285" w:val="left" w:leader="none"/>
          <w:tab w:pos="5452" w:val="left" w:leader="none"/>
          <w:tab w:pos="5913" w:val="left" w:leader="none"/>
          <w:tab w:pos="7069" w:val="left" w:leader="none"/>
          <w:tab w:pos="7582" w:val="left" w:leader="none"/>
          <w:tab w:pos="8425" w:val="left" w:leader="none"/>
        </w:tabs>
        <w:spacing w:before="0"/>
        <w:ind w:left="0" w:right="161" w:firstLine="0"/>
        <w:jc w:val="right"/>
        <w:rPr>
          <w:sz w:val="20"/>
        </w:rPr>
      </w:pPr>
      <w:r>
        <w:rPr>
          <w:spacing w:val="-2"/>
          <w:sz w:val="20"/>
        </w:rPr>
        <w:t>Gabungan</w:t>
      </w:r>
      <w:r>
        <w:rPr>
          <w:sz w:val="20"/>
        </w:rPr>
        <w:tab/>
      </w:r>
      <w:r>
        <w:rPr>
          <w:spacing w:val="-10"/>
          <w:sz w:val="20"/>
        </w:rPr>
        <w:t>(</w:t>
      </w:r>
      <w:r>
        <w:rPr>
          <w:sz w:val="20"/>
        </w:rPr>
        <w:tab/>
      </w:r>
      <w:r>
        <w:rPr>
          <w:spacing w:val="-4"/>
          <w:sz w:val="20"/>
        </w:rPr>
        <w:t>IHSG</w:t>
      </w:r>
      <w:r>
        <w:rPr>
          <w:sz w:val="20"/>
        </w:rPr>
        <w:tab/>
      </w:r>
      <w:r>
        <w:rPr>
          <w:spacing w:val="-10"/>
          <w:sz w:val="20"/>
        </w:rPr>
        <w:t>)</w:t>
      </w:r>
      <w:r>
        <w:rPr>
          <w:sz w:val="20"/>
        </w:rPr>
        <w:tab/>
      </w:r>
      <w:r>
        <w:rPr>
          <w:spacing w:val="-2"/>
          <w:sz w:val="20"/>
        </w:rPr>
        <w:t>Selama</w:t>
      </w:r>
      <w:r>
        <w:rPr>
          <w:sz w:val="20"/>
        </w:rPr>
        <w:tab/>
      </w:r>
      <w:r>
        <w:rPr>
          <w:spacing w:val="-2"/>
          <w:sz w:val="20"/>
        </w:rPr>
        <w:t>Pandemi</w:t>
      </w:r>
      <w:r>
        <w:rPr>
          <w:sz w:val="20"/>
        </w:rPr>
        <w:tab/>
      </w:r>
      <w:r>
        <w:rPr>
          <w:spacing w:val="-2"/>
          <w:sz w:val="20"/>
        </w:rPr>
        <w:t>COVID-</w:t>
      </w:r>
      <w:r>
        <w:rPr>
          <w:spacing w:val="-5"/>
          <w:sz w:val="20"/>
        </w:rPr>
        <w:t>19</w:t>
      </w:r>
      <w:r>
        <w:rPr>
          <w:sz w:val="20"/>
        </w:rPr>
        <w:tab/>
      </w:r>
      <w:r>
        <w:rPr>
          <w:spacing w:val="-5"/>
          <w:sz w:val="20"/>
        </w:rPr>
        <w:t>Di</w:t>
      </w:r>
      <w:r>
        <w:rPr>
          <w:sz w:val="20"/>
        </w:rPr>
        <w:tab/>
      </w:r>
      <w:r>
        <w:rPr>
          <w:spacing w:val="-2"/>
          <w:sz w:val="20"/>
        </w:rPr>
        <w:t>Indonesia’,</w:t>
      </w:r>
      <w:r>
        <w:rPr>
          <w:sz w:val="20"/>
        </w:rPr>
        <w:tab/>
      </w:r>
      <w:r>
        <w:rPr>
          <w:spacing w:val="-5"/>
          <w:sz w:val="20"/>
        </w:rPr>
        <w:t>9.2</w:t>
      </w:r>
      <w:r>
        <w:rPr>
          <w:sz w:val="20"/>
        </w:rPr>
        <w:tab/>
      </w:r>
      <w:r>
        <w:rPr>
          <w:spacing w:val="-2"/>
          <w:sz w:val="20"/>
        </w:rPr>
        <w:t>(2024),</w:t>
      </w:r>
      <w:r>
        <w:rPr>
          <w:sz w:val="20"/>
        </w:rPr>
        <w:tab/>
      </w:r>
      <w:r>
        <w:rPr>
          <w:spacing w:val="-2"/>
          <w:sz w:val="20"/>
        </w:rPr>
        <w:t>220–40</w:t>
      </w:r>
    </w:p>
    <w:p>
      <w:pPr>
        <w:spacing w:line="229" w:lineRule="exact" w:before="0"/>
        <w:ind w:left="23" w:right="0" w:firstLine="0"/>
        <w:jc w:val="left"/>
        <w:rPr>
          <w:sz w:val="20"/>
        </w:rPr>
      </w:pPr>
      <w:r>
        <w:rPr>
          <w:spacing w:val="-2"/>
          <w:sz w:val="20"/>
        </w:rPr>
        <w:t>&lt;https://doi.org/10.20473/baki.vxix.xxxxx&gt;.</w:t>
      </w:r>
    </w:p>
    <w:p>
      <w:pPr>
        <w:spacing w:before="0"/>
        <w:ind w:left="23" w:right="161" w:firstLine="719"/>
        <w:jc w:val="both"/>
        <w:rPr>
          <w:sz w:val="20"/>
        </w:rPr>
      </w:pPr>
      <w:bookmarkStart w:name="_bookmark55" w:id="56"/>
      <w:bookmarkEnd w:id="56"/>
      <w:r>
        <w:rPr/>
      </w:r>
      <w:r>
        <w:rPr>
          <w:sz w:val="20"/>
          <w:vertAlign w:val="superscript"/>
        </w:rPr>
        <w:t>33</w:t>
      </w:r>
      <w:r>
        <w:rPr>
          <w:sz w:val="20"/>
          <w:vertAlign w:val="baseline"/>
        </w:rPr>
        <w:t> Agus Fuadi, Tota Viola Simamora Debataraja, and Taufik Hidayat, ‘Pengaruh Inflasi, Kebijakan Dividen, Dan Total Asset Turnover Terhadap Keputusan Investasi Pada Perusahaan Manufaktur Di Bursa Efek Indonesia</w:t>
      </w:r>
      <w:r>
        <w:rPr>
          <w:spacing w:val="42"/>
          <w:sz w:val="20"/>
          <w:vertAlign w:val="baseline"/>
        </w:rPr>
        <w:t>  </w:t>
      </w:r>
      <w:r>
        <w:rPr>
          <w:sz w:val="20"/>
          <w:vertAlign w:val="baseline"/>
        </w:rPr>
        <w:t>Periode</w:t>
      </w:r>
      <w:r>
        <w:rPr>
          <w:spacing w:val="43"/>
          <w:sz w:val="20"/>
          <w:vertAlign w:val="baseline"/>
        </w:rPr>
        <w:t>  </w:t>
      </w:r>
      <w:r>
        <w:rPr>
          <w:sz w:val="20"/>
          <w:vertAlign w:val="baseline"/>
        </w:rPr>
        <w:t>2018</w:t>
      </w:r>
      <w:r>
        <w:rPr>
          <w:spacing w:val="44"/>
          <w:sz w:val="20"/>
          <w:vertAlign w:val="baseline"/>
        </w:rPr>
        <w:t>  </w:t>
      </w:r>
      <w:r>
        <w:rPr>
          <w:sz w:val="20"/>
          <w:vertAlign w:val="baseline"/>
        </w:rPr>
        <w:t>-</w:t>
      </w:r>
      <w:r>
        <w:rPr>
          <w:spacing w:val="42"/>
          <w:sz w:val="20"/>
          <w:vertAlign w:val="baseline"/>
        </w:rPr>
        <w:t>  </w:t>
      </w:r>
      <w:r>
        <w:rPr>
          <w:sz w:val="20"/>
          <w:vertAlign w:val="baseline"/>
        </w:rPr>
        <w:t>2020’,</w:t>
      </w:r>
      <w:r>
        <w:rPr>
          <w:spacing w:val="44"/>
          <w:sz w:val="20"/>
          <w:vertAlign w:val="baseline"/>
        </w:rPr>
        <w:t>  </w:t>
      </w:r>
      <w:r>
        <w:rPr>
          <w:i/>
          <w:sz w:val="20"/>
          <w:vertAlign w:val="baseline"/>
        </w:rPr>
        <w:t>Jurnal</w:t>
      </w:r>
      <w:r>
        <w:rPr>
          <w:i/>
          <w:spacing w:val="42"/>
          <w:sz w:val="20"/>
          <w:vertAlign w:val="baseline"/>
        </w:rPr>
        <w:t>  </w:t>
      </w:r>
      <w:r>
        <w:rPr>
          <w:i/>
          <w:sz w:val="20"/>
          <w:vertAlign w:val="baseline"/>
        </w:rPr>
        <w:t>Akuntansi</w:t>
      </w:r>
      <w:r>
        <w:rPr>
          <w:i/>
          <w:spacing w:val="43"/>
          <w:sz w:val="20"/>
          <w:vertAlign w:val="baseline"/>
        </w:rPr>
        <w:t>  </w:t>
      </w:r>
      <w:r>
        <w:rPr>
          <w:i/>
          <w:sz w:val="20"/>
          <w:vertAlign w:val="baseline"/>
        </w:rPr>
        <w:t>Bisnis</w:t>
      </w:r>
      <w:r>
        <w:rPr>
          <w:i/>
          <w:spacing w:val="42"/>
          <w:sz w:val="20"/>
          <w:vertAlign w:val="baseline"/>
        </w:rPr>
        <w:t>  </w:t>
      </w:r>
      <w:r>
        <w:rPr>
          <w:i/>
          <w:sz w:val="20"/>
          <w:vertAlign w:val="baseline"/>
        </w:rPr>
        <w:t>Pelita</w:t>
      </w:r>
      <w:r>
        <w:rPr>
          <w:i/>
          <w:spacing w:val="43"/>
          <w:sz w:val="20"/>
          <w:vertAlign w:val="baseline"/>
        </w:rPr>
        <w:t>  </w:t>
      </w:r>
      <w:r>
        <w:rPr>
          <w:i/>
          <w:sz w:val="20"/>
          <w:vertAlign w:val="baseline"/>
        </w:rPr>
        <w:t>Bangsa</w:t>
      </w:r>
      <w:r>
        <w:rPr>
          <w:sz w:val="20"/>
          <w:vertAlign w:val="baseline"/>
        </w:rPr>
        <w:t>,</w:t>
      </w:r>
      <w:r>
        <w:rPr>
          <w:spacing w:val="43"/>
          <w:sz w:val="20"/>
          <w:vertAlign w:val="baseline"/>
        </w:rPr>
        <w:t>  </w:t>
      </w:r>
      <w:r>
        <w:rPr>
          <w:sz w:val="20"/>
          <w:vertAlign w:val="baseline"/>
        </w:rPr>
        <w:t>7.01</w:t>
      </w:r>
      <w:r>
        <w:rPr>
          <w:spacing w:val="43"/>
          <w:sz w:val="20"/>
          <w:vertAlign w:val="baseline"/>
        </w:rPr>
        <w:t>  </w:t>
      </w:r>
      <w:r>
        <w:rPr>
          <w:sz w:val="20"/>
          <w:vertAlign w:val="baseline"/>
        </w:rPr>
        <w:t>(2022),</w:t>
      </w:r>
      <w:r>
        <w:rPr>
          <w:spacing w:val="42"/>
          <w:sz w:val="20"/>
          <w:vertAlign w:val="baseline"/>
        </w:rPr>
        <w:t>  </w:t>
      </w:r>
      <w:r>
        <w:rPr>
          <w:spacing w:val="-2"/>
          <w:sz w:val="20"/>
          <w:vertAlign w:val="baseline"/>
        </w:rPr>
        <w:t>40–59</w:t>
      </w:r>
    </w:p>
    <w:p>
      <w:pPr>
        <w:spacing w:before="1"/>
        <w:ind w:left="23" w:right="0" w:firstLine="0"/>
        <w:jc w:val="left"/>
        <w:rPr>
          <w:sz w:val="20"/>
        </w:rPr>
      </w:pPr>
      <w:r>
        <w:rPr>
          <w:spacing w:val="-2"/>
          <w:sz w:val="20"/>
        </w:rPr>
        <w:t>&lt;https://doi.org/10.37366/akubis.v7i01.433&gt;.</w:t>
      </w:r>
    </w:p>
    <w:p>
      <w:pPr>
        <w:spacing w:before="0"/>
        <w:ind w:left="23" w:right="171" w:firstLine="719"/>
        <w:jc w:val="both"/>
        <w:rPr>
          <w:sz w:val="20"/>
        </w:rPr>
      </w:pPr>
      <w:bookmarkStart w:name="_bookmark56" w:id="57"/>
      <w:bookmarkEnd w:id="57"/>
      <w:r>
        <w:rPr/>
      </w:r>
      <w:r>
        <w:rPr>
          <w:sz w:val="20"/>
          <w:vertAlign w:val="superscript"/>
        </w:rPr>
        <w:t>34</w:t>
      </w:r>
      <w:r>
        <w:rPr>
          <w:sz w:val="20"/>
          <w:vertAlign w:val="baseline"/>
        </w:rPr>
        <w:t> Desfi Dwi Sulistyana and Hwihanus, ‘Pengaruh Fundamental Makro , Kinerja Keuangan , Struktur Modal , Konservatisme Akuntansi Dan Struktur Kepemilikan Terhadap Manajemen Laba Pada Perusahaan Farmasi Yang Terdaftar Di Bursa Efek Indonesia’, </w:t>
      </w:r>
      <w:r>
        <w:rPr>
          <w:i/>
          <w:sz w:val="20"/>
          <w:vertAlign w:val="baseline"/>
        </w:rPr>
        <w:t>Jurnal Mutiara Ilmu Akuntansi</w:t>
      </w:r>
      <w:r>
        <w:rPr>
          <w:sz w:val="20"/>
          <w:vertAlign w:val="baseline"/>
        </w:rPr>
        <w:t>, 3.2 (2025), 73–88.</w:t>
      </w:r>
    </w:p>
    <w:p>
      <w:pPr>
        <w:spacing w:before="0"/>
        <w:ind w:left="23" w:right="167" w:firstLine="719"/>
        <w:jc w:val="both"/>
        <w:rPr>
          <w:sz w:val="20"/>
        </w:rPr>
      </w:pPr>
      <w:bookmarkStart w:name="_bookmark57" w:id="58"/>
      <w:bookmarkEnd w:id="58"/>
      <w:r>
        <w:rPr/>
      </w:r>
      <w:r>
        <w:rPr>
          <w:sz w:val="20"/>
          <w:vertAlign w:val="superscript"/>
        </w:rPr>
        <w:t>35</w:t>
      </w:r>
      <w:r>
        <w:rPr>
          <w:spacing w:val="-2"/>
          <w:sz w:val="20"/>
          <w:vertAlign w:val="baseline"/>
        </w:rPr>
        <w:t> </w:t>
      </w:r>
      <w:r>
        <w:rPr>
          <w:sz w:val="20"/>
          <w:vertAlign w:val="baseline"/>
        </w:rPr>
        <w:t>Yeni</w:t>
      </w:r>
      <w:r>
        <w:rPr>
          <w:spacing w:val="-3"/>
          <w:sz w:val="20"/>
          <w:vertAlign w:val="baseline"/>
        </w:rPr>
        <w:t> </w:t>
      </w:r>
      <w:r>
        <w:rPr>
          <w:sz w:val="20"/>
          <w:vertAlign w:val="baseline"/>
        </w:rPr>
        <w:t>Putri</w:t>
      </w:r>
      <w:r>
        <w:rPr>
          <w:spacing w:val="-3"/>
          <w:sz w:val="20"/>
          <w:vertAlign w:val="baseline"/>
        </w:rPr>
        <w:t> </w:t>
      </w:r>
      <w:r>
        <w:rPr>
          <w:sz w:val="20"/>
          <w:vertAlign w:val="baseline"/>
        </w:rPr>
        <w:t>Nila</w:t>
      </w:r>
      <w:r>
        <w:rPr>
          <w:spacing w:val="-2"/>
          <w:sz w:val="20"/>
          <w:vertAlign w:val="baseline"/>
        </w:rPr>
        <w:t> </w:t>
      </w:r>
      <w:r>
        <w:rPr>
          <w:sz w:val="20"/>
          <w:vertAlign w:val="baseline"/>
        </w:rPr>
        <w:t>Sari,</w:t>
      </w:r>
      <w:r>
        <w:rPr>
          <w:spacing w:val="-2"/>
          <w:sz w:val="20"/>
          <w:vertAlign w:val="baseline"/>
        </w:rPr>
        <w:t> </w:t>
      </w:r>
      <w:r>
        <w:rPr>
          <w:sz w:val="20"/>
          <w:vertAlign w:val="baseline"/>
        </w:rPr>
        <w:t>‘Pengaruh</w:t>
      </w:r>
      <w:r>
        <w:rPr>
          <w:spacing w:val="-1"/>
          <w:sz w:val="20"/>
          <w:vertAlign w:val="baseline"/>
        </w:rPr>
        <w:t> </w:t>
      </w:r>
      <w:r>
        <w:rPr>
          <w:sz w:val="20"/>
          <w:vertAlign w:val="baseline"/>
        </w:rPr>
        <w:t>Nilai</w:t>
      </w:r>
      <w:r>
        <w:rPr>
          <w:spacing w:val="-2"/>
          <w:sz w:val="20"/>
          <w:vertAlign w:val="baseline"/>
        </w:rPr>
        <w:t> </w:t>
      </w:r>
      <w:r>
        <w:rPr>
          <w:sz w:val="20"/>
          <w:vertAlign w:val="baseline"/>
        </w:rPr>
        <w:t>Tukar</w:t>
      </w:r>
      <w:r>
        <w:rPr>
          <w:spacing w:val="-1"/>
          <w:sz w:val="20"/>
          <w:vertAlign w:val="baseline"/>
        </w:rPr>
        <w:t> </w:t>
      </w:r>
      <w:r>
        <w:rPr>
          <w:sz w:val="20"/>
          <w:vertAlign w:val="baseline"/>
        </w:rPr>
        <w:t>,</w:t>
      </w:r>
      <w:r>
        <w:rPr>
          <w:spacing w:val="-2"/>
          <w:sz w:val="20"/>
          <w:vertAlign w:val="baseline"/>
        </w:rPr>
        <w:t> </w:t>
      </w:r>
      <w:r>
        <w:rPr>
          <w:sz w:val="20"/>
          <w:vertAlign w:val="baseline"/>
        </w:rPr>
        <w:t>Suku</w:t>
      </w:r>
      <w:r>
        <w:rPr>
          <w:spacing w:val="-1"/>
          <w:sz w:val="20"/>
          <w:vertAlign w:val="baseline"/>
        </w:rPr>
        <w:t> </w:t>
      </w:r>
      <w:r>
        <w:rPr>
          <w:sz w:val="20"/>
          <w:vertAlign w:val="baseline"/>
        </w:rPr>
        <w:t>Bunga</w:t>
      </w:r>
      <w:r>
        <w:rPr>
          <w:spacing w:val="-2"/>
          <w:sz w:val="20"/>
          <w:vertAlign w:val="baseline"/>
        </w:rPr>
        <w:t> </w:t>
      </w:r>
      <w:r>
        <w:rPr>
          <w:sz w:val="20"/>
          <w:vertAlign w:val="baseline"/>
        </w:rPr>
        <w:t>,</w:t>
      </w:r>
      <w:r>
        <w:rPr>
          <w:spacing w:val="-4"/>
          <w:sz w:val="20"/>
          <w:vertAlign w:val="baseline"/>
        </w:rPr>
        <w:t> </w:t>
      </w:r>
      <w:r>
        <w:rPr>
          <w:sz w:val="20"/>
          <w:vertAlign w:val="baseline"/>
        </w:rPr>
        <w:t>Iflasi</w:t>
      </w:r>
      <w:r>
        <w:rPr>
          <w:spacing w:val="-3"/>
          <w:sz w:val="20"/>
          <w:vertAlign w:val="baseline"/>
        </w:rPr>
        <w:t> </w:t>
      </w:r>
      <w:r>
        <w:rPr>
          <w:sz w:val="20"/>
          <w:vertAlign w:val="baseline"/>
        </w:rPr>
        <w:t>Dan</w:t>
      </w:r>
      <w:r>
        <w:rPr>
          <w:spacing w:val="-1"/>
          <w:sz w:val="20"/>
          <w:vertAlign w:val="baseline"/>
        </w:rPr>
        <w:t> </w:t>
      </w:r>
      <w:r>
        <w:rPr>
          <w:sz w:val="20"/>
          <w:vertAlign w:val="baseline"/>
        </w:rPr>
        <w:t>Indeks</w:t>
      </w:r>
      <w:r>
        <w:rPr>
          <w:spacing w:val="-3"/>
          <w:sz w:val="20"/>
          <w:vertAlign w:val="baseline"/>
        </w:rPr>
        <w:t> </w:t>
      </w:r>
      <w:r>
        <w:rPr>
          <w:sz w:val="20"/>
          <w:vertAlign w:val="baseline"/>
        </w:rPr>
        <w:t>Produksi</w:t>
      </w:r>
      <w:r>
        <w:rPr>
          <w:spacing w:val="-3"/>
          <w:sz w:val="20"/>
          <w:vertAlign w:val="baseline"/>
        </w:rPr>
        <w:t> </w:t>
      </w:r>
      <w:r>
        <w:rPr>
          <w:sz w:val="20"/>
          <w:vertAlign w:val="baseline"/>
        </w:rPr>
        <w:t>Industri</w:t>
      </w:r>
      <w:r>
        <w:rPr>
          <w:spacing w:val="-3"/>
          <w:sz w:val="20"/>
          <w:vertAlign w:val="baseline"/>
        </w:rPr>
        <w:t> </w:t>
      </w:r>
      <w:r>
        <w:rPr>
          <w:sz w:val="20"/>
          <w:vertAlign w:val="baseline"/>
        </w:rPr>
        <w:t>(</w:t>
      </w:r>
      <w:r>
        <w:rPr>
          <w:spacing w:val="-1"/>
          <w:sz w:val="20"/>
          <w:vertAlign w:val="baseline"/>
        </w:rPr>
        <w:t> </w:t>
      </w:r>
      <w:r>
        <w:rPr>
          <w:sz w:val="20"/>
          <w:vertAlign w:val="baseline"/>
        </w:rPr>
        <w:t>IPI</w:t>
      </w:r>
      <w:r>
        <w:rPr>
          <w:spacing w:val="-2"/>
          <w:sz w:val="20"/>
          <w:vertAlign w:val="baseline"/>
        </w:rPr>
        <w:t> </w:t>
      </w:r>
      <w:r>
        <w:rPr>
          <w:sz w:val="20"/>
          <w:vertAlign w:val="baseline"/>
        </w:rPr>
        <w:t>) Terhadap</w:t>
      </w:r>
      <w:r>
        <w:rPr>
          <w:spacing w:val="-13"/>
          <w:sz w:val="20"/>
          <w:vertAlign w:val="baseline"/>
        </w:rPr>
        <w:t> </w:t>
      </w:r>
      <w:r>
        <w:rPr>
          <w:sz w:val="20"/>
          <w:vertAlign w:val="baseline"/>
        </w:rPr>
        <w:t>Nilai</w:t>
      </w:r>
      <w:r>
        <w:rPr>
          <w:spacing w:val="-12"/>
          <w:sz w:val="20"/>
          <w:vertAlign w:val="baseline"/>
        </w:rPr>
        <w:t> </w:t>
      </w:r>
      <w:r>
        <w:rPr>
          <w:sz w:val="20"/>
          <w:vertAlign w:val="baseline"/>
        </w:rPr>
        <w:t>Perusahaan</w:t>
      </w:r>
      <w:r>
        <w:rPr>
          <w:spacing w:val="-13"/>
          <w:sz w:val="20"/>
          <w:vertAlign w:val="baseline"/>
        </w:rPr>
        <w:t> </w:t>
      </w:r>
      <w:r>
        <w:rPr>
          <w:sz w:val="20"/>
          <w:vertAlign w:val="baseline"/>
        </w:rPr>
        <w:t>(</w:t>
      </w:r>
      <w:r>
        <w:rPr>
          <w:spacing w:val="-12"/>
          <w:sz w:val="20"/>
          <w:vertAlign w:val="baseline"/>
        </w:rPr>
        <w:t> </w:t>
      </w:r>
      <w:r>
        <w:rPr>
          <w:sz w:val="20"/>
          <w:vertAlign w:val="baseline"/>
        </w:rPr>
        <w:t>Studi</w:t>
      </w:r>
      <w:r>
        <w:rPr>
          <w:spacing w:val="-13"/>
          <w:sz w:val="20"/>
          <w:vertAlign w:val="baseline"/>
        </w:rPr>
        <w:t> </w:t>
      </w:r>
      <w:r>
        <w:rPr>
          <w:sz w:val="20"/>
          <w:vertAlign w:val="baseline"/>
        </w:rPr>
        <w:t>Empiris</w:t>
      </w:r>
      <w:r>
        <w:rPr>
          <w:spacing w:val="-12"/>
          <w:sz w:val="20"/>
          <w:vertAlign w:val="baseline"/>
        </w:rPr>
        <w:t> </w:t>
      </w:r>
      <w:r>
        <w:rPr>
          <w:sz w:val="20"/>
          <w:vertAlign w:val="baseline"/>
        </w:rPr>
        <w:t>Perusahaan</w:t>
      </w:r>
      <w:r>
        <w:rPr>
          <w:spacing w:val="-13"/>
          <w:sz w:val="20"/>
          <w:vertAlign w:val="baseline"/>
        </w:rPr>
        <w:t> </w:t>
      </w:r>
      <w:r>
        <w:rPr>
          <w:sz w:val="20"/>
          <w:vertAlign w:val="baseline"/>
        </w:rPr>
        <w:t>Sektor</w:t>
      </w:r>
      <w:r>
        <w:rPr>
          <w:spacing w:val="-12"/>
          <w:sz w:val="20"/>
          <w:vertAlign w:val="baseline"/>
        </w:rPr>
        <w:t> </w:t>
      </w:r>
      <w:r>
        <w:rPr>
          <w:sz w:val="20"/>
          <w:vertAlign w:val="baseline"/>
        </w:rPr>
        <w:t>Komoditas</w:t>
      </w:r>
      <w:r>
        <w:rPr>
          <w:spacing w:val="-13"/>
          <w:sz w:val="20"/>
          <w:vertAlign w:val="baseline"/>
        </w:rPr>
        <w:t> </w:t>
      </w:r>
      <w:r>
        <w:rPr>
          <w:sz w:val="20"/>
          <w:vertAlign w:val="baseline"/>
        </w:rPr>
        <w:t>Dan</w:t>
      </w:r>
      <w:r>
        <w:rPr>
          <w:spacing w:val="-12"/>
          <w:sz w:val="20"/>
          <w:vertAlign w:val="baseline"/>
        </w:rPr>
        <w:t> </w:t>
      </w:r>
      <w:r>
        <w:rPr>
          <w:sz w:val="20"/>
          <w:vertAlign w:val="baseline"/>
        </w:rPr>
        <w:t>Energi</w:t>
      </w:r>
      <w:r>
        <w:rPr>
          <w:spacing w:val="-13"/>
          <w:sz w:val="20"/>
          <w:vertAlign w:val="baseline"/>
        </w:rPr>
        <w:t> </w:t>
      </w:r>
      <w:r>
        <w:rPr>
          <w:sz w:val="20"/>
          <w:vertAlign w:val="baseline"/>
        </w:rPr>
        <w:t>Yang</w:t>
      </w:r>
      <w:r>
        <w:rPr>
          <w:spacing w:val="-12"/>
          <w:sz w:val="20"/>
          <w:vertAlign w:val="baseline"/>
        </w:rPr>
        <w:t> </w:t>
      </w:r>
      <w:r>
        <w:rPr>
          <w:sz w:val="20"/>
          <w:vertAlign w:val="baseline"/>
        </w:rPr>
        <w:t>Terdaftar</w:t>
      </w:r>
      <w:r>
        <w:rPr>
          <w:spacing w:val="-13"/>
          <w:sz w:val="20"/>
          <w:vertAlign w:val="baseline"/>
        </w:rPr>
        <w:t> </w:t>
      </w:r>
      <w:r>
        <w:rPr>
          <w:sz w:val="20"/>
          <w:vertAlign w:val="baseline"/>
        </w:rPr>
        <w:t>Pada</w:t>
      </w:r>
      <w:r>
        <w:rPr>
          <w:spacing w:val="-12"/>
          <w:sz w:val="20"/>
          <w:vertAlign w:val="baseline"/>
        </w:rPr>
        <w:t> </w:t>
      </w:r>
      <w:r>
        <w:rPr>
          <w:sz w:val="20"/>
          <w:vertAlign w:val="baseline"/>
        </w:rPr>
        <w:t>Indeks SRI-KEHATI Periode 2019-2023)’, 2025 &lt;https://doi.org/10.13140/RG.2.2.25905.29284&gt;.</w:t>
      </w:r>
    </w:p>
    <w:p>
      <w:pPr>
        <w:spacing w:after="0"/>
        <w:jc w:val="both"/>
        <w:rPr>
          <w:sz w:val="20"/>
        </w:rPr>
        <w:sectPr>
          <w:pgSz w:w="11910" w:h="16840"/>
          <w:pgMar w:header="0" w:footer="1000" w:top="1360" w:bottom="1200" w:left="1417" w:right="1275"/>
        </w:sectPr>
      </w:pPr>
    </w:p>
    <w:p>
      <w:pPr>
        <w:pStyle w:val="BodyText"/>
        <w:spacing w:line="360" w:lineRule="auto" w:before="60"/>
        <w:ind w:left="1823" w:right="158"/>
        <w:jc w:val="both"/>
      </w:pPr>
      <w:r>
        <w:rPr/>
        <w:t>sebagai pusat terorganisirnya pembeli dan penjual untuk bertransaksi serta melakukan</w:t>
      </w:r>
      <w:r>
        <w:rPr>
          <w:spacing w:val="-1"/>
        </w:rPr>
        <w:t> </w:t>
      </w:r>
      <w:r>
        <w:rPr/>
        <w:t>usaha.</w:t>
      </w:r>
      <w:r>
        <w:rPr>
          <w:spacing w:val="-1"/>
        </w:rPr>
        <w:t> </w:t>
      </w:r>
      <w:r>
        <w:rPr/>
        <w:t>Oleh</w:t>
      </w:r>
      <w:r>
        <w:rPr>
          <w:spacing w:val="-1"/>
        </w:rPr>
        <w:t> </w:t>
      </w:r>
      <w:r>
        <w:rPr/>
        <w:t>karena itu</w:t>
      </w:r>
      <w:r>
        <w:rPr>
          <w:spacing w:val="-1"/>
        </w:rPr>
        <w:t> </w:t>
      </w:r>
      <w:r>
        <w:rPr/>
        <w:t>adanya</w:t>
      </w:r>
      <w:r>
        <w:rPr>
          <w:spacing w:val="-2"/>
        </w:rPr>
        <w:t> </w:t>
      </w:r>
      <w:r>
        <w:rPr/>
        <w:t>pasar dapat menunjukkan</w:t>
      </w:r>
      <w:r>
        <w:rPr>
          <w:spacing w:val="-1"/>
        </w:rPr>
        <w:t> </w:t>
      </w:r>
      <w:r>
        <w:rPr/>
        <w:t>bahwa transaksi dilakukan secara langsung di tempat yang ditentukan antara pembeli dan penjual. Pasar adalah ruang atau tempat pertemuan. Namun, dalam definisi yang lebih luas, pasar adalah lokasi di mana pembeli dan penjual dapat melakukan kesepakatan dagang tanpa bertemu secara fisik. Teknologi informasi dan fasilitas informasi lain yang sudah ada dapat digunakan sebagai gantinya. Secara umum, pasar modal didefinisikan sebagai lokasi di mana pembeli dan penjual bertransaksi dalam rangka memperoleh dan menyerahkan modal. “Pasar aktual atau virtual yang menghubungkan pihak-pihak yang menyediakan dan meminta modal jangka</w:t>
      </w:r>
      <w:r>
        <w:rPr>
          <w:spacing w:val="-6"/>
        </w:rPr>
        <w:t> </w:t>
      </w:r>
      <w:r>
        <w:rPr/>
        <w:t>panjang</w:t>
      </w:r>
      <w:r>
        <w:rPr>
          <w:spacing w:val="-4"/>
        </w:rPr>
        <w:t> </w:t>
      </w:r>
      <w:r>
        <w:rPr/>
        <w:t>yaitu</w:t>
      </w:r>
      <w:r>
        <w:rPr>
          <w:spacing w:val="-4"/>
        </w:rPr>
        <w:t> </w:t>
      </w:r>
      <w:r>
        <w:rPr/>
        <w:t>modal</w:t>
      </w:r>
      <w:r>
        <w:rPr>
          <w:spacing w:val="-4"/>
        </w:rPr>
        <w:t> </w:t>
      </w:r>
      <w:r>
        <w:rPr/>
        <w:t>yang</w:t>
      </w:r>
      <w:r>
        <w:rPr>
          <w:spacing w:val="-4"/>
        </w:rPr>
        <w:t> </w:t>
      </w:r>
      <w:r>
        <w:rPr/>
        <w:t>jatuh</w:t>
      </w:r>
      <w:r>
        <w:rPr>
          <w:spacing w:val="-4"/>
        </w:rPr>
        <w:t> </w:t>
      </w:r>
      <w:r>
        <w:rPr/>
        <w:t>tempo</w:t>
      </w:r>
      <w:r>
        <w:rPr>
          <w:spacing w:val="-4"/>
        </w:rPr>
        <w:t> </w:t>
      </w:r>
      <w:r>
        <w:rPr/>
        <w:t>dalam</w:t>
      </w:r>
      <w:r>
        <w:rPr>
          <w:spacing w:val="-3"/>
        </w:rPr>
        <w:t> </w:t>
      </w:r>
      <w:r>
        <w:rPr/>
        <w:t>satu</w:t>
      </w:r>
      <w:r>
        <w:rPr>
          <w:spacing w:val="-4"/>
        </w:rPr>
        <w:t> </w:t>
      </w:r>
      <w:r>
        <w:rPr/>
        <w:t>tahun</w:t>
      </w:r>
      <w:r>
        <w:rPr>
          <w:spacing w:val="-4"/>
        </w:rPr>
        <w:t> </w:t>
      </w:r>
      <w:r>
        <w:rPr/>
        <w:t>atau</w:t>
      </w:r>
      <w:r>
        <w:rPr>
          <w:spacing w:val="-4"/>
        </w:rPr>
        <w:t> </w:t>
      </w:r>
      <w:r>
        <w:rPr/>
        <w:t>lebih”, demikian Kamus Pasar Modal mendefinisikan pasar modal. Para penawar termasuk pemerintah, perusahaan, dan anggota masyarakat; pihak yang berkepentingan</w:t>
      </w:r>
      <w:r>
        <w:rPr>
          <w:spacing w:val="-8"/>
        </w:rPr>
        <w:t> </w:t>
      </w:r>
      <w:r>
        <w:rPr/>
        <w:t>termasuk</w:t>
      </w:r>
      <w:r>
        <w:rPr>
          <w:spacing w:val="-8"/>
        </w:rPr>
        <w:t> </w:t>
      </w:r>
      <w:r>
        <w:rPr/>
        <w:t>lembaga</w:t>
      </w:r>
      <w:r>
        <w:rPr>
          <w:spacing w:val="-11"/>
        </w:rPr>
        <w:t> </w:t>
      </w:r>
      <w:r>
        <w:rPr/>
        <w:t>tabungan,</w:t>
      </w:r>
      <w:r>
        <w:rPr>
          <w:spacing w:val="-10"/>
        </w:rPr>
        <w:t> </w:t>
      </w:r>
      <w:r>
        <w:rPr/>
        <w:t>perusahaan</w:t>
      </w:r>
      <w:r>
        <w:rPr>
          <w:spacing w:val="-8"/>
        </w:rPr>
        <w:t> </w:t>
      </w:r>
      <w:r>
        <w:rPr/>
        <w:t>asuransi,</w:t>
      </w:r>
      <w:r>
        <w:rPr>
          <w:spacing w:val="-10"/>
        </w:rPr>
        <w:t> </w:t>
      </w:r>
      <w:r>
        <w:rPr/>
        <w:t>dan</w:t>
      </w:r>
      <w:r>
        <w:rPr>
          <w:spacing w:val="-10"/>
        </w:rPr>
        <w:t> </w:t>
      </w:r>
      <w:r>
        <w:rPr/>
        <w:t>dana </w:t>
      </w:r>
      <w:r>
        <w:rPr>
          <w:spacing w:val="-2"/>
        </w:rPr>
        <w:t>pensiun.</w:t>
      </w:r>
      <w:hyperlink w:history="true" w:anchor="_bookmark58">
        <w:r>
          <w:rPr>
            <w:spacing w:val="-2"/>
            <w:vertAlign w:val="superscript"/>
          </w:rPr>
          <w:t>36</w:t>
        </w:r>
      </w:hyperlink>
    </w:p>
    <w:p>
      <w:pPr>
        <w:pStyle w:val="BodyText"/>
        <w:spacing w:before="2"/>
        <w:ind w:left="2183"/>
        <w:jc w:val="both"/>
      </w:pPr>
      <w:r>
        <w:rPr/>
        <w:t>Fungsi</w:t>
      </w:r>
      <w:r>
        <w:rPr>
          <w:spacing w:val="-1"/>
        </w:rPr>
        <w:t> </w:t>
      </w:r>
      <w:r>
        <w:rPr/>
        <w:t>dan</w:t>
      </w:r>
      <w:r>
        <w:rPr>
          <w:spacing w:val="-1"/>
        </w:rPr>
        <w:t> </w:t>
      </w:r>
      <w:r>
        <w:rPr/>
        <w:t>manfaat</w:t>
      </w:r>
      <w:r>
        <w:rPr>
          <w:spacing w:val="-1"/>
        </w:rPr>
        <w:t> </w:t>
      </w:r>
      <w:r>
        <w:rPr/>
        <w:t>pasar</w:t>
      </w:r>
      <w:r>
        <w:rPr>
          <w:spacing w:val="-1"/>
        </w:rPr>
        <w:t> </w:t>
      </w:r>
      <w:r>
        <w:rPr>
          <w:spacing w:val="-2"/>
        </w:rPr>
        <w:t>modal:</w:t>
      </w:r>
      <w:hyperlink w:history="true" w:anchor="_bookmark59">
        <w:r>
          <w:rPr>
            <w:spacing w:val="-2"/>
            <w:vertAlign w:val="superscript"/>
          </w:rPr>
          <w:t>37</w:t>
        </w:r>
      </w:hyperlink>
    </w:p>
    <w:p>
      <w:pPr>
        <w:pStyle w:val="ListParagraph"/>
        <w:numPr>
          <w:ilvl w:val="3"/>
          <w:numId w:val="12"/>
        </w:numPr>
        <w:tabs>
          <w:tab w:pos="2544" w:val="left" w:leader="none"/>
        </w:tabs>
        <w:spacing w:line="360" w:lineRule="auto" w:before="137" w:after="0"/>
        <w:ind w:left="2544" w:right="164" w:hanging="361"/>
        <w:jc w:val="both"/>
        <w:rPr>
          <w:sz w:val="24"/>
        </w:rPr>
      </w:pPr>
      <w:r>
        <w:rPr>
          <w:sz w:val="24"/>
        </w:rPr>
        <w:t>Pasar modal berfungsi sebagai sarana untuk memperoleh modal guna</w:t>
      </w:r>
      <w:r>
        <w:rPr>
          <w:spacing w:val="-13"/>
          <w:sz w:val="24"/>
        </w:rPr>
        <w:t> </w:t>
      </w:r>
      <w:r>
        <w:rPr>
          <w:sz w:val="24"/>
        </w:rPr>
        <w:t>membiayai</w:t>
      </w:r>
      <w:r>
        <w:rPr>
          <w:spacing w:val="-12"/>
          <w:sz w:val="24"/>
        </w:rPr>
        <w:t> </w:t>
      </w:r>
      <w:r>
        <w:rPr>
          <w:sz w:val="24"/>
        </w:rPr>
        <w:t>perusahaan</w:t>
      </w:r>
      <w:r>
        <w:rPr>
          <w:spacing w:val="-12"/>
          <w:sz w:val="24"/>
        </w:rPr>
        <w:t> </w:t>
      </w:r>
      <w:r>
        <w:rPr>
          <w:sz w:val="24"/>
        </w:rPr>
        <w:t>dalam</w:t>
      </w:r>
      <w:r>
        <w:rPr>
          <w:spacing w:val="-12"/>
          <w:sz w:val="24"/>
        </w:rPr>
        <w:t> </w:t>
      </w:r>
      <w:r>
        <w:rPr>
          <w:sz w:val="24"/>
        </w:rPr>
        <w:t>pendistribusian</w:t>
      </w:r>
      <w:r>
        <w:rPr>
          <w:spacing w:val="-12"/>
          <w:sz w:val="24"/>
        </w:rPr>
        <w:t> </w:t>
      </w:r>
      <w:r>
        <w:rPr>
          <w:sz w:val="24"/>
        </w:rPr>
        <w:t>aset</w:t>
      </w:r>
      <w:r>
        <w:rPr>
          <w:spacing w:val="-12"/>
          <w:sz w:val="24"/>
        </w:rPr>
        <w:t> </w:t>
      </w:r>
      <w:r>
        <w:rPr>
          <w:sz w:val="24"/>
        </w:rPr>
        <w:t>yang</w:t>
      </w:r>
      <w:r>
        <w:rPr>
          <w:spacing w:val="-12"/>
          <w:sz w:val="24"/>
        </w:rPr>
        <w:t> </w:t>
      </w:r>
      <w:r>
        <w:rPr>
          <w:sz w:val="24"/>
        </w:rPr>
        <w:t>efektif dan efisien.</w:t>
      </w:r>
    </w:p>
    <w:p>
      <w:pPr>
        <w:pStyle w:val="ListParagraph"/>
        <w:numPr>
          <w:ilvl w:val="3"/>
          <w:numId w:val="12"/>
        </w:numPr>
        <w:tabs>
          <w:tab w:pos="2544" w:val="left" w:leader="none"/>
        </w:tabs>
        <w:spacing w:line="360" w:lineRule="auto" w:before="2" w:after="0"/>
        <w:ind w:left="2544" w:right="164" w:hanging="361"/>
        <w:jc w:val="both"/>
        <w:rPr>
          <w:sz w:val="24"/>
        </w:rPr>
      </w:pPr>
      <w:r>
        <w:rPr>
          <w:sz w:val="24"/>
        </w:rPr>
        <w:t>Pasar modal memfasilitasi perluasan sektor ekonomi dengan mempermudah perusahaan memperoleh modal. Hal ini mendorong perkembangan ekonomi nasional yang lebih canggih, yang </w:t>
      </w:r>
      <w:r>
        <w:rPr>
          <w:sz w:val="24"/>
        </w:rPr>
        <w:t>pada gilirannya mengarah pada penciptaan banyak peluang kerja dan peningkatan pendapatan pajak pemerintah.</w:t>
      </w:r>
    </w:p>
    <w:p>
      <w:pPr>
        <w:pStyle w:val="ListParagraph"/>
        <w:numPr>
          <w:ilvl w:val="3"/>
          <w:numId w:val="12"/>
        </w:numPr>
        <w:tabs>
          <w:tab w:pos="2544" w:val="left" w:leader="none"/>
        </w:tabs>
        <w:spacing w:line="360" w:lineRule="auto" w:before="0" w:after="0"/>
        <w:ind w:left="2544" w:right="165" w:hanging="361"/>
        <w:jc w:val="both"/>
        <w:rPr>
          <w:sz w:val="24"/>
        </w:rPr>
      </w:pPr>
      <w:r>
        <w:rPr>
          <w:sz w:val="24"/>
        </w:rPr>
        <w:t>Dengan berinvestasi dalam jangka panjang seperti saham, obligasi, dan lain-lain, pasar modal berfungsi sebagai penghubung </w:t>
      </w:r>
      <w:r>
        <w:rPr>
          <w:sz w:val="24"/>
        </w:rPr>
        <w:t>antara investor dan perusahaan atau lembaga pemerintah.</w:t>
      </w:r>
    </w:p>
    <w:p>
      <w:pPr>
        <w:pStyle w:val="BodyText"/>
        <w:rPr>
          <w:sz w:val="20"/>
        </w:rPr>
      </w:pPr>
    </w:p>
    <w:p>
      <w:pPr>
        <w:pStyle w:val="BodyText"/>
        <w:rPr>
          <w:sz w:val="20"/>
        </w:rPr>
      </w:pPr>
    </w:p>
    <w:p>
      <w:pPr>
        <w:pStyle w:val="BodyText"/>
        <w:spacing w:before="158"/>
        <w:rPr>
          <w:sz w:val="20"/>
        </w:rPr>
      </w:pPr>
      <w:r>
        <w:rPr>
          <w:sz w:val="20"/>
        </w:rPr>
        <mc:AlternateContent>
          <mc:Choice Requires="wps">
            <w:drawing>
              <wp:anchor distT="0" distB="0" distL="0" distR="0" allowOverlap="1" layoutInCell="1" locked="0" behindDoc="1" simplePos="0" relativeHeight="487598592">
                <wp:simplePos x="0" y="0"/>
                <wp:positionH relativeFrom="page">
                  <wp:posOffset>914704</wp:posOffset>
                </wp:positionH>
                <wp:positionV relativeFrom="paragraph">
                  <wp:posOffset>262135</wp:posOffset>
                </wp:positionV>
                <wp:extent cx="1829435" cy="9525"/>
                <wp:effectExtent l="0" t="0" r="0" b="0"/>
                <wp:wrapTopAndBottom/>
                <wp:docPr id="258" name="Graphic 258"/>
                <wp:cNvGraphicFramePr>
                  <a:graphicFrameLocks/>
                </wp:cNvGraphicFramePr>
                <a:graphic>
                  <a:graphicData uri="http://schemas.microsoft.com/office/word/2010/wordprocessingShape">
                    <wps:wsp>
                      <wps:cNvPr id="258" name="Graphic 25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640556pt;width:144.020pt;height:.72003pt;mso-position-horizontal-relative:page;mso-position-vertical-relative:paragraph;z-index:-15717888;mso-wrap-distance-left:0;mso-wrap-distance-right:0" id="docshape230" filled="true" fillcolor="#000000" stroked="false">
                <v:fill type="solid"/>
                <w10:wrap type="topAndBottom"/>
              </v:rect>
            </w:pict>
          </mc:Fallback>
        </mc:AlternateContent>
      </w:r>
    </w:p>
    <w:p>
      <w:pPr>
        <w:spacing w:before="101"/>
        <w:ind w:left="23" w:right="159" w:firstLine="719"/>
        <w:jc w:val="left"/>
        <w:rPr>
          <w:sz w:val="20"/>
        </w:rPr>
      </w:pPr>
      <w:bookmarkStart w:name="_bookmark58" w:id="59"/>
      <w:bookmarkEnd w:id="59"/>
      <w:r>
        <w:rPr/>
      </w:r>
      <w:r>
        <w:rPr>
          <w:sz w:val="20"/>
          <w:vertAlign w:val="superscript"/>
        </w:rPr>
        <w:t>36</w:t>
      </w:r>
      <w:r>
        <w:rPr>
          <w:spacing w:val="-13"/>
          <w:sz w:val="20"/>
          <w:vertAlign w:val="baseline"/>
        </w:rPr>
        <w:t> </w:t>
      </w:r>
      <w:r>
        <w:rPr>
          <w:sz w:val="20"/>
          <w:vertAlign w:val="baseline"/>
        </w:rPr>
        <w:t>Soibatul</w:t>
      </w:r>
      <w:r>
        <w:rPr>
          <w:spacing w:val="-12"/>
          <w:sz w:val="20"/>
          <w:vertAlign w:val="baseline"/>
        </w:rPr>
        <w:t> </w:t>
      </w:r>
      <w:r>
        <w:rPr>
          <w:sz w:val="20"/>
          <w:vertAlign w:val="baseline"/>
        </w:rPr>
        <w:t>Aslamia</w:t>
      </w:r>
      <w:r>
        <w:rPr>
          <w:spacing w:val="-12"/>
          <w:sz w:val="20"/>
          <w:vertAlign w:val="baseline"/>
        </w:rPr>
        <w:t> </w:t>
      </w:r>
      <w:r>
        <w:rPr>
          <w:sz w:val="20"/>
          <w:vertAlign w:val="baseline"/>
        </w:rPr>
        <w:t>Nasution</w:t>
      </w:r>
      <w:r>
        <w:rPr>
          <w:spacing w:val="-12"/>
          <w:sz w:val="20"/>
          <w:vertAlign w:val="baseline"/>
        </w:rPr>
        <w:t> </w:t>
      </w:r>
      <w:r>
        <w:rPr>
          <w:sz w:val="20"/>
          <w:vertAlign w:val="baseline"/>
        </w:rPr>
        <w:t>and</w:t>
      </w:r>
      <w:r>
        <w:rPr>
          <w:spacing w:val="-12"/>
          <w:sz w:val="20"/>
          <w:vertAlign w:val="baseline"/>
        </w:rPr>
        <w:t> </w:t>
      </w:r>
      <w:r>
        <w:rPr>
          <w:sz w:val="20"/>
          <w:vertAlign w:val="baseline"/>
        </w:rPr>
        <w:t>others,</w:t>
      </w:r>
      <w:r>
        <w:rPr>
          <w:spacing w:val="-12"/>
          <w:sz w:val="20"/>
          <w:vertAlign w:val="baseline"/>
        </w:rPr>
        <w:t> </w:t>
      </w:r>
      <w:r>
        <w:rPr>
          <w:sz w:val="20"/>
          <w:vertAlign w:val="baseline"/>
        </w:rPr>
        <w:t>‘Efektivitas</w:t>
      </w:r>
      <w:r>
        <w:rPr>
          <w:spacing w:val="-13"/>
          <w:sz w:val="20"/>
          <w:vertAlign w:val="baseline"/>
        </w:rPr>
        <w:t> </w:t>
      </w:r>
      <w:r>
        <w:rPr>
          <w:sz w:val="20"/>
          <w:vertAlign w:val="baseline"/>
        </w:rPr>
        <w:t>Galeri</w:t>
      </w:r>
      <w:r>
        <w:rPr>
          <w:spacing w:val="-12"/>
          <w:sz w:val="20"/>
          <w:vertAlign w:val="baseline"/>
        </w:rPr>
        <w:t> </w:t>
      </w:r>
      <w:r>
        <w:rPr>
          <w:sz w:val="20"/>
          <w:vertAlign w:val="baseline"/>
        </w:rPr>
        <w:t>Investasi</w:t>
      </w:r>
      <w:r>
        <w:rPr>
          <w:spacing w:val="-13"/>
          <w:sz w:val="20"/>
          <w:vertAlign w:val="baseline"/>
        </w:rPr>
        <w:t> </w:t>
      </w:r>
      <w:r>
        <w:rPr>
          <w:sz w:val="20"/>
          <w:vertAlign w:val="baseline"/>
        </w:rPr>
        <w:t>Syariah</w:t>
      </w:r>
      <w:r>
        <w:rPr>
          <w:spacing w:val="-10"/>
          <w:sz w:val="20"/>
          <w:vertAlign w:val="baseline"/>
        </w:rPr>
        <w:t> </w:t>
      </w:r>
      <w:r>
        <w:rPr>
          <w:sz w:val="20"/>
          <w:vertAlign w:val="baseline"/>
        </w:rPr>
        <w:t>Bursa</w:t>
      </w:r>
      <w:r>
        <w:rPr>
          <w:spacing w:val="-12"/>
          <w:sz w:val="20"/>
          <w:vertAlign w:val="baseline"/>
        </w:rPr>
        <w:t> </w:t>
      </w:r>
      <w:r>
        <w:rPr>
          <w:sz w:val="20"/>
          <w:vertAlign w:val="baseline"/>
        </w:rPr>
        <w:t>Efek</w:t>
      </w:r>
      <w:r>
        <w:rPr>
          <w:spacing w:val="-11"/>
          <w:sz w:val="20"/>
          <w:vertAlign w:val="baseline"/>
        </w:rPr>
        <w:t> </w:t>
      </w:r>
      <w:r>
        <w:rPr>
          <w:sz w:val="20"/>
          <w:vertAlign w:val="baseline"/>
        </w:rPr>
        <w:t>Indonesia</w:t>
      </w:r>
      <w:r>
        <w:rPr>
          <w:spacing w:val="-13"/>
          <w:sz w:val="20"/>
          <w:vertAlign w:val="baseline"/>
        </w:rPr>
        <w:t> </w:t>
      </w:r>
      <w:r>
        <w:rPr>
          <w:sz w:val="20"/>
          <w:vertAlign w:val="baseline"/>
        </w:rPr>
        <w:t>(GIS </w:t>
      </w:r>
      <w:r>
        <w:rPr>
          <w:spacing w:val="-2"/>
          <w:sz w:val="20"/>
          <w:vertAlign w:val="baseline"/>
        </w:rPr>
        <w:t>BEI)</w:t>
      </w:r>
      <w:r>
        <w:rPr>
          <w:spacing w:val="-4"/>
          <w:sz w:val="20"/>
          <w:vertAlign w:val="baseline"/>
        </w:rPr>
        <w:t> </w:t>
      </w:r>
      <w:r>
        <w:rPr>
          <w:spacing w:val="-2"/>
          <w:sz w:val="20"/>
          <w:vertAlign w:val="baseline"/>
        </w:rPr>
        <w:t>UINSU</w:t>
      </w:r>
      <w:r>
        <w:rPr>
          <w:spacing w:val="-4"/>
          <w:sz w:val="20"/>
          <w:vertAlign w:val="baseline"/>
        </w:rPr>
        <w:t> </w:t>
      </w:r>
      <w:r>
        <w:rPr>
          <w:spacing w:val="-2"/>
          <w:sz w:val="20"/>
          <w:vertAlign w:val="baseline"/>
        </w:rPr>
        <w:t>Medan</w:t>
      </w:r>
      <w:r>
        <w:rPr>
          <w:spacing w:val="-4"/>
          <w:sz w:val="20"/>
          <w:vertAlign w:val="baseline"/>
        </w:rPr>
        <w:t> </w:t>
      </w:r>
      <w:r>
        <w:rPr>
          <w:spacing w:val="-2"/>
          <w:sz w:val="20"/>
          <w:vertAlign w:val="baseline"/>
        </w:rPr>
        <w:t>Dalam</w:t>
      </w:r>
      <w:r>
        <w:rPr>
          <w:spacing w:val="-3"/>
          <w:sz w:val="20"/>
          <w:vertAlign w:val="baseline"/>
        </w:rPr>
        <w:t> </w:t>
      </w:r>
      <w:r>
        <w:rPr>
          <w:spacing w:val="-2"/>
          <w:sz w:val="20"/>
          <w:vertAlign w:val="baseline"/>
        </w:rPr>
        <w:t>Meningkatkan</w:t>
      </w:r>
      <w:r>
        <w:rPr>
          <w:spacing w:val="-4"/>
          <w:sz w:val="20"/>
          <w:vertAlign w:val="baseline"/>
        </w:rPr>
        <w:t> </w:t>
      </w:r>
      <w:r>
        <w:rPr>
          <w:spacing w:val="-2"/>
          <w:sz w:val="20"/>
          <w:vertAlign w:val="baseline"/>
        </w:rPr>
        <w:t>Literasi</w:t>
      </w:r>
      <w:r>
        <w:rPr>
          <w:spacing w:val="-4"/>
          <w:sz w:val="20"/>
          <w:vertAlign w:val="baseline"/>
        </w:rPr>
        <w:t> </w:t>
      </w:r>
      <w:r>
        <w:rPr>
          <w:spacing w:val="-2"/>
          <w:sz w:val="20"/>
          <w:vertAlign w:val="baseline"/>
        </w:rPr>
        <w:t>Pasar</w:t>
      </w:r>
      <w:r>
        <w:rPr>
          <w:spacing w:val="-5"/>
          <w:sz w:val="20"/>
          <w:vertAlign w:val="baseline"/>
        </w:rPr>
        <w:t> </w:t>
      </w:r>
      <w:r>
        <w:rPr>
          <w:spacing w:val="-2"/>
          <w:sz w:val="20"/>
          <w:vertAlign w:val="baseline"/>
        </w:rPr>
        <w:t>Modal’,</w:t>
      </w:r>
      <w:r>
        <w:rPr>
          <w:spacing w:val="1"/>
          <w:sz w:val="20"/>
          <w:vertAlign w:val="baseline"/>
        </w:rPr>
        <w:t> </w:t>
      </w:r>
      <w:r>
        <w:rPr>
          <w:i/>
          <w:spacing w:val="-2"/>
          <w:sz w:val="20"/>
          <w:vertAlign w:val="baseline"/>
        </w:rPr>
        <w:t>El-Mal:</w:t>
      </w:r>
      <w:r>
        <w:rPr>
          <w:i/>
          <w:spacing w:val="-5"/>
          <w:sz w:val="20"/>
          <w:vertAlign w:val="baseline"/>
        </w:rPr>
        <w:t> </w:t>
      </w:r>
      <w:r>
        <w:rPr>
          <w:i/>
          <w:spacing w:val="-2"/>
          <w:sz w:val="20"/>
          <w:vertAlign w:val="baseline"/>
        </w:rPr>
        <w:t>Jurnal</w:t>
      </w:r>
      <w:r>
        <w:rPr>
          <w:i/>
          <w:spacing w:val="-5"/>
          <w:sz w:val="20"/>
          <w:vertAlign w:val="baseline"/>
        </w:rPr>
        <w:t> </w:t>
      </w:r>
      <w:r>
        <w:rPr>
          <w:i/>
          <w:spacing w:val="-2"/>
          <w:sz w:val="20"/>
          <w:vertAlign w:val="baseline"/>
        </w:rPr>
        <w:t>Kajian</w:t>
      </w:r>
      <w:r>
        <w:rPr>
          <w:i/>
          <w:spacing w:val="-5"/>
          <w:sz w:val="20"/>
          <w:vertAlign w:val="baseline"/>
        </w:rPr>
        <w:t> </w:t>
      </w:r>
      <w:r>
        <w:rPr>
          <w:i/>
          <w:spacing w:val="-2"/>
          <w:sz w:val="20"/>
          <w:vertAlign w:val="baseline"/>
        </w:rPr>
        <w:t>Ekonomi</w:t>
      </w:r>
      <w:r>
        <w:rPr>
          <w:i/>
          <w:spacing w:val="-5"/>
          <w:sz w:val="20"/>
          <w:vertAlign w:val="baseline"/>
        </w:rPr>
        <w:t> </w:t>
      </w:r>
      <w:r>
        <w:rPr>
          <w:i/>
          <w:spacing w:val="-2"/>
          <w:sz w:val="20"/>
          <w:vertAlign w:val="baseline"/>
        </w:rPr>
        <w:t>&amp;</w:t>
      </w:r>
      <w:r>
        <w:rPr>
          <w:i/>
          <w:spacing w:val="-5"/>
          <w:sz w:val="20"/>
          <w:vertAlign w:val="baseline"/>
        </w:rPr>
        <w:t> </w:t>
      </w:r>
      <w:r>
        <w:rPr>
          <w:i/>
          <w:spacing w:val="-2"/>
          <w:sz w:val="20"/>
          <w:vertAlign w:val="baseline"/>
        </w:rPr>
        <w:t>Bisnis</w:t>
      </w:r>
      <w:r>
        <w:rPr>
          <w:i/>
          <w:spacing w:val="-4"/>
          <w:sz w:val="20"/>
          <w:vertAlign w:val="baseline"/>
        </w:rPr>
        <w:t> </w:t>
      </w:r>
      <w:r>
        <w:rPr>
          <w:i/>
          <w:spacing w:val="-2"/>
          <w:sz w:val="20"/>
          <w:vertAlign w:val="baseline"/>
        </w:rPr>
        <w:t>Islam</w:t>
      </w:r>
      <w:r>
        <w:rPr>
          <w:spacing w:val="-2"/>
          <w:sz w:val="20"/>
          <w:vertAlign w:val="baseline"/>
        </w:rPr>
        <w:t>,</w:t>
      </w:r>
    </w:p>
    <w:p>
      <w:pPr>
        <w:spacing w:line="228" w:lineRule="exact" w:before="0"/>
        <w:ind w:left="23" w:right="0" w:firstLine="0"/>
        <w:jc w:val="left"/>
        <w:rPr>
          <w:sz w:val="20"/>
        </w:rPr>
      </w:pPr>
      <w:r>
        <w:rPr>
          <w:sz w:val="20"/>
        </w:rPr>
        <w:t>4.3</w:t>
      </w:r>
      <w:r>
        <w:rPr>
          <w:spacing w:val="-4"/>
          <w:sz w:val="20"/>
        </w:rPr>
        <w:t> </w:t>
      </w:r>
      <w:r>
        <w:rPr>
          <w:sz w:val="20"/>
        </w:rPr>
        <w:t>(2023),</w:t>
      </w:r>
      <w:r>
        <w:rPr>
          <w:spacing w:val="-4"/>
          <w:sz w:val="20"/>
        </w:rPr>
        <w:t> </w:t>
      </w:r>
      <w:r>
        <w:rPr>
          <w:sz w:val="20"/>
        </w:rPr>
        <w:t>548–59</w:t>
      </w:r>
      <w:r>
        <w:rPr>
          <w:spacing w:val="-4"/>
          <w:sz w:val="20"/>
        </w:rPr>
        <w:t> </w:t>
      </w:r>
      <w:r>
        <w:rPr>
          <w:spacing w:val="-2"/>
          <w:sz w:val="20"/>
        </w:rPr>
        <w:t>&lt;https://doi.org/10.47467/elmal.v4i3.1931&gt;.</w:t>
      </w:r>
    </w:p>
    <w:p>
      <w:pPr>
        <w:spacing w:before="0"/>
        <w:ind w:left="23" w:right="0" w:firstLine="719"/>
        <w:jc w:val="left"/>
        <w:rPr>
          <w:sz w:val="20"/>
        </w:rPr>
      </w:pPr>
      <w:bookmarkStart w:name="_bookmark59" w:id="60"/>
      <w:bookmarkEnd w:id="60"/>
      <w:r>
        <w:rPr/>
      </w:r>
      <w:r>
        <w:rPr>
          <w:sz w:val="20"/>
          <w:vertAlign w:val="superscript"/>
        </w:rPr>
        <w:t>37</w:t>
      </w:r>
      <w:r>
        <w:rPr>
          <w:spacing w:val="40"/>
          <w:sz w:val="20"/>
          <w:vertAlign w:val="baseline"/>
        </w:rPr>
        <w:t> </w:t>
      </w:r>
      <w:r>
        <w:rPr>
          <w:sz w:val="20"/>
          <w:vertAlign w:val="baseline"/>
        </w:rPr>
        <w:t>Fitria</w:t>
      </w:r>
      <w:r>
        <w:rPr>
          <w:spacing w:val="40"/>
          <w:sz w:val="20"/>
          <w:vertAlign w:val="baseline"/>
        </w:rPr>
        <w:t> </w:t>
      </w:r>
      <w:r>
        <w:rPr>
          <w:sz w:val="20"/>
          <w:vertAlign w:val="baseline"/>
        </w:rPr>
        <w:t>Puteri</w:t>
      </w:r>
      <w:r>
        <w:rPr>
          <w:spacing w:val="40"/>
          <w:sz w:val="20"/>
          <w:vertAlign w:val="baseline"/>
        </w:rPr>
        <w:t> </w:t>
      </w:r>
      <w:r>
        <w:rPr>
          <w:sz w:val="20"/>
          <w:vertAlign w:val="baseline"/>
        </w:rPr>
        <w:t>Sholikah,</w:t>
      </w:r>
      <w:r>
        <w:rPr>
          <w:spacing w:val="38"/>
          <w:sz w:val="20"/>
          <w:vertAlign w:val="baseline"/>
        </w:rPr>
        <w:t> </w:t>
      </w:r>
      <w:r>
        <w:rPr>
          <w:sz w:val="20"/>
          <w:vertAlign w:val="baseline"/>
        </w:rPr>
        <w:t>Windi</w:t>
      </w:r>
      <w:r>
        <w:rPr>
          <w:spacing w:val="40"/>
          <w:sz w:val="20"/>
          <w:vertAlign w:val="baseline"/>
        </w:rPr>
        <w:t> </w:t>
      </w:r>
      <w:r>
        <w:rPr>
          <w:sz w:val="20"/>
          <w:vertAlign w:val="baseline"/>
        </w:rPr>
        <w:t>Putri,</w:t>
      </w:r>
      <w:r>
        <w:rPr>
          <w:spacing w:val="40"/>
          <w:sz w:val="20"/>
          <w:vertAlign w:val="baseline"/>
        </w:rPr>
        <w:t> </w:t>
      </w:r>
      <w:r>
        <w:rPr>
          <w:sz w:val="20"/>
          <w:vertAlign w:val="baseline"/>
        </w:rPr>
        <w:t>and</w:t>
      </w:r>
      <w:r>
        <w:rPr>
          <w:spacing w:val="40"/>
          <w:sz w:val="20"/>
          <w:vertAlign w:val="baseline"/>
        </w:rPr>
        <w:t> </w:t>
      </w:r>
      <w:r>
        <w:rPr>
          <w:sz w:val="20"/>
          <w:vertAlign w:val="baseline"/>
        </w:rPr>
        <w:t>Rosalinda</w:t>
      </w:r>
      <w:r>
        <w:rPr>
          <w:spacing w:val="40"/>
          <w:sz w:val="20"/>
          <w:vertAlign w:val="baseline"/>
        </w:rPr>
        <w:t> </w:t>
      </w:r>
      <w:r>
        <w:rPr>
          <w:sz w:val="20"/>
          <w:vertAlign w:val="baseline"/>
        </w:rPr>
        <w:t>Maria</w:t>
      </w:r>
      <w:r>
        <w:rPr>
          <w:spacing w:val="40"/>
          <w:sz w:val="20"/>
          <w:vertAlign w:val="baseline"/>
        </w:rPr>
        <w:t> </w:t>
      </w:r>
      <w:r>
        <w:rPr>
          <w:sz w:val="20"/>
          <w:vertAlign w:val="baseline"/>
        </w:rPr>
        <w:t>Djangi,</w:t>
      </w:r>
      <w:r>
        <w:rPr>
          <w:spacing w:val="40"/>
          <w:sz w:val="20"/>
          <w:vertAlign w:val="baseline"/>
        </w:rPr>
        <w:t> </w:t>
      </w:r>
      <w:r>
        <w:rPr>
          <w:sz w:val="20"/>
          <w:vertAlign w:val="baseline"/>
        </w:rPr>
        <w:t>‘Peranan</w:t>
      </w:r>
      <w:r>
        <w:rPr>
          <w:spacing w:val="40"/>
          <w:sz w:val="20"/>
          <w:vertAlign w:val="baseline"/>
        </w:rPr>
        <w:t> </w:t>
      </w:r>
      <w:r>
        <w:rPr>
          <w:sz w:val="20"/>
          <w:vertAlign w:val="baseline"/>
        </w:rPr>
        <w:t>Pasar</w:t>
      </w:r>
      <w:r>
        <w:rPr>
          <w:spacing w:val="40"/>
          <w:sz w:val="20"/>
          <w:vertAlign w:val="baseline"/>
        </w:rPr>
        <w:t> </w:t>
      </w:r>
      <w:r>
        <w:rPr>
          <w:sz w:val="20"/>
          <w:vertAlign w:val="baseline"/>
        </w:rPr>
        <w:t>Modal</w:t>
      </w:r>
      <w:r>
        <w:rPr>
          <w:spacing w:val="40"/>
          <w:sz w:val="20"/>
          <w:vertAlign w:val="baseline"/>
        </w:rPr>
        <w:t> </w:t>
      </w:r>
      <w:r>
        <w:rPr>
          <w:sz w:val="20"/>
          <w:vertAlign w:val="baseline"/>
        </w:rPr>
        <w:t>Dalam Perekonomian</w:t>
      </w:r>
      <w:r>
        <w:rPr>
          <w:spacing w:val="32"/>
          <w:sz w:val="20"/>
          <w:vertAlign w:val="baseline"/>
        </w:rPr>
        <w:t> </w:t>
      </w:r>
      <w:r>
        <w:rPr>
          <w:sz w:val="20"/>
          <w:vertAlign w:val="baseline"/>
        </w:rPr>
        <w:t>Negara</w:t>
      </w:r>
      <w:r>
        <w:rPr>
          <w:spacing w:val="31"/>
          <w:sz w:val="20"/>
          <w:vertAlign w:val="baseline"/>
        </w:rPr>
        <w:t> </w:t>
      </w:r>
      <w:r>
        <w:rPr>
          <w:sz w:val="20"/>
          <w:vertAlign w:val="baseline"/>
        </w:rPr>
        <w:t>Indonesia’,</w:t>
      </w:r>
      <w:r>
        <w:rPr>
          <w:spacing w:val="35"/>
          <w:sz w:val="20"/>
          <w:vertAlign w:val="baseline"/>
        </w:rPr>
        <w:t> </w:t>
      </w:r>
      <w:r>
        <w:rPr>
          <w:i/>
          <w:sz w:val="20"/>
          <w:vertAlign w:val="baseline"/>
        </w:rPr>
        <w:t>ARBITRASE:</w:t>
      </w:r>
      <w:r>
        <w:rPr>
          <w:i/>
          <w:spacing w:val="33"/>
          <w:sz w:val="20"/>
          <w:vertAlign w:val="baseline"/>
        </w:rPr>
        <w:t> </w:t>
      </w:r>
      <w:r>
        <w:rPr>
          <w:i/>
          <w:sz w:val="20"/>
          <w:vertAlign w:val="baseline"/>
        </w:rPr>
        <w:t>Journal</w:t>
      </w:r>
      <w:r>
        <w:rPr>
          <w:i/>
          <w:spacing w:val="30"/>
          <w:sz w:val="20"/>
          <w:vertAlign w:val="baseline"/>
        </w:rPr>
        <w:t> </w:t>
      </w:r>
      <w:r>
        <w:rPr>
          <w:i/>
          <w:sz w:val="20"/>
          <w:vertAlign w:val="baseline"/>
        </w:rPr>
        <w:t>of</w:t>
      </w:r>
      <w:r>
        <w:rPr>
          <w:i/>
          <w:spacing w:val="32"/>
          <w:sz w:val="20"/>
          <w:vertAlign w:val="baseline"/>
        </w:rPr>
        <w:t> </w:t>
      </w:r>
      <w:r>
        <w:rPr>
          <w:i/>
          <w:sz w:val="20"/>
          <w:vertAlign w:val="baseline"/>
        </w:rPr>
        <w:t>Economics</w:t>
      </w:r>
      <w:r>
        <w:rPr>
          <w:i/>
          <w:spacing w:val="32"/>
          <w:sz w:val="20"/>
          <w:vertAlign w:val="baseline"/>
        </w:rPr>
        <w:t> </w:t>
      </w:r>
      <w:r>
        <w:rPr>
          <w:i/>
          <w:sz w:val="20"/>
          <w:vertAlign w:val="baseline"/>
        </w:rPr>
        <w:t>and</w:t>
      </w:r>
      <w:r>
        <w:rPr>
          <w:i/>
          <w:spacing w:val="33"/>
          <w:sz w:val="20"/>
          <w:vertAlign w:val="baseline"/>
        </w:rPr>
        <w:t> </w:t>
      </w:r>
      <w:r>
        <w:rPr>
          <w:i/>
          <w:sz w:val="20"/>
          <w:vertAlign w:val="baseline"/>
        </w:rPr>
        <w:t>Accounting</w:t>
      </w:r>
      <w:r>
        <w:rPr>
          <w:sz w:val="20"/>
          <w:vertAlign w:val="baseline"/>
        </w:rPr>
        <w:t>,</w:t>
      </w:r>
      <w:r>
        <w:rPr>
          <w:spacing w:val="33"/>
          <w:sz w:val="20"/>
          <w:vertAlign w:val="baseline"/>
        </w:rPr>
        <w:t> </w:t>
      </w:r>
      <w:r>
        <w:rPr>
          <w:sz w:val="20"/>
          <w:vertAlign w:val="baseline"/>
        </w:rPr>
        <w:t>3.2</w:t>
      </w:r>
      <w:r>
        <w:rPr>
          <w:spacing w:val="31"/>
          <w:sz w:val="20"/>
          <w:vertAlign w:val="baseline"/>
        </w:rPr>
        <w:t> </w:t>
      </w:r>
      <w:r>
        <w:rPr>
          <w:sz w:val="20"/>
          <w:vertAlign w:val="baseline"/>
        </w:rPr>
        <w:t>(2022),</w:t>
      </w:r>
      <w:r>
        <w:rPr>
          <w:spacing w:val="33"/>
          <w:sz w:val="20"/>
          <w:vertAlign w:val="baseline"/>
        </w:rPr>
        <w:t> </w:t>
      </w:r>
      <w:r>
        <w:rPr>
          <w:spacing w:val="-2"/>
          <w:sz w:val="20"/>
          <w:vertAlign w:val="baseline"/>
        </w:rPr>
        <w:t>341–45</w:t>
      </w:r>
    </w:p>
    <w:p>
      <w:pPr>
        <w:spacing w:before="1"/>
        <w:ind w:left="23" w:right="0" w:firstLine="0"/>
        <w:jc w:val="left"/>
        <w:rPr>
          <w:sz w:val="20"/>
        </w:rPr>
      </w:pPr>
      <w:r>
        <w:rPr>
          <w:spacing w:val="-2"/>
          <w:sz w:val="20"/>
        </w:rPr>
        <w:t>&lt;https://doi.org/10.47065/arbitrase.v3i2.496&gt;.</w:t>
      </w:r>
    </w:p>
    <w:p>
      <w:pPr>
        <w:spacing w:after="0"/>
        <w:jc w:val="left"/>
        <w:rPr>
          <w:sz w:val="20"/>
        </w:rPr>
        <w:sectPr>
          <w:pgSz w:w="11910" w:h="16840"/>
          <w:pgMar w:header="0" w:footer="1000" w:top="1360" w:bottom="1200" w:left="1417" w:right="1275"/>
        </w:sectPr>
      </w:pPr>
    </w:p>
    <w:p>
      <w:pPr>
        <w:pStyle w:val="ListParagraph"/>
        <w:numPr>
          <w:ilvl w:val="3"/>
          <w:numId w:val="12"/>
        </w:numPr>
        <w:tabs>
          <w:tab w:pos="2544" w:val="left" w:leader="none"/>
        </w:tabs>
        <w:spacing w:line="360" w:lineRule="auto" w:before="60" w:after="0"/>
        <w:ind w:left="2544" w:right="163" w:hanging="361"/>
        <w:jc w:val="both"/>
        <w:rPr>
          <w:sz w:val="24"/>
        </w:rPr>
      </w:pPr>
      <w:r>
        <w:rPr>
          <w:sz w:val="24"/>
        </w:rPr>
        <w:t>Menjadi pilihan investasi, pasar modal memberi kesempatan </w:t>
      </w:r>
      <w:r>
        <w:rPr>
          <w:sz w:val="24"/>
        </w:rPr>
        <w:t>bagi pemilik dana agar mendapat berbagai hak sebagai berikut:</w:t>
      </w:r>
    </w:p>
    <w:p>
      <w:pPr>
        <w:pStyle w:val="ListParagraph"/>
        <w:numPr>
          <w:ilvl w:val="4"/>
          <w:numId w:val="12"/>
        </w:numPr>
        <w:tabs>
          <w:tab w:pos="2904" w:val="left" w:leader="none"/>
        </w:tabs>
        <w:spacing w:line="360" w:lineRule="auto" w:before="1" w:after="0"/>
        <w:ind w:left="2904" w:right="162" w:hanging="360"/>
        <w:jc w:val="both"/>
        <w:rPr>
          <w:sz w:val="24"/>
        </w:rPr>
      </w:pPr>
      <w:r>
        <w:rPr>
          <w:sz w:val="24"/>
        </w:rPr>
        <w:t>Memperoleh surat berharga yang baru ditawarkan atau diperdagangkan</w:t>
      </w:r>
      <w:r>
        <w:rPr>
          <w:spacing w:val="-15"/>
          <w:sz w:val="24"/>
        </w:rPr>
        <w:t> </w:t>
      </w:r>
      <w:r>
        <w:rPr>
          <w:sz w:val="24"/>
        </w:rPr>
        <w:t>dengan</w:t>
      </w:r>
      <w:r>
        <w:rPr>
          <w:spacing w:val="-15"/>
          <w:sz w:val="24"/>
        </w:rPr>
        <w:t> </w:t>
      </w:r>
      <w:r>
        <w:rPr>
          <w:sz w:val="24"/>
        </w:rPr>
        <w:t>tingkat</w:t>
      </w:r>
      <w:r>
        <w:rPr>
          <w:spacing w:val="-15"/>
          <w:sz w:val="24"/>
        </w:rPr>
        <w:t> </w:t>
      </w:r>
      <w:r>
        <w:rPr>
          <w:sz w:val="24"/>
        </w:rPr>
        <w:t>pengembalian</w:t>
      </w:r>
      <w:r>
        <w:rPr>
          <w:spacing w:val="-15"/>
          <w:sz w:val="24"/>
        </w:rPr>
        <w:t> </w:t>
      </w:r>
      <w:r>
        <w:rPr>
          <w:sz w:val="24"/>
        </w:rPr>
        <w:t>dan</w:t>
      </w:r>
      <w:r>
        <w:rPr>
          <w:spacing w:val="-15"/>
          <w:sz w:val="24"/>
        </w:rPr>
        <w:t> </w:t>
      </w:r>
      <w:r>
        <w:rPr>
          <w:sz w:val="24"/>
        </w:rPr>
        <w:t>risiko</w:t>
      </w:r>
      <w:r>
        <w:rPr>
          <w:spacing w:val="-15"/>
          <w:sz w:val="24"/>
        </w:rPr>
        <w:t> </w:t>
      </w:r>
      <w:r>
        <w:rPr>
          <w:sz w:val="24"/>
        </w:rPr>
        <w:t>tertentu di</w:t>
      </w:r>
      <w:r>
        <w:rPr>
          <w:spacing w:val="-4"/>
          <w:sz w:val="24"/>
        </w:rPr>
        <w:t> </w:t>
      </w:r>
      <w:r>
        <w:rPr>
          <w:sz w:val="24"/>
        </w:rPr>
        <w:t>pasar</w:t>
      </w:r>
      <w:r>
        <w:rPr>
          <w:spacing w:val="-4"/>
          <w:sz w:val="24"/>
        </w:rPr>
        <w:t> </w:t>
      </w:r>
      <w:r>
        <w:rPr>
          <w:sz w:val="24"/>
        </w:rPr>
        <w:t>modal,</w:t>
      </w:r>
      <w:r>
        <w:rPr>
          <w:spacing w:val="-4"/>
          <w:sz w:val="24"/>
        </w:rPr>
        <w:t> </w:t>
      </w:r>
      <w:r>
        <w:rPr>
          <w:sz w:val="24"/>
        </w:rPr>
        <w:t>sehingga</w:t>
      </w:r>
      <w:r>
        <w:rPr>
          <w:spacing w:val="-3"/>
          <w:sz w:val="24"/>
        </w:rPr>
        <w:t> </w:t>
      </w:r>
      <w:r>
        <w:rPr>
          <w:sz w:val="24"/>
        </w:rPr>
        <w:t>menjadi</w:t>
      </w:r>
      <w:r>
        <w:rPr>
          <w:spacing w:val="-4"/>
          <w:sz w:val="24"/>
        </w:rPr>
        <w:t> </w:t>
      </w:r>
      <w:r>
        <w:rPr>
          <w:sz w:val="24"/>
        </w:rPr>
        <w:t>pemilik</w:t>
      </w:r>
      <w:r>
        <w:rPr>
          <w:spacing w:val="-4"/>
          <w:sz w:val="24"/>
        </w:rPr>
        <w:t> </w:t>
      </w:r>
      <w:r>
        <w:rPr>
          <w:sz w:val="24"/>
        </w:rPr>
        <w:t>bisnis</w:t>
      </w:r>
      <w:r>
        <w:rPr>
          <w:spacing w:val="-4"/>
          <w:sz w:val="24"/>
        </w:rPr>
        <w:t> </w:t>
      </w:r>
      <w:r>
        <w:rPr>
          <w:sz w:val="24"/>
        </w:rPr>
        <w:t>yang</w:t>
      </w:r>
      <w:r>
        <w:rPr>
          <w:spacing w:val="-4"/>
          <w:sz w:val="24"/>
        </w:rPr>
        <w:t> </w:t>
      </w:r>
      <w:r>
        <w:rPr>
          <w:sz w:val="24"/>
        </w:rPr>
        <w:t>layak</w:t>
      </w:r>
      <w:r>
        <w:rPr>
          <w:spacing w:val="-4"/>
          <w:sz w:val="24"/>
        </w:rPr>
        <w:t> </w:t>
      </w:r>
      <w:r>
        <w:rPr>
          <w:sz w:val="24"/>
        </w:rPr>
        <w:t>dan </w:t>
      </w:r>
      <w:r>
        <w:rPr>
          <w:spacing w:val="-2"/>
          <w:sz w:val="24"/>
        </w:rPr>
        <w:t>menjanjikan.</w:t>
      </w:r>
    </w:p>
    <w:p>
      <w:pPr>
        <w:pStyle w:val="ListParagraph"/>
        <w:numPr>
          <w:ilvl w:val="4"/>
          <w:numId w:val="12"/>
        </w:numPr>
        <w:tabs>
          <w:tab w:pos="2904" w:val="left" w:leader="none"/>
        </w:tabs>
        <w:spacing w:line="360" w:lineRule="auto" w:before="0" w:after="0"/>
        <w:ind w:left="2904" w:right="165" w:hanging="360"/>
        <w:jc w:val="both"/>
        <w:rPr>
          <w:sz w:val="24"/>
        </w:rPr>
      </w:pPr>
      <w:r>
        <w:rPr>
          <w:sz w:val="24"/>
        </w:rPr>
        <w:t>Mengawasi bagaimana manajemen perusahaan dilaksanakan untuk memastikannya beroperasi secara transparan </w:t>
      </w:r>
      <w:r>
        <w:rPr>
          <w:sz w:val="24"/>
        </w:rPr>
        <w:t>dan </w:t>
      </w:r>
      <w:r>
        <w:rPr>
          <w:spacing w:val="-2"/>
          <w:sz w:val="24"/>
        </w:rPr>
        <w:t>profesional.</w:t>
      </w:r>
    </w:p>
    <w:p>
      <w:pPr>
        <w:pStyle w:val="BodyText"/>
        <w:spacing w:line="360" w:lineRule="auto"/>
        <w:ind w:left="1823" w:right="166" w:firstLine="360"/>
        <w:jc w:val="both"/>
      </w:pPr>
      <w:r>
        <w:rPr/>
        <w:t>Adapun</w:t>
      </w:r>
      <w:r>
        <w:rPr>
          <w:spacing w:val="-13"/>
        </w:rPr>
        <w:t> </w:t>
      </w:r>
      <w:r>
        <w:rPr/>
        <w:t>dampak</w:t>
      </w:r>
      <w:r>
        <w:rPr>
          <w:spacing w:val="-14"/>
        </w:rPr>
        <w:t> </w:t>
      </w:r>
      <w:r>
        <w:rPr/>
        <w:t>positif</w:t>
      </w:r>
      <w:r>
        <w:rPr>
          <w:spacing w:val="-14"/>
        </w:rPr>
        <w:t> </w:t>
      </w:r>
      <w:r>
        <w:rPr/>
        <w:t>yang</w:t>
      </w:r>
      <w:r>
        <w:rPr>
          <w:spacing w:val="-13"/>
        </w:rPr>
        <w:t> </w:t>
      </w:r>
      <w:r>
        <w:rPr/>
        <w:t>dirasakan</w:t>
      </w:r>
      <w:r>
        <w:rPr>
          <w:spacing w:val="-13"/>
        </w:rPr>
        <w:t> </w:t>
      </w:r>
      <w:r>
        <w:rPr/>
        <w:t>oleh</w:t>
      </w:r>
      <w:r>
        <w:rPr>
          <w:spacing w:val="-14"/>
        </w:rPr>
        <w:t> </w:t>
      </w:r>
      <w:r>
        <w:rPr/>
        <w:t>beberapa</w:t>
      </w:r>
      <w:r>
        <w:rPr>
          <w:spacing w:val="-14"/>
        </w:rPr>
        <w:t> </w:t>
      </w:r>
      <w:r>
        <w:rPr/>
        <w:t>segmen</w:t>
      </w:r>
      <w:r>
        <w:rPr>
          <w:spacing w:val="-14"/>
        </w:rPr>
        <w:t> </w:t>
      </w:r>
      <w:r>
        <w:rPr/>
        <w:t>pasar</w:t>
      </w:r>
      <w:r>
        <w:rPr>
          <w:spacing w:val="-14"/>
        </w:rPr>
        <w:t> </w:t>
      </w:r>
      <w:r>
        <w:rPr/>
        <w:t>dari pasar modal ialah sebagai berikut:</w:t>
      </w:r>
    </w:p>
    <w:p>
      <w:pPr>
        <w:pStyle w:val="ListParagraph"/>
        <w:numPr>
          <w:ilvl w:val="0"/>
          <w:numId w:val="13"/>
        </w:numPr>
        <w:tabs>
          <w:tab w:pos="2542" w:val="left" w:leader="none"/>
        </w:tabs>
        <w:spacing w:line="240" w:lineRule="auto" w:before="0" w:after="0"/>
        <w:ind w:left="2542" w:right="0" w:hanging="359"/>
        <w:jc w:val="both"/>
        <w:rPr>
          <w:sz w:val="24"/>
        </w:rPr>
      </w:pPr>
      <w:r>
        <w:rPr>
          <w:spacing w:val="-2"/>
          <w:sz w:val="24"/>
        </w:rPr>
        <w:t>Emiten</w:t>
      </w:r>
    </w:p>
    <w:p>
      <w:pPr>
        <w:pStyle w:val="ListParagraph"/>
        <w:numPr>
          <w:ilvl w:val="1"/>
          <w:numId w:val="13"/>
        </w:numPr>
        <w:tabs>
          <w:tab w:pos="2903" w:val="left" w:leader="none"/>
        </w:tabs>
        <w:spacing w:line="240" w:lineRule="auto" w:before="139" w:after="0"/>
        <w:ind w:left="2903" w:right="0" w:hanging="359"/>
        <w:jc w:val="left"/>
        <w:rPr>
          <w:sz w:val="24"/>
        </w:rPr>
      </w:pPr>
      <w:r>
        <w:rPr>
          <w:sz w:val="24"/>
        </w:rPr>
        <w:t>Sejumlah</w:t>
      </w:r>
      <w:r>
        <w:rPr>
          <w:spacing w:val="-2"/>
          <w:sz w:val="24"/>
        </w:rPr>
        <w:t> </w:t>
      </w:r>
      <w:r>
        <w:rPr>
          <w:sz w:val="24"/>
        </w:rPr>
        <w:t>besar</w:t>
      </w:r>
      <w:r>
        <w:rPr>
          <w:spacing w:val="-1"/>
          <w:sz w:val="24"/>
        </w:rPr>
        <w:t> </w:t>
      </w:r>
      <w:r>
        <w:rPr>
          <w:sz w:val="24"/>
        </w:rPr>
        <w:t>uang</w:t>
      </w:r>
      <w:r>
        <w:rPr>
          <w:spacing w:val="-1"/>
          <w:sz w:val="24"/>
        </w:rPr>
        <w:t> </w:t>
      </w:r>
      <w:r>
        <w:rPr>
          <w:sz w:val="24"/>
        </w:rPr>
        <w:t>dapat</w:t>
      </w:r>
      <w:r>
        <w:rPr>
          <w:spacing w:val="-1"/>
          <w:sz w:val="24"/>
        </w:rPr>
        <w:t> </w:t>
      </w:r>
      <w:r>
        <w:rPr>
          <w:sz w:val="24"/>
        </w:rPr>
        <w:t>dikumpulkan</w:t>
      </w:r>
      <w:r>
        <w:rPr>
          <w:spacing w:val="-1"/>
          <w:sz w:val="24"/>
        </w:rPr>
        <w:t> </w:t>
      </w:r>
      <w:r>
        <w:rPr>
          <w:sz w:val="24"/>
        </w:rPr>
        <w:t>secara</w:t>
      </w:r>
      <w:r>
        <w:rPr>
          <w:spacing w:val="-2"/>
          <w:sz w:val="24"/>
        </w:rPr>
        <w:t> total.</w:t>
      </w:r>
    </w:p>
    <w:p>
      <w:pPr>
        <w:pStyle w:val="ListParagraph"/>
        <w:numPr>
          <w:ilvl w:val="1"/>
          <w:numId w:val="13"/>
        </w:numPr>
        <w:tabs>
          <w:tab w:pos="2904" w:val="left" w:leader="none"/>
        </w:tabs>
        <w:spacing w:line="240" w:lineRule="auto" w:before="137" w:after="0"/>
        <w:ind w:left="2904" w:right="0" w:hanging="360"/>
        <w:jc w:val="left"/>
        <w:rPr>
          <w:sz w:val="24"/>
        </w:rPr>
      </w:pPr>
      <w:r>
        <w:rPr>
          <w:sz w:val="24"/>
        </w:rPr>
        <w:t>Uang</w:t>
      </w:r>
      <w:r>
        <w:rPr>
          <w:spacing w:val="-1"/>
          <w:sz w:val="24"/>
        </w:rPr>
        <w:t> </w:t>
      </w:r>
      <w:r>
        <w:rPr>
          <w:sz w:val="24"/>
        </w:rPr>
        <w:t>ini</w:t>
      </w:r>
      <w:r>
        <w:rPr>
          <w:spacing w:val="-1"/>
          <w:sz w:val="24"/>
        </w:rPr>
        <w:t> </w:t>
      </w:r>
      <w:r>
        <w:rPr>
          <w:sz w:val="24"/>
        </w:rPr>
        <w:t>langsung</w:t>
      </w:r>
      <w:r>
        <w:rPr>
          <w:spacing w:val="-1"/>
          <w:sz w:val="24"/>
        </w:rPr>
        <w:t> </w:t>
      </w:r>
      <w:r>
        <w:rPr>
          <w:sz w:val="24"/>
        </w:rPr>
        <w:t>tersedia</w:t>
      </w:r>
      <w:r>
        <w:rPr>
          <w:spacing w:val="-1"/>
          <w:sz w:val="24"/>
        </w:rPr>
        <w:t> </w:t>
      </w:r>
      <w:r>
        <w:rPr>
          <w:sz w:val="24"/>
        </w:rPr>
        <w:t>ketika</w:t>
      </w:r>
      <w:r>
        <w:rPr>
          <w:spacing w:val="-2"/>
          <w:sz w:val="24"/>
        </w:rPr>
        <w:t> </w:t>
      </w:r>
      <w:r>
        <w:rPr>
          <w:sz w:val="24"/>
        </w:rPr>
        <w:t>pasar</w:t>
      </w:r>
      <w:r>
        <w:rPr>
          <w:spacing w:val="-1"/>
          <w:sz w:val="24"/>
        </w:rPr>
        <w:t> </w:t>
      </w:r>
      <w:r>
        <w:rPr>
          <w:sz w:val="24"/>
        </w:rPr>
        <w:t>perdana</w:t>
      </w:r>
      <w:r>
        <w:rPr>
          <w:spacing w:val="-1"/>
          <w:sz w:val="24"/>
        </w:rPr>
        <w:t> </w:t>
      </w:r>
      <w:r>
        <w:rPr>
          <w:spacing w:val="-2"/>
          <w:sz w:val="24"/>
        </w:rPr>
        <w:t>berakhir.</w:t>
      </w:r>
    </w:p>
    <w:p>
      <w:pPr>
        <w:pStyle w:val="ListParagraph"/>
        <w:numPr>
          <w:ilvl w:val="1"/>
          <w:numId w:val="13"/>
        </w:numPr>
        <w:tabs>
          <w:tab w:pos="2904" w:val="left" w:leader="none"/>
        </w:tabs>
        <w:spacing w:line="360" w:lineRule="auto" w:before="139" w:after="0"/>
        <w:ind w:left="2904" w:right="165" w:hanging="360"/>
        <w:jc w:val="left"/>
        <w:rPr>
          <w:sz w:val="24"/>
        </w:rPr>
      </w:pPr>
      <w:r>
        <w:rPr>
          <w:sz w:val="24"/>
        </w:rPr>
        <w:t>Tidak</w:t>
      </w:r>
      <w:r>
        <w:rPr>
          <w:spacing w:val="-15"/>
          <w:sz w:val="24"/>
        </w:rPr>
        <w:t> </w:t>
      </w:r>
      <w:r>
        <w:rPr>
          <w:sz w:val="24"/>
        </w:rPr>
        <w:t>ada</w:t>
      </w:r>
      <w:r>
        <w:rPr>
          <w:spacing w:val="-15"/>
          <w:sz w:val="24"/>
        </w:rPr>
        <w:t> </w:t>
      </w:r>
      <w:r>
        <w:rPr>
          <w:sz w:val="24"/>
        </w:rPr>
        <w:t>aturan</w:t>
      </w:r>
      <w:r>
        <w:rPr>
          <w:spacing w:val="-15"/>
          <w:sz w:val="24"/>
        </w:rPr>
        <w:t> </w:t>
      </w:r>
      <w:r>
        <w:rPr>
          <w:sz w:val="24"/>
        </w:rPr>
        <w:t>yang</w:t>
      </w:r>
      <w:r>
        <w:rPr>
          <w:spacing w:val="-15"/>
          <w:sz w:val="24"/>
        </w:rPr>
        <w:t> </w:t>
      </w:r>
      <w:r>
        <w:rPr>
          <w:sz w:val="24"/>
        </w:rPr>
        <w:t>memberi</w:t>
      </w:r>
      <w:r>
        <w:rPr>
          <w:spacing w:val="-15"/>
          <w:sz w:val="24"/>
        </w:rPr>
        <w:t> </w:t>
      </w:r>
      <w:r>
        <w:rPr>
          <w:sz w:val="24"/>
        </w:rPr>
        <w:t>manajer</w:t>
      </w:r>
      <w:r>
        <w:rPr>
          <w:spacing w:val="-15"/>
          <w:sz w:val="24"/>
        </w:rPr>
        <w:t> </w:t>
      </w:r>
      <w:r>
        <w:rPr>
          <w:sz w:val="24"/>
        </w:rPr>
        <w:t>lebih</w:t>
      </w:r>
      <w:r>
        <w:rPr>
          <w:spacing w:val="-15"/>
          <w:sz w:val="24"/>
        </w:rPr>
        <w:t> </w:t>
      </w:r>
      <w:r>
        <w:rPr>
          <w:sz w:val="24"/>
        </w:rPr>
        <w:t>banyak</w:t>
      </w:r>
      <w:r>
        <w:rPr>
          <w:spacing w:val="-15"/>
          <w:sz w:val="24"/>
        </w:rPr>
        <w:t> </w:t>
      </w:r>
      <w:r>
        <w:rPr>
          <w:sz w:val="24"/>
        </w:rPr>
        <w:t>kebebasan untuk menangani uang atau bisnis.</w:t>
      </w:r>
    </w:p>
    <w:p>
      <w:pPr>
        <w:pStyle w:val="ListParagraph"/>
        <w:numPr>
          <w:ilvl w:val="1"/>
          <w:numId w:val="13"/>
        </w:numPr>
        <w:tabs>
          <w:tab w:pos="2904" w:val="left" w:leader="none"/>
          <w:tab w:pos="4257" w:val="left" w:leader="none"/>
          <w:tab w:pos="5041" w:val="left" w:leader="none"/>
          <w:tab w:pos="5919" w:val="left" w:leader="none"/>
          <w:tab w:pos="6877" w:val="left" w:leader="none"/>
          <w:tab w:pos="7688" w:val="left" w:leader="none"/>
        </w:tabs>
        <w:spacing w:line="360" w:lineRule="auto" w:before="0" w:after="0"/>
        <w:ind w:left="2904" w:right="165" w:hanging="360"/>
        <w:jc w:val="left"/>
        <w:rPr>
          <w:sz w:val="24"/>
        </w:rPr>
      </w:pPr>
      <w:r>
        <w:rPr>
          <w:spacing w:val="-2"/>
          <w:sz w:val="24"/>
        </w:rPr>
        <w:t>Perusahaan</w:t>
      </w:r>
      <w:r>
        <w:rPr>
          <w:sz w:val="24"/>
        </w:rPr>
        <w:tab/>
      </w:r>
      <w:r>
        <w:rPr>
          <w:spacing w:val="-4"/>
          <w:sz w:val="24"/>
        </w:rPr>
        <w:t>harus</w:t>
      </w:r>
      <w:r>
        <w:rPr>
          <w:sz w:val="24"/>
        </w:rPr>
        <w:tab/>
      </w:r>
      <w:r>
        <w:rPr>
          <w:spacing w:val="-2"/>
          <w:sz w:val="24"/>
        </w:rPr>
        <w:t>sangat</w:t>
      </w:r>
      <w:r>
        <w:rPr>
          <w:sz w:val="24"/>
        </w:rPr>
        <w:tab/>
      </w:r>
      <w:r>
        <w:rPr>
          <w:spacing w:val="-2"/>
          <w:sz w:val="24"/>
        </w:rPr>
        <w:t>solvent</w:t>
      </w:r>
      <w:r>
        <w:rPr>
          <w:sz w:val="24"/>
        </w:rPr>
        <w:tab/>
      </w:r>
      <w:r>
        <w:rPr>
          <w:spacing w:val="-2"/>
          <w:sz w:val="24"/>
        </w:rPr>
        <w:t>untuk</w:t>
      </w:r>
      <w:r>
        <w:rPr>
          <w:sz w:val="24"/>
        </w:rPr>
        <w:tab/>
      </w:r>
      <w:r>
        <w:rPr>
          <w:spacing w:val="-2"/>
          <w:sz w:val="24"/>
        </w:rPr>
        <w:t>meningkatkan reputasinya.</w:t>
      </w:r>
    </w:p>
    <w:p>
      <w:pPr>
        <w:pStyle w:val="ListParagraph"/>
        <w:numPr>
          <w:ilvl w:val="1"/>
          <w:numId w:val="13"/>
        </w:numPr>
        <w:tabs>
          <w:tab w:pos="2903" w:val="left" w:leader="none"/>
        </w:tabs>
        <w:spacing w:line="240" w:lineRule="auto" w:before="0" w:after="0"/>
        <w:ind w:left="2903" w:right="0" w:hanging="359"/>
        <w:jc w:val="left"/>
        <w:rPr>
          <w:sz w:val="24"/>
        </w:rPr>
      </w:pPr>
      <w:r>
        <w:rPr>
          <w:sz w:val="24"/>
        </w:rPr>
        <w:t>Ketergantungan</w:t>
      </w:r>
      <w:r>
        <w:rPr>
          <w:spacing w:val="-2"/>
          <w:sz w:val="24"/>
        </w:rPr>
        <w:t> </w:t>
      </w:r>
      <w:r>
        <w:rPr>
          <w:sz w:val="24"/>
        </w:rPr>
        <w:t>emiten</w:t>
      </w:r>
      <w:r>
        <w:rPr>
          <w:spacing w:val="-1"/>
          <w:sz w:val="24"/>
        </w:rPr>
        <w:t> </w:t>
      </w:r>
      <w:r>
        <w:rPr>
          <w:sz w:val="24"/>
        </w:rPr>
        <w:t>terhadap</w:t>
      </w:r>
      <w:r>
        <w:rPr>
          <w:spacing w:val="-1"/>
          <w:sz w:val="24"/>
        </w:rPr>
        <w:t> </w:t>
      </w:r>
      <w:r>
        <w:rPr>
          <w:sz w:val="24"/>
        </w:rPr>
        <w:t>bank</w:t>
      </w:r>
      <w:r>
        <w:rPr>
          <w:spacing w:val="-1"/>
          <w:sz w:val="24"/>
        </w:rPr>
        <w:t> </w:t>
      </w:r>
      <w:r>
        <w:rPr>
          <w:sz w:val="24"/>
        </w:rPr>
        <w:t>lebih</w:t>
      </w:r>
      <w:r>
        <w:rPr>
          <w:spacing w:val="-1"/>
          <w:sz w:val="24"/>
        </w:rPr>
        <w:t> </w:t>
      </w:r>
      <w:r>
        <w:rPr>
          <w:spacing w:val="-2"/>
          <w:sz w:val="24"/>
        </w:rPr>
        <w:t>kecil.</w:t>
      </w:r>
    </w:p>
    <w:p>
      <w:pPr>
        <w:pStyle w:val="ListParagraph"/>
        <w:numPr>
          <w:ilvl w:val="0"/>
          <w:numId w:val="13"/>
        </w:numPr>
        <w:tabs>
          <w:tab w:pos="2542" w:val="left" w:leader="none"/>
        </w:tabs>
        <w:spacing w:line="240" w:lineRule="auto" w:before="137" w:after="0"/>
        <w:ind w:left="2542" w:right="0" w:hanging="359"/>
        <w:jc w:val="left"/>
        <w:rPr>
          <w:sz w:val="24"/>
        </w:rPr>
      </w:pPr>
      <w:r>
        <w:rPr>
          <w:spacing w:val="-2"/>
          <w:sz w:val="24"/>
        </w:rPr>
        <w:t>Investor</w:t>
      </w:r>
    </w:p>
    <w:p>
      <w:pPr>
        <w:pStyle w:val="ListParagraph"/>
        <w:numPr>
          <w:ilvl w:val="1"/>
          <w:numId w:val="13"/>
        </w:numPr>
        <w:tabs>
          <w:tab w:pos="2904" w:val="left" w:leader="none"/>
        </w:tabs>
        <w:spacing w:line="360" w:lineRule="auto" w:before="139" w:after="0"/>
        <w:ind w:left="2904" w:right="163" w:hanging="360"/>
        <w:jc w:val="both"/>
        <w:rPr>
          <w:sz w:val="24"/>
        </w:rPr>
      </w:pPr>
      <w:r>
        <w:rPr>
          <w:sz w:val="24"/>
        </w:rPr>
        <w:t>Seiring pertumbuhan ekonomi, nilai investasi meningkat. Kenaikan harga saham, yang mencapai tingkat keuntungan modal, mencerminkan hal ini.</w:t>
      </w:r>
    </w:p>
    <w:p>
      <w:pPr>
        <w:pStyle w:val="ListParagraph"/>
        <w:numPr>
          <w:ilvl w:val="1"/>
          <w:numId w:val="13"/>
        </w:numPr>
        <w:tabs>
          <w:tab w:pos="2904" w:val="left" w:leader="none"/>
        </w:tabs>
        <w:spacing w:line="360" w:lineRule="auto" w:before="0" w:after="0"/>
        <w:ind w:left="2904" w:right="163" w:hanging="360"/>
        <w:jc w:val="both"/>
        <w:rPr>
          <w:sz w:val="24"/>
        </w:rPr>
      </w:pPr>
      <w:r>
        <w:rPr>
          <w:sz w:val="24"/>
        </w:rPr>
        <w:t>Pemegang obligasi menerima bunga mengambang, sedangkan pemegang saham menerima dividen.</w:t>
      </w:r>
    </w:p>
    <w:p>
      <w:pPr>
        <w:pStyle w:val="ListParagraph"/>
        <w:numPr>
          <w:ilvl w:val="1"/>
          <w:numId w:val="13"/>
        </w:numPr>
        <w:tabs>
          <w:tab w:pos="2904" w:val="left" w:leader="none"/>
        </w:tabs>
        <w:spacing w:line="360" w:lineRule="auto" w:before="0" w:after="0"/>
        <w:ind w:left="2904" w:right="160" w:hanging="360"/>
        <w:jc w:val="both"/>
        <w:rPr>
          <w:sz w:val="24"/>
        </w:rPr>
      </w:pPr>
      <w:r>
        <w:rPr>
          <w:sz w:val="24"/>
        </w:rPr>
        <w:t>Mampu berinvestasi secara simultan di banyak instrumen yang mengurangi risiko. Pasar modal dibagi ke dalam dua </w:t>
      </w:r>
      <w:r>
        <w:rPr>
          <w:sz w:val="24"/>
        </w:rPr>
        <w:t>segmen, yang disebut sebagai pasar primer dan pasar sekunder:</w:t>
      </w:r>
    </w:p>
    <w:p>
      <w:pPr>
        <w:pStyle w:val="ListParagraph"/>
        <w:numPr>
          <w:ilvl w:val="2"/>
          <w:numId w:val="13"/>
        </w:numPr>
        <w:tabs>
          <w:tab w:pos="3623" w:val="left" w:leader="none"/>
        </w:tabs>
        <w:spacing w:line="240" w:lineRule="auto" w:before="1" w:after="0"/>
        <w:ind w:left="3623" w:right="0" w:hanging="719"/>
        <w:jc w:val="both"/>
        <w:rPr>
          <w:sz w:val="24"/>
        </w:rPr>
      </w:pPr>
      <w:r>
        <w:rPr>
          <w:sz w:val="24"/>
        </w:rPr>
        <w:t>Pasar</w:t>
      </w:r>
      <w:r>
        <w:rPr>
          <w:spacing w:val="-1"/>
          <w:sz w:val="24"/>
        </w:rPr>
        <w:t> </w:t>
      </w:r>
      <w:r>
        <w:rPr>
          <w:sz w:val="24"/>
        </w:rPr>
        <w:t>Primer</w:t>
      </w:r>
      <w:r>
        <w:rPr>
          <w:spacing w:val="-3"/>
          <w:sz w:val="24"/>
        </w:rPr>
        <w:t> </w:t>
      </w:r>
      <w:r>
        <w:rPr>
          <w:sz w:val="24"/>
        </w:rPr>
        <w:t>(</w:t>
      </w:r>
      <w:r>
        <w:rPr>
          <w:i/>
          <w:sz w:val="24"/>
        </w:rPr>
        <w:t>Primary </w:t>
      </w:r>
      <w:r>
        <w:rPr>
          <w:i/>
          <w:spacing w:val="-2"/>
          <w:sz w:val="24"/>
        </w:rPr>
        <w:t>Market</w:t>
      </w:r>
      <w:r>
        <w:rPr>
          <w:spacing w:val="-2"/>
          <w:sz w:val="24"/>
        </w:rPr>
        <w:t>)</w:t>
      </w:r>
    </w:p>
    <w:p>
      <w:pPr>
        <w:pStyle w:val="BodyText"/>
        <w:spacing w:line="360" w:lineRule="auto" w:before="137"/>
        <w:ind w:left="3624" w:right="162" w:firstLine="720"/>
        <w:jc w:val="both"/>
      </w:pPr>
      <w:r>
        <w:rPr/>
        <w:t>Ketika emiten menerbitkan saham </w:t>
      </w:r>
      <w:r>
        <w:rPr/>
        <w:t>perdana kepada investor sebelum saham tersebut dijual di pasar sekunder untuk jangka waktu yang ditentukan oleh emiten</w:t>
      </w:r>
      <w:r>
        <w:rPr>
          <w:spacing w:val="-10"/>
        </w:rPr>
        <w:t> </w:t>
      </w:r>
      <w:r>
        <w:rPr/>
        <w:t>dikenal</w:t>
      </w:r>
      <w:r>
        <w:rPr>
          <w:spacing w:val="-9"/>
        </w:rPr>
        <w:t> </w:t>
      </w:r>
      <w:r>
        <w:rPr/>
        <w:t>sebagai</w:t>
      </w:r>
      <w:r>
        <w:rPr>
          <w:spacing w:val="-9"/>
        </w:rPr>
        <w:t> </w:t>
      </w:r>
      <w:r>
        <w:rPr/>
        <w:t>pasar</w:t>
      </w:r>
      <w:r>
        <w:rPr>
          <w:spacing w:val="-10"/>
        </w:rPr>
        <w:t> </w:t>
      </w:r>
      <w:r>
        <w:rPr/>
        <w:t>primer.</w:t>
      </w:r>
      <w:r>
        <w:rPr>
          <w:spacing w:val="-7"/>
        </w:rPr>
        <w:t> </w:t>
      </w:r>
      <w:r>
        <w:rPr/>
        <w:t>Biasanya</w:t>
      </w:r>
      <w:r>
        <w:rPr>
          <w:spacing w:val="-8"/>
        </w:rPr>
        <w:t> </w:t>
      </w:r>
      <w:r>
        <w:rPr/>
        <w:t>proses</w:t>
      </w:r>
      <w:r>
        <w:rPr>
          <w:spacing w:val="-9"/>
        </w:rPr>
        <w:t> </w:t>
      </w:r>
      <w:r>
        <w:rPr/>
        <w:t>ini membutuhkan</w:t>
      </w:r>
      <w:r>
        <w:rPr>
          <w:spacing w:val="39"/>
        </w:rPr>
        <w:t>  </w:t>
      </w:r>
      <w:r>
        <w:rPr/>
        <w:t>waktu</w:t>
      </w:r>
      <w:r>
        <w:rPr>
          <w:spacing w:val="40"/>
        </w:rPr>
        <w:t>  </w:t>
      </w:r>
      <w:r>
        <w:rPr/>
        <w:t>setidaknya</w:t>
      </w:r>
      <w:r>
        <w:rPr>
          <w:spacing w:val="40"/>
        </w:rPr>
        <w:t>  </w:t>
      </w:r>
      <w:r>
        <w:rPr/>
        <w:t>enam</w:t>
      </w:r>
      <w:r>
        <w:rPr>
          <w:spacing w:val="40"/>
        </w:rPr>
        <w:t>  </w:t>
      </w:r>
      <w:r>
        <w:rPr/>
        <w:t>hari</w:t>
      </w:r>
      <w:r>
        <w:rPr>
          <w:spacing w:val="41"/>
        </w:rPr>
        <w:t>  </w:t>
      </w:r>
      <w:r>
        <w:rPr>
          <w:spacing w:val="-2"/>
        </w:rPr>
        <w:t>kerja.</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3624" w:right="162"/>
        <w:jc w:val="both"/>
      </w:pPr>
      <w:r>
        <w:rPr/>
        <w:t>Penentuan harga saham di pasar utama didasarkan pada evaluasi fundamental perusahaan. Berdasarkan evaluasi penjamin emisi atas fundamental perusahaan dan rencana perusahaan untuk </w:t>
      </w:r>
      <w:r>
        <w:rPr>
          <w:i/>
        </w:rPr>
        <w:t>go public</w:t>
      </w:r>
      <w:r>
        <w:rPr/>
        <w:t>, maka </w:t>
      </w:r>
      <w:r>
        <w:rPr/>
        <w:t>pasar primerlah yang menetapkan harga saham.</w:t>
      </w:r>
    </w:p>
    <w:p>
      <w:pPr>
        <w:pStyle w:val="ListParagraph"/>
        <w:numPr>
          <w:ilvl w:val="2"/>
          <w:numId w:val="13"/>
        </w:numPr>
        <w:tabs>
          <w:tab w:pos="3623" w:val="left" w:leader="none"/>
        </w:tabs>
        <w:spacing w:line="275" w:lineRule="exact" w:before="0" w:after="0"/>
        <w:ind w:left="3623" w:right="0" w:hanging="719"/>
        <w:jc w:val="both"/>
        <w:rPr>
          <w:sz w:val="24"/>
        </w:rPr>
      </w:pPr>
      <w:r>
        <w:rPr>
          <w:sz w:val="24"/>
        </w:rPr>
        <w:t>Pasar</w:t>
      </w:r>
      <w:r>
        <w:rPr>
          <w:spacing w:val="-2"/>
          <w:sz w:val="24"/>
        </w:rPr>
        <w:t> </w:t>
      </w:r>
      <w:r>
        <w:rPr>
          <w:sz w:val="24"/>
        </w:rPr>
        <w:t>Sekunder</w:t>
      </w:r>
      <w:r>
        <w:rPr>
          <w:spacing w:val="-1"/>
          <w:sz w:val="24"/>
        </w:rPr>
        <w:t> </w:t>
      </w:r>
      <w:r>
        <w:rPr>
          <w:sz w:val="24"/>
        </w:rPr>
        <w:t>(</w:t>
      </w:r>
      <w:r>
        <w:rPr>
          <w:i/>
          <w:sz w:val="24"/>
        </w:rPr>
        <w:t>Secondary</w:t>
      </w:r>
      <w:r>
        <w:rPr>
          <w:i/>
          <w:spacing w:val="-2"/>
          <w:sz w:val="24"/>
        </w:rPr>
        <w:t> Market</w:t>
      </w:r>
      <w:r>
        <w:rPr>
          <w:spacing w:val="-2"/>
          <w:sz w:val="24"/>
        </w:rPr>
        <w:t>)</w:t>
      </w:r>
    </w:p>
    <w:p>
      <w:pPr>
        <w:pStyle w:val="BodyText"/>
        <w:spacing w:line="360" w:lineRule="auto" w:before="140"/>
        <w:ind w:left="3624" w:right="160" w:firstLine="720"/>
        <w:jc w:val="both"/>
      </w:pPr>
      <w:r>
        <w:rPr/>
        <w:t>Setelah</w:t>
      </w:r>
      <w:r>
        <w:rPr>
          <w:spacing w:val="-15"/>
        </w:rPr>
        <w:t> </w:t>
      </w:r>
      <w:r>
        <w:rPr/>
        <w:t>periode</w:t>
      </w:r>
      <w:r>
        <w:rPr>
          <w:spacing w:val="-15"/>
        </w:rPr>
        <w:t> </w:t>
      </w:r>
      <w:r>
        <w:rPr/>
        <w:t>penawaran</w:t>
      </w:r>
      <w:r>
        <w:rPr>
          <w:spacing w:val="-15"/>
        </w:rPr>
        <w:t> </w:t>
      </w:r>
      <w:r>
        <w:rPr/>
        <w:t>pasar</w:t>
      </w:r>
      <w:r>
        <w:rPr>
          <w:spacing w:val="-15"/>
        </w:rPr>
        <w:t> </w:t>
      </w:r>
      <w:r>
        <w:rPr/>
        <w:t>primer</w:t>
      </w:r>
      <w:r>
        <w:rPr>
          <w:spacing w:val="-15"/>
        </w:rPr>
        <w:t> </w:t>
      </w:r>
      <w:r>
        <w:rPr/>
        <w:t>berakhir, pemilik dana dapat bertransaksi dengan membeli dan menjual</w:t>
      </w:r>
      <w:r>
        <w:rPr>
          <w:spacing w:val="-15"/>
        </w:rPr>
        <w:t> </w:t>
      </w:r>
      <w:r>
        <w:rPr/>
        <w:t>saham</w:t>
      </w:r>
      <w:r>
        <w:rPr>
          <w:spacing w:val="-15"/>
        </w:rPr>
        <w:t> </w:t>
      </w:r>
      <w:r>
        <w:rPr/>
        <w:t>di</w:t>
      </w:r>
      <w:r>
        <w:rPr>
          <w:spacing w:val="-15"/>
        </w:rPr>
        <w:t> </w:t>
      </w:r>
      <w:r>
        <w:rPr/>
        <w:t>pasar</w:t>
      </w:r>
      <w:r>
        <w:rPr>
          <w:spacing w:val="-15"/>
        </w:rPr>
        <w:t> </w:t>
      </w:r>
      <w:r>
        <w:rPr/>
        <w:t>sekunder.</w:t>
      </w:r>
      <w:r>
        <w:rPr>
          <w:spacing w:val="-15"/>
        </w:rPr>
        <w:t> </w:t>
      </w:r>
      <w:r>
        <w:rPr/>
        <w:t>Dalam</w:t>
      </w:r>
      <w:r>
        <w:rPr>
          <w:spacing w:val="-15"/>
        </w:rPr>
        <w:t> </w:t>
      </w:r>
      <w:r>
        <w:rPr/>
        <w:t>waktu</w:t>
      </w:r>
      <w:r>
        <w:rPr>
          <w:spacing w:val="-15"/>
        </w:rPr>
        <w:t> </w:t>
      </w:r>
      <w:r>
        <w:rPr/>
        <w:t>sembilan puluh hari sejak izin penerbitan diperoleh, sekuritas harus dicatatkan di bursa saham. Pasar sekunder memungkinkan investor untuk memperoleh dan melepaskan</w:t>
      </w:r>
      <w:r>
        <w:rPr>
          <w:spacing w:val="-8"/>
        </w:rPr>
        <w:t> </w:t>
      </w:r>
      <w:r>
        <w:rPr/>
        <w:t>aset</w:t>
      </w:r>
      <w:r>
        <w:rPr>
          <w:spacing w:val="-8"/>
        </w:rPr>
        <w:t> </w:t>
      </w:r>
      <w:r>
        <w:rPr/>
        <w:t>kapan</w:t>
      </w:r>
      <w:r>
        <w:rPr>
          <w:spacing w:val="-8"/>
        </w:rPr>
        <w:t> </w:t>
      </w:r>
      <w:r>
        <w:rPr/>
        <w:t>pun</w:t>
      </w:r>
      <w:r>
        <w:rPr>
          <w:spacing w:val="-10"/>
        </w:rPr>
        <w:t> </w:t>
      </w:r>
      <w:r>
        <w:rPr/>
        <w:t>mereka</w:t>
      </w:r>
      <w:r>
        <w:rPr>
          <w:spacing w:val="-9"/>
        </w:rPr>
        <w:t> </w:t>
      </w:r>
      <w:r>
        <w:rPr/>
        <w:t>mau.</w:t>
      </w:r>
      <w:r>
        <w:rPr>
          <w:spacing w:val="-9"/>
        </w:rPr>
        <w:t> </w:t>
      </w:r>
      <w:r>
        <w:rPr/>
        <w:t>Sebagai</w:t>
      </w:r>
      <w:r>
        <w:rPr>
          <w:spacing w:val="-7"/>
        </w:rPr>
        <w:t> </w:t>
      </w:r>
      <w:r>
        <w:rPr/>
        <w:t>tempat berkumpulnya investor institusional dan individu, pasar sekunder sangat penting. meskipun pasar primer </w:t>
      </w:r>
      <w:r>
        <w:rPr/>
        <w:t>juga tidak kalah urgensinya dalam hal menguntungkan </w:t>
      </w:r>
      <w:r>
        <w:rPr>
          <w:spacing w:val="-2"/>
        </w:rPr>
        <w:t>perusahaan.</w:t>
      </w:r>
    </w:p>
    <w:p>
      <w:pPr>
        <w:pStyle w:val="Heading2"/>
        <w:numPr>
          <w:ilvl w:val="2"/>
          <w:numId w:val="12"/>
        </w:numPr>
        <w:tabs>
          <w:tab w:pos="1643" w:val="left" w:leader="none"/>
        </w:tabs>
        <w:spacing w:line="240" w:lineRule="auto" w:before="160" w:after="0"/>
        <w:ind w:left="1643" w:right="0" w:hanging="540"/>
        <w:jc w:val="both"/>
      </w:pPr>
      <w:bookmarkStart w:name="_bookmark60" w:id="61"/>
      <w:bookmarkEnd w:id="61"/>
      <w:r>
        <w:rPr>
          <w:b w:val="0"/>
        </w:rPr>
      </w:r>
      <w:r>
        <w:rPr/>
        <w:t>Pasar</w:t>
      </w:r>
      <w:r>
        <w:rPr>
          <w:spacing w:val="-2"/>
        </w:rPr>
        <w:t> </w:t>
      </w:r>
      <w:r>
        <w:rPr/>
        <w:t>Modal</w:t>
      </w:r>
      <w:r>
        <w:rPr>
          <w:spacing w:val="-1"/>
        </w:rPr>
        <w:t> </w:t>
      </w:r>
      <w:r>
        <w:rPr>
          <w:spacing w:val="-2"/>
        </w:rPr>
        <w:t>Syariah</w:t>
      </w:r>
    </w:p>
    <w:p>
      <w:pPr>
        <w:pStyle w:val="BodyText"/>
        <w:spacing w:before="22"/>
        <w:rPr>
          <w:b/>
        </w:rPr>
      </w:pPr>
    </w:p>
    <w:p>
      <w:pPr>
        <w:pStyle w:val="BodyText"/>
        <w:spacing w:line="360" w:lineRule="auto"/>
        <w:ind w:left="1823" w:right="161" w:firstLine="360"/>
        <w:jc w:val="both"/>
      </w:pPr>
      <w:r>
        <w:rPr/>
        <w:t>Seluruh operasi pasar modal syariah didasarkan pada prinsip-prinsip syariah, terutama yang berkaitan dengan emiten, jenis sekuritas yang diperdagangkan, dan protokol perdagangan. Saham syariah, reksadana syariah, Kontrak Investasi Kolektif Efek Beragun Aset Syariah, dan efek lain</w:t>
      </w:r>
      <w:r>
        <w:rPr>
          <w:spacing w:val="-11"/>
        </w:rPr>
        <w:t> </w:t>
      </w:r>
      <w:r>
        <w:rPr/>
        <w:t>yang</w:t>
      </w:r>
      <w:r>
        <w:rPr>
          <w:spacing w:val="-10"/>
        </w:rPr>
        <w:t> </w:t>
      </w:r>
      <w:r>
        <w:rPr/>
        <w:t>tidak</w:t>
      </w:r>
      <w:r>
        <w:rPr>
          <w:spacing w:val="-11"/>
        </w:rPr>
        <w:t> </w:t>
      </w:r>
      <w:r>
        <w:rPr/>
        <w:t>melanggar</w:t>
      </w:r>
      <w:r>
        <w:rPr>
          <w:spacing w:val="-11"/>
        </w:rPr>
        <w:t> </w:t>
      </w:r>
      <w:r>
        <w:rPr/>
        <w:t>aturan</w:t>
      </w:r>
      <w:r>
        <w:rPr>
          <w:spacing w:val="-10"/>
        </w:rPr>
        <w:t> </w:t>
      </w:r>
      <w:r>
        <w:rPr/>
        <w:t>syariat,</w:t>
      </w:r>
      <w:r>
        <w:rPr>
          <w:spacing w:val="-11"/>
        </w:rPr>
        <w:t> </w:t>
      </w:r>
      <w:r>
        <w:rPr/>
        <w:t>semuanya</w:t>
      </w:r>
      <w:r>
        <w:rPr>
          <w:spacing w:val="-12"/>
        </w:rPr>
        <w:t> </w:t>
      </w:r>
      <w:r>
        <w:rPr/>
        <w:t>merupakan</w:t>
      </w:r>
      <w:r>
        <w:rPr>
          <w:spacing w:val="-11"/>
        </w:rPr>
        <w:t> </w:t>
      </w:r>
      <w:r>
        <w:rPr/>
        <w:t>efek</w:t>
      </w:r>
      <w:r>
        <w:rPr>
          <w:spacing w:val="-11"/>
        </w:rPr>
        <w:t> </w:t>
      </w:r>
      <w:r>
        <w:rPr/>
        <w:t>syariah berdasarkan Fatwa DSN MUI No. 40/DSN-MUI/X/2003 tentang Pasar Modal dan Pedoman Umum Pelaksanaan Prinsip Syariah di Bidang Pasar </w:t>
      </w:r>
      <w:r>
        <w:rPr>
          <w:spacing w:val="-2"/>
        </w:rPr>
        <w:t>Modal</w:t>
      </w:r>
      <w:hyperlink w:history="true" w:anchor="_bookmark61">
        <w:r>
          <w:rPr>
            <w:spacing w:val="-2"/>
          </w:rPr>
          <w:t>.</w:t>
        </w:r>
        <w:r>
          <w:rPr>
            <w:spacing w:val="-2"/>
            <w:vertAlign w:val="superscript"/>
          </w:rPr>
          <w:t>38</w:t>
        </w:r>
      </w:hyperlink>
    </w:p>
    <w:p>
      <w:pPr>
        <w:pStyle w:val="BodyText"/>
        <w:spacing w:line="360" w:lineRule="auto" w:before="1"/>
        <w:ind w:left="1823" w:right="164" w:firstLine="360"/>
        <w:jc w:val="both"/>
      </w:pPr>
      <w:r>
        <w:rPr/>
        <w:t>Peluncuran reksadana syariah pada pertengahan tahun 1997 menandai dimulainya pasar modal syariah di Indonesia, yang dirancang untuk memungkinkan para investor untuk menginvestasikan uang mereka secara syariah. Seiring dengan perkembangannya, sarana investasi pasar modal syariah</w:t>
      </w:r>
      <w:r>
        <w:rPr>
          <w:spacing w:val="-9"/>
        </w:rPr>
        <w:t> </w:t>
      </w:r>
      <w:r>
        <w:rPr/>
        <w:t>semakin</w:t>
      </w:r>
      <w:r>
        <w:rPr>
          <w:spacing w:val="-8"/>
        </w:rPr>
        <w:t> </w:t>
      </w:r>
      <w:r>
        <w:rPr/>
        <w:t>berkembang</w:t>
      </w:r>
      <w:r>
        <w:rPr>
          <w:spacing w:val="-8"/>
        </w:rPr>
        <w:t> </w:t>
      </w:r>
      <w:r>
        <w:rPr/>
        <w:t>saat</w:t>
      </w:r>
      <w:r>
        <w:rPr>
          <w:spacing w:val="-6"/>
        </w:rPr>
        <w:t> </w:t>
      </w:r>
      <w:r>
        <w:rPr/>
        <w:t>permulaan</w:t>
      </w:r>
      <w:r>
        <w:rPr>
          <w:spacing w:val="-9"/>
        </w:rPr>
        <w:t> </w:t>
      </w:r>
      <w:r>
        <w:rPr/>
        <w:t>bulan</w:t>
      </w:r>
      <w:r>
        <w:rPr>
          <w:spacing w:val="-6"/>
        </w:rPr>
        <w:t> </w:t>
      </w:r>
      <w:r>
        <w:rPr/>
        <w:t>September</w:t>
      </w:r>
      <w:r>
        <w:rPr>
          <w:spacing w:val="-9"/>
        </w:rPr>
        <w:t> </w:t>
      </w:r>
      <w:r>
        <w:rPr/>
        <w:t>2002</w:t>
      </w:r>
      <w:r>
        <w:rPr>
          <w:spacing w:val="-7"/>
        </w:rPr>
        <w:t> </w:t>
      </w:r>
      <w:r>
        <w:rPr>
          <w:spacing w:val="-2"/>
        </w:rPr>
        <w:t>dengan</w:t>
      </w:r>
    </w:p>
    <w:p>
      <w:pPr>
        <w:pStyle w:val="BodyText"/>
        <w:spacing w:before="11"/>
        <w:rPr>
          <w:sz w:val="17"/>
        </w:rPr>
      </w:pPr>
      <w:r>
        <w:rPr>
          <w:sz w:val="17"/>
        </w:rPr>
        <mc:AlternateContent>
          <mc:Choice Requires="wps">
            <w:drawing>
              <wp:anchor distT="0" distB="0" distL="0" distR="0" allowOverlap="1" layoutInCell="1" locked="0" behindDoc="1" simplePos="0" relativeHeight="487599104">
                <wp:simplePos x="0" y="0"/>
                <wp:positionH relativeFrom="page">
                  <wp:posOffset>914704</wp:posOffset>
                </wp:positionH>
                <wp:positionV relativeFrom="paragraph">
                  <wp:posOffset>146451</wp:posOffset>
                </wp:positionV>
                <wp:extent cx="1829435" cy="9525"/>
                <wp:effectExtent l="0" t="0" r="0" b="0"/>
                <wp:wrapTopAndBottom/>
                <wp:docPr id="259" name="Graphic 259"/>
                <wp:cNvGraphicFramePr>
                  <a:graphicFrameLocks/>
                </wp:cNvGraphicFramePr>
                <a:graphic>
                  <a:graphicData uri="http://schemas.microsoft.com/office/word/2010/wordprocessingShape">
                    <wps:wsp>
                      <wps:cNvPr id="259" name="Graphic 259"/>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1.531651pt;width:144.020pt;height:.72003pt;mso-position-horizontal-relative:page;mso-position-vertical-relative:paragraph;z-index:-15717376;mso-wrap-distance-left:0;mso-wrap-distance-right:0" id="docshape231" filled="true" fillcolor="#000000" stroked="false">
                <v:fill type="solid"/>
                <w10:wrap type="topAndBottom"/>
              </v:rect>
            </w:pict>
          </mc:Fallback>
        </mc:AlternateContent>
      </w:r>
    </w:p>
    <w:p>
      <w:pPr>
        <w:spacing w:before="101"/>
        <w:ind w:left="23" w:right="0" w:firstLine="719"/>
        <w:jc w:val="left"/>
        <w:rPr>
          <w:sz w:val="20"/>
        </w:rPr>
      </w:pPr>
      <w:bookmarkStart w:name="_bookmark61" w:id="62"/>
      <w:bookmarkEnd w:id="62"/>
      <w:r>
        <w:rPr/>
      </w:r>
      <w:r>
        <w:rPr>
          <w:sz w:val="20"/>
          <w:vertAlign w:val="superscript"/>
        </w:rPr>
        <w:t>38</w:t>
      </w:r>
      <w:r>
        <w:rPr>
          <w:sz w:val="20"/>
          <w:vertAlign w:val="baseline"/>
        </w:rPr>
        <w:t> M Fauzan and Dedi Suhendro, ‘Peran Pasar Modal Syariah Dalam Mendorong Laju Pertumbuhan</w:t>
      </w:r>
      <w:r>
        <w:rPr>
          <w:spacing w:val="80"/>
          <w:sz w:val="20"/>
          <w:vertAlign w:val="baseline"/>
        </w:rPr>
        <w:t> </w:t>
      </w:r>
      <w:r>
        <w:rPr>
          <w:sz w:val="20"/>
          <w:vertAlign w:val="baseline"/>
        </w:rPr>
        <w:t>Ekonomi Di Indonesia’, </w:t>
      </w:r>
      <w:r>
        <w:rPr>
          <w:i/>
          <w:sz w:val="20"/>
          <w:vertAlign w:val="baseline"/>
        </w:rPr>
        <w:t>Human Falah</w:t>
      </w:r>
      <w:r>
        <w:rPr>
          <w:sz w:val="20"/>
          <w:vertAlign w:val="baseline"/>
        </w:rPr>
        <w:t>, 5.1 (2018), 70–95 &lt;</w:t>
      </w:r>
      <w:hyperlink r:id="rId15">
        <w:r>
          <w:rPr>
            <w:sz w:val="20"/>
            <w:vertAlign w:val="baseline"/>
          </w:rPr>
          <w:t>www.ojk.go.id</w:t>
        </w:r>
      </w:hyperlink>
      <w:r>
        <w:rPr>
          <w:sz w:val="20"/>
          <w:vertAlign w:val="baseline"/>
        </w:rPr>
        <w:t>&gt;.</w:t>
      </w:r>
    </w:p>
    <w:p>
      <w:pPr>
        <w:spacing w:after="0"/>
        <w:jc w:val="left"/>
        <w:rPr>
          <w:sz w:val="20"/>
        </w:rPr>
        <w:sectPr>
          <w:pgSz w:w="11910" w:h="16840"/>
          <w:pgMar w:header="0" w:footer="1000" w:top="1360" w:bottom="1200" w:left="1417" w:right="1275"/>
        </w:sectPr>
      </w:pPr>
    </w:p>
    <w:p>
      <w:pPr>
        <w:pStyle w:val="BodyText"/>
        <w:spacing w:line="360" w:lineRule="auto" w:before="60"/>
        <w:ind w:left="1823" w:right="160"/>
        <w:jc w:val="both"/>
      </w:pPr>
      <w:r>
        <w:rPr/>
        <w:t>diluncurkannya Obligasi Syariah PT Indosat Tbk. Obligasi syariah yang pertama</w:t>
      </w:r>
      <w:r>
        <w:rPr>
          <w:spacing w:val="-11"/>
        </w:rPr>
        <w:t> </w:t>
      </w:r>
      <w:r>
        <w:rPr/>
        <w:t>hadir</w:t>
      </w:r>
      <w:r>
        <w:rPr>
          <w:spacing w:val="-11"/>
        </w:rPr>
        <w:t> </w:t>
      </w:r>
      <w:r>
        <w:rPr/>
        <w:t>di</w:t>
      </w:r>
      <w:r>
        <w:rPr>
          <w:spacing w:val="-9"/>
        </w:rPr>
        <w:t> </w:t>
      </w:r>
      <w:r>
        <w:rPr/>
        <w:t>Indonesia</w:t>
      </w:r>
      <w:r>
        <w:rPr>
          <w:spacing w:val="-12"/>
        </w:rPr>
        <w:t> </w:t>
      </w:r>
      <w:r>
        <w:rPr/>
        <w:t>adalah</w:t>
      </w:r>
      <w:r>
        <w:rPr>
          <w:spacing w:val="-11"/>
        </w:rPr>
        <w:t> </w:t>
      </w:r>
      <w:r>
        <w:rPr/>
        <w:t>obligasi</w:t>
      </w:r>
      <w:r>
        <w:rPr>
          <w:spacing w:val="-11"/>
        </w:rPr>
        <w:t> </w:t>
      </w:r>
      <w:r>
        <w:rPr/>
        <w:t>ini,</w:t>
      </w:r>
      <w:r>
        <w:rPr>
          <w:spacing w:val="-11"/>
        </w:rPr>
        <w:t> </w:t>
      </w:r>
      <w:r>
        <w:rPr/>
        <w:t>dan</w:t>
      </w:r>
      <w:r>
        <w:rPr>
          <w:spacing w:val="-9"/>
        </w:rPr>
        <w:t> </w:t>
      </w:r>
      <w:r>
        <w:rPr/>
        <w:t>kemudian</w:t>
      </w:r>
      <w:r>
        <w:rPr>
          <w:spacing w:val="-11"/>
        </w:rPr>
        <w:t> </w:t>
      </w:r>
      <w:r>
        <w:rPr/>
        <w:t>diikuti</w:t>
      </w:r>
      <w:r>
        <w:rPr>
          <w:spacing w:val="-11"/>
        </w:rPr>
        <w:t> </w:t>
      </w:r>
      <w:r>
        <w:rPr/>
        <w:t>dengan penerbitan obligasi syariah lainnya.</w:t>
      </w:r>
      <w:hyperlink w:history="true" w:anchor="_bookmark62">
        <w:r>
          <w:rPr>
            <w:vertAlign w:val="superscript"/>
          </w:rPr>
          <w:t>39</w:t>
        </w:r>
      </w:hyperlink>
      <w:r>
        <w:rPr>
          <w:vertAlign w:val="baseline"/>
        </w:rPr>
        <w:t> Operasi pasar modal syariah di Indonesia secara sah diresmikan pada tanggal 14 Maret 2003, ketika Otoritas</w:t>
      </w:r>
      <w:r>
        <w:rPr>
          <w:spacing w:val="-8"/>
          <w:vertAlign w:val="baseline"/>
        </w:rPr>
        <w:t> </w:t>
      </w:r>
      <w:r>
        <w:rPr>
          <w:vertAlign w:val="baseline"/>
        </w:rPr>
        <w:t>Jasa</w:t>
      </w:r>
      <w:r>
        <w:rPr>
          <w:spacing w:val="-9"/>
          <w:vertAlign w:val="baseline"/>
        </w:rPr>
        <w:t> </w:t>
      </w:r>
      <w:r>
        <w:rPr>
          <w:vertAlign w:val="baseline"/>
        </w:rPr>
        <w:t>Keuangan</w:t>
      </w:r>
      <w:r>
        <w:rPr>
          <w:spacing w:val="-8"/>
          <w:vertAlign w:val="baseline"/>
        </w:rPr>
        <w:t> </w:t>
      </w:r>
      <w:r>
        <w:rPr>
          <w:vertAlign w:val="baseline"/>
        </w:rPr>
        <w:t>(OJK)</w:t>
      </w:r>
      <w:r>
        <w:rPr>
          <w:spacing w:val="-9"/>
          <w:vertAlign w:val="baseline"/>
        </w:rPr>
        <w:t> </w:t>
      </w:r>
      <w:r>
        <w:rPr>
          <w:vertAlign w:val="baseline"/>
        </w:rPr>
        <w:t>dan</w:t>
      </w:r>
      <w:r>
        <w:rPr>
          <w:spacing w:val="-8"/>
          <w:vertAlign w:val="baseline"/>
        </w:rPr>
        <w:t> </w:t>
      </w:r>
      <w:r>
        <w:rPr>
          <w:vertAlign w:val="baseline"/>
        </w:rPr>
        <w:t>Dewan</w:t>
      </w:r>
      <w:r>
        <w:rPr>
          <w:spacing w:val="-8"/>
          <w:vertAlign w:val="baseline"/>
        </w:rPr>
        <w:t> </w:t>
      </w:r>
      <w:r>
        <w:rPr>
          <w:vertAlign w:val="baseline"/>
        </w:rPr>
        <w:t>Syariah</w:t>
      </w:r>
      <w:r>
        <w:rPr>
          <w:spacing w:val="-6"/>
          <w:vertAlign w:val="baseline"/>
        </w:rPr>
        <w:t> </w:t>
      </w:r>
      <w:r>
        <w:rPr>
          <w:vertAlign w:val="baseline"/>
        </w:rPr>
        <w:t>Nasional</w:t>
      </w:r>
      <w:r>
        <w:rPr>
          <w:spacing w:val="-8"/>
          <w:vertAlign w:val="baseline"/>
        </w:rPr>
        <w:t> </w:t>
      </w:r>
      <w:r>
        <w:rPr>
          <w:vertAlign w:val="baseline"/>
        </w:rPr>
        <w:t>Majelis</w:t>
      </w:r>
      <w:r>
        <w:rPr>
          <w:spacing w:val="-7"/>
          <w:vertAlign w:val="baseline"/>
        </w:rPr>
        <w:t> </w:t>
      </w:r>
      <w:r>
        <w:rPr>
          <w:vertAlign w:val="baseline"/>
        </w:rPr>
        <w:t>Ulama Indonesia (DSN-MUI) menandatangani </w:t>
      </w:r>
      <w:r>
        <w:rPr>
          <w:i/>
          <w:vertAlign w:val="baseline"/>
        </w:rPr>
        <w:t>Memorandum of Understanding </w:t>
      </w:r>
      <w:r>
        <w:rPr>
          <w:vertAlign w:val="baseline"/>
        </w:rPr>
        <w:t>(MoU) atau nota kesepahaman. Definisi umum dari pasar modal syariah adalah bisnis perdagangan instrumen keuangan, termasuk obligasi, saham, sertifikat saham, dan sekuritas pada umumnya.</w:t>
      </w:r>
    </w:p>
    <w:p>
      <w:pPr>
        <w:pStyle w:val="BodyText"/>
        <w:spacing w:line="360" w:lineRule="auto" w:before="1"/>
        <w:ind w:left="1823" w:right="165" w:firstLine="360"/>
        <w:jc w:val="both"/>
      </w:pPr>
      <w:r>
        <w:rPr/>
        <w:t>Pedoman berikut ini harus diikuti ketika menerapkan pasar modal </w:t>
      </w:r>
      <w:r>
        <w:rPr>
          <w:spacing w:val="-2"/>
        </w:rPr>
        <w:t>syariah:</w:t>
      </w:r>
      <w:hyperlink w:history="true" w:anchor="_bookmark63">
        <w:r>
          <w:rPr>
            <w:spacing w:val="-2"/>
            <w:vertAlign w:val="superscript"/>
          </w:rPr>
          <w:t>40</w:t>
        </w:r>
      </w:hyperlink>
    </w:p>
    <w:p>
      <w:pPr>
        <w:pStyle w:val="ListParagraph"/>
        <w:numPr>
          <w:ilvl w:val="0"/>
          <w:numId w:val="14"/>
        </w:numPr>
        <w:tabs>
          <w:tab w:pos="1823" w:val="left" w:leader="none"/>
        </w:tabs>
        <w:spacing w:line="360" w:lineRule="auto" w:before="0" w:after="0"/>
        <w:ind w:left="1823" w:right="163" w:hanging="360"/>
        <w:jc w:val="both"/>
        <w:rPr>
          <w:sz w:val="24"/>
        </w:rPr>
      </w:pPr>
      <w:r>
        <w:rPr>
          <w:sz w:val="24"/>
        </w:rPr>
        <w:t>Prinsip kehati-hatian harus diikuti dalam semua transaksi. Begitu pula apabila terdapat spekulasi serta manipulasi yang didalamnya terkandung komponen dharar, gharar, riba, maisir, riswah, maksiat, dan kezaliman.</w:t>
      </w:r>
    </w:p>
    <w:p>
      <w:pPr>
        <w:pStyle w:val="ListParagraph"/>
        <w:numPr>
          <w:ilvl w:val="0"/>
          <w:numId w:val="14"/>
        </w:numPr>
        <w:tabs>
          <w:tab w:pos="1823" w:val="left" w:leader="none"/>
        </w:tabs>
        <w:spacing w:line="360" w:lineRule="auto" w:before="1" w:after="0"/>
        <w:ind w:left="1823" w:right="162" w:hanging="360"/>
        <w:jc w:val="both"/>
        <w:rPr>
          <w:sz w:val="24"/>
        </w:rPr>
      </w:pPr>
      <w:r>
        <w:rPr>
          <w:sz w:val="24"/>
        </w:rPr>
        <w:t>Prinsip-prinsip syariah tidak boleh bertentangan dengan kegiatan usaha, barang dan jasa yang ditawarkan, akad-akad, atau manajemen perusahaan penerbit atau perusahaan publik yang menerbitkan efek syariah.</w:t>
      </w:r>
    </w:p>
    <w:p>
      <w:pPr>
        <w:pStyle w:val="BodyText"/>
        <w:spacing w:line="362" w:lineRule="auto"/>
        <w:ind w:left="1823" w:right="163" w:firstLine="360"/>
        <w:jc w:val="both"/>
      </w:pPr>
      <w:r>
        <w:rPr/>
        <w:t>Dibawah ini merupakan tujuan pasar modal syariah menurut MM. </w:t>
      </w:r>
      <w:r>
        <w:rPr>
          <w:spacing w:val="-2"/>
        </w:rPr>
        <w:t>Metwally:</w:t>
      </w:r>
      <w:hyperlink w:history="true" w:anchor="_bookmark64">
        <w:r>
          <w:rPr>
            <w:spacing w:val="-2"/>
            <w:vertAlign w:val="superscript"/>
          </w:rPr>
          <w:t>41</w:t>
        </w:r>
      </w:hyperlink>
    </w:p>
    <w:p>
      <w:pPr>
        <w:pStyle w:val="ListParagraph"/>
        <w:numPr>
          <w:ilvl w:val="1"/>
          <w:numId w:val="14"/>
        </w:numPr>
        <w:tabs>
          <w:tab w:pos="2544" w:val="left" w:leader="none"/>
        </w:tabs>
        <w:spacing w:line="360" w:lineRule="auto" w:before="0" w:after="0"/>
        <w:ind w:left="2544" w:right="162" w:hanging="361"/>
        <w:jc w:val="both"/>
        <w:rPr>
          <w:sz w:val="24"/>
        </w:rPr>
      </w:pPr>
      <w:r>
        <w:rPr>
          <w:sz w:val="24"/>
        </w:rPr>
        <w:t>Saat melakukan aktivitas bisnis, khalayak ramai atau masyarakat secara luas mendapatkan akses yang lancar dari perusahaan dalam hal memberikan sebagian risiko serta imbalan kepada mereka.</w:t>
      </w:r>
    </w:p>
    <w:p>
      <w:pPr>
        <w:pStyle w:val="ListParagraph"/>
        <w:numPr>
          <w:ilvl w:val="1"/>
          <w:numId w:val="14"/>
        </w:numPr>
        <w:tabs>
          <w:tab w:pos="2544" w:val="left" w:leader="none"/>
        </w:tabs>
        <w:spacing w:line="360" w:lineRule="auto" w:before="0" w:after="0"/>
        <w:ind w:left="2544" w:right="167" w:hanging="361"/>
        <w:jc w:val="both"/>
        <w:rPr>
          <w:sz w:val="24"/>
        </w:rPr>
      </w:pPr>
      <w:r>
        <w:rPr>
          <w:sz w:val="24"/>
        </w:rPr>
        <w:t>Menyediakan likuiditas dengan memungkinkan pemegang saham untuk menjual sahamnya.</w:t>
      </w:r>
    </w:p>
    <w:p>
      <w:pPr>
        <w:pStyle w:val="ListParagraph"/>
        <w:numPr>
          <w:ilvl w:val="1"/>
          <w:numId w:val="14"/>
        </w:numPr>
        <w:tabs>
          <w:tab w:pos="2544" w:val="left" w:leader="none"/>
        </w:tabs>
        <w:spacing w:line="360" w:lineRule="auto" w:before="0" w:after="0"/>
        <w:ind w:left="2544" w:right="160" w:hanging="361"/>
        <w:jc w:val="both"/>
        <w:rPr>
          <w:sz w:val="24"/>
        </w:rPr>
      </w:pPr>
      <w:r>
        <w:rPr>
          <w:sz w:val="24"/>
        </w:rPr>
        <w:t>Memungkinkan perusahaan untuk mendapatkan modal tidak hanya dari pihak internal saja, namun juga memperbolehkan </w:t>
      </w:r>
      <w:r>
        <w:rPr>
          <w:sz w:val="24"/>
        </w:rPr>
        <w:t>pihak eksternal untuk turut serta dalam pembangunan dan perluasan fasilitas produksinya.</w:t>
      </w:r>
    </w:p>
    <w:p>
      <w:pPr>
        <w:pStyle w:val="BodyText"/>
        <w:rPr>
          <w:sz w:val="20"/>
        </w:rPr>
      </w:pPr>
    </w:p>
    <w:p>
      <w:pPr>
        <w:pStyle w:val="BodyText"/>
        <w:rPr>
          <w:sz w:val="20"/>
        </w:rPr>
      </w:pPr>
    </w:p>
    <w:p>
      <w:pPr>
        <w:pStyle w:val="BodyText"/>
        <w:spacing w:before="154"/>
        <w:rPr>
          <w:sz w:val="20"/>
        </w:rPr>
      </w:pPr>
      <w:r>
        <w:rPr>
          <w:sz w:val="20"/>
        </w:rPr>
        <mc:AlternateContent>
          <mc:Choice Requires="wps">
            <w:drawing>
              <wp:anchor distT="0" distB="0" distL="0" distR="0" allowOverlap="1" layoutInCell="1" locked="0" behindDoc="1" simplePos="0" relativeHeight="487599616">
                <wp:simplePos x="0" y="0"/>
                <wp:positionH relativeFrom="page">
                  <wp:posOffset>914704</wp:posOffset>
                </wp:positionH>
                <wp:positionV relativeFrom="paragraph">
                  <wp:posOffset>259272</wp:posOffset>
                </wp:positionV>
                <wp:extent cx="1829435" cy="9525"/>
                <wp:effectExtent l="0" t="0" r="0" b="0"/>
                <wp:wrapTopAndBottom/>
                <wp:docPr id="260" name="Graphic 260"/>
                <wp:cNvGraphicFramePr>
                  <a:graphicFrameLocks/>
                </wp:cNvGraphicFramePr>
                <a:graphic>
                  <a:graphicData uri="http://schemas.microsoft.com/office/word/2010/wordprocessingShape">
                    <wps:wsp>
                      <wps:cNvPr id="260" name="Graphic 26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415165pt;width:144.020pt;height:.72003pt;mso-position-horizontal-relative:page;mso-position-vertical-relative:paragraph;z-index:-15716864;mso-wrap-distance-left:0;mso-wrap-distance-right:0" id="docshape232" filled="true" fillcolor="#000000" stroked="false">
                <v:fill type="solid"/>
                <w10:wrap type="topAndBottom"/>
              </v:rect>
            </w:pict>
          </mc:Fallback>
        </mc:AlternateContent>
      </w:r>
    </w:p>
    <w:p>
      <w:pPr>
        <w:spacing w:before="101"/>
        <w:ind w:left="743" w:right="0" w:firstLine="0"/>
        <w:jc w:val="left"/>
        <w:rPr>
          <w:sz w:val="20"/>
        </w:rPr>
      </w:pPr>
      <w:bookmarkStart w:name="_bookmark62" w:id="63"/>
      <w:bookmarkEnd w:id="63"/>
      <w:r>
        <w:rPr/>
      </w:r>
      <w:r>
        <w:rPr>
          <w:sz w:val="20"/>
          <w:vertAlign w:val="superscript"/>
        </w:rPr>
        <w:t>39</w:t>
      </w:r>
      <w:r>
        <w:rPr>
          <w:spacing w:val="68"/>
          <w:w w:val="150"/>
          <w:sz w:val="20"/>
          <w:vertAlign w:val="baseline"/>
        </w:rPr>
        <w:t> </w:t>
      </w:r>
      <w:r>
        <w:rPr>
          <w:sz w:val="20"/>
          <w:vertAlign w:val="baseline"/>
        </w:rPr>
        <w:t>M.</w:t>
      </w:r>
      <w:r>
        <w:rPr>
          <w:spacing w:val="69"/>
          <w:w w:val="150"/>
          <w:sz w:val="20"/>
          <w:vertAlign w:val="baseline"/>
        </w:rPr>
        <w:t> </w:t>
      </w:r>
      <w:r>
        <w:rPr>
          <w:sz w:val="20"/>
          <w:vertAlign w:val="baseline"/>
        </w:rPr>
        <w:t>Nasyah</w:t>
      </w:r>
      <w:r>
        <w:rPr>
          <w:spacing w:val="70"/>
          <w:w w:val="150"/>
          <w:sz w:val="20"/>
          <w:vertAlign w:val="baseline"/>
        </w:rPr>
        <w:t> </w:t>
      </w:r>
      <w:r>
        <w:rPr>
          <w:sz w:val="20"/>
          <w:vertAlign w:val="baseline"/>
        </w:rPr>
        <w:t>Agus</w:t>
      </w:r>
      <w:r>
        <w:rPr>
          <w:spacing w:val="67"/>
          <w:w w:val="150"/>
          <w:sz w:val="20"/>
          <w:vertAlign w:val="baseline"/>
        </w:rPr>
        <w:t> </w:t>
      </w:r>
      <w:r>
        <w:rPr>
          <w:sz w:val="20"/>
          <w:vertAlign w:val="baseline"/>
        </w:rPr>
        <w:t>Saputra,</w:t>
      </w:r>
      <w:r>
        <w:rPr>
          <w:spacing w:val="69"/>
          <w:w w:val="150"/>
          <w:sz w:val="20"/>
          <w:vertAlign w:val="baseline"/>
        </w:rPr>
        <w:t> </w:t>
      </w:r>
      <w:r>
        <w:rPr>
          <w:sz w:val="20"/>
          <w:vertAlign w:val="baseline"/>
        </w:rPr>
        <w:t>‘Pasar</w:t>
      </w:r>
      <w:r>
        <w:rPr>
          <w:spacing w:val="69"/>
          <w:w w:val="150"/>
          <w:sz w:val="20"/>
          <w:vertAlign w:val="baseline"/>
        </w:rPr>
        <w:t> </w:t>
      </w:r>
      <w:r>
        <w:rPr>
          <w:sz w:val="20"/>
          <w:vertAlign w:val="baseline"/>
        </w:rPr>
        <w:t>Modal</w:t>
      </w:r>
      <w:r>
        <w:rPr>
          <w:spacing w:val="68"/>
          <w:w w:val="150"/>
          <w:sz w:val="20"/>
          <w:vertAlign w:val="baseline"/>
        </w:rPr>
        <w:t> </w:t>
      </w:r>
      <w:r>
        <w:rPr>
          <w:sz w:val="20"/>
          <w:vertAlign w:val="baseline"/>
        </w:rPr>
        <w:t>Syariah</w:t>
      </w:r>
      <w:r>
        <w:rPr>
          <w:spacing w:val="69"/>
          <w:w w:val="150"/>
          <w:sz w:val="20"/>
          <w:vertAlign w:val="baseline"/>
        </w:rPr>
        <w:t> </w:t>
      </w:r>
      <w:r>
        <w:rPr>
          <w:sz w:val="20"/>
          <w:vertAlign w:val="baseline"/>
        </w:rPr>
        <w:t>Di</w:t>
      </w:r>
      <w:r>
        <w:rPr>
          <w:spacing w:val="69"/>
          <w:w w:val="150"/>
          <w:sz w:val="20"/>
          <w:vertAlign w:val="baseline"/>
        </w:rPr>
        <w:t> </w:t>
      </w:r>
      <w:r>
        <w:rPr>
          <w:sz w:val="20"/>
          <w:vertAlign w:val="baseline"/>
        </w:rPr>
        <w:t>Indonesia’,</w:t>
      </w:r>
      <w:r>
        <w:rPr>
          <w:spacing w:val="75"/>
          <w:w w:val="150"/>
          <w:sz w:val="20"/>
          <w:vertAlign w:val="baseline"/>
        </w:rPr>
        <w:t> </w:t>
      </w:r>
      <w:r>
        <w:rPr>
          <w:i/>
          <w:sz w:val="20"/>
          <w:vertAlign w:val="baseline"/>
        </w:rPr>
        <w:t>Al_Qanun</w:t>
      </w:r>
      <w:r>
        <w:rPr>
          <w:sz w:val="20"/>
          <w:vertAlign w:val="baseline"/>
        </w:rPr>
        <w:t>,</w:t>
      </w:r>
      <w:r>
        <w:rPr>
          <w:spacing w:val="70"/>
          <w:w w:val="150"/>
          <w:sz w:val="20"/>
          <w:vertAlign w:val="baseline"/>
        </w:rPr>
        <w:t> </w:t>
      </w:r>
      <w:r>
        <w:rPr>
          <w:sz w:val="20"/>
          <w:vertAlign w:val="baseline"/>
        </w:rPr>
        <w:t>17.1</w:t>
      </w:r>
      <w:r>
        <w:rPr>
          <w:spacing w:val="69"/>
          <w:w w:val="150"/>
          <w:sz w:val="20"/>
          <w:vertAlign w:val="baseline"/>
        </w:rPr>
        <w:t> </w:t>
      </w:r>
      <w:r>
        <w:rPr>
          <w:spacing w:val="-2"/>
          <w:sz w:val="20"/>
          <w:vertAlign w:val="baseline"/>
        </w:rPr>
        <w:t>(2014)</w:t>
      </w:r>
    </w:p>
    <w:p>
      <w:pPr>
        <w:spacing w:line="229" w:lineRule="exact" w:before="0"/>
        <w:ind w:left="23" w:right="0" w:firstLine="0"/>
        <w:jc w:val="left"/>
        <w:rPr>
          <w:sz w:val="20"/>
        </w:rPr>
      </w:pPr>
      <w:r>
        <w:rPr>
          <w:spacing w:val="-2"/>
          <w:sz w:val="20"/>
        </w:rPr>
        <w:t>&lt;https://doi.org/10.15642/elqist.2011.1.1.15-</w:t>
      </w:r>
      <w:r>
        <w:rPr>
          <w:spacing w:val="-4"/>
          <w:sz w:val="20"/>
        </w:rPr>
        <w:t>40&gt;.</w:t>
      </w:r>
    </w:p>
    <w:p>
      <w:pPr>
        <w:spacing w:before="0"/>
        <w:ind w:left="23" w:right="159" w:firstLine="719"/>
        <w:jc w:val="left"/>
        <w:rPr>
          <w:sz w:val="20"/>
        </w:rPr>
      </w:pPr>
      <w:bookmarkStart w:name="_bookmark63" w:id="64"/>
      <w:bookmarkEnd w:id="64"/>
      <w:r>
        <w:rPr/>
      </w:r>
      <w:r>
        <w:rPr>
          <w:sz w:val="20"/>
          <w:vertAlign w:val="superscript"/>
        </w:rPr>
        <w:t>40</w:t>
      </w:r>
      <w:r>
        <w:rPr>
          <w:spacing w:val="-13"/>
          <w:sz w:val="20"/>
          <w:vertAlign w:val="baseline"/>
        </w:rPr>
        <w:t> </w:t>
      </w:r>
      <w:r>
        <w:rPr>
          <w:sz w:val="20"/>
          <w:vertAlign w:val="baseline"/>
        </w:rPr>
        <w:t>Muhammad</w:t>
      </w:r>
      <w:r>
        <w:rPr>
          <w:spacing w:val="-12"/>
          <w:sz w:val="20"/>
          <w:vertAlign w:val="baseline"/>
        </w:rPr>
        <w:t> </w:t>
      </w:r>
      <w:r>
        <w:rPr>
          <w:sz w:val="20"/>
          <w:vertAlign w:val="baseline"/>
        </w:rPr>
        <w:t>Chaidir,</w:t>
      </w:r>
      <w:r>
        <w:rPr>
          <w:spacing w:val="-13"/>
          <w:sz w:val="20"/>
          <w:vertAlign w:val="baseline"/>
        </w:rPr>
        <w:t> </w:t>
      </w:r>
      <w:r>
        <w:rPr>
          <w:sz w:val="20"/>
          <w:vertAlign w:val="baseline"/>
        </w:rPr>
        <w:t>Ichsan</w:t>
      </w:r>
      <w:r>
        <w:rPr>
          <w:spacing w:val="-12"/>
          <w:sz w:val="20"/>
          <w:vertAlign w:val="baseline"/>
        </w:rPr>
        <w:t> </w:t>
      </w:r>
      <w:r>
        <w:rPr>
          <w:sz w:val="20"/>
          <w:vertAlign w:val="baseline"/>
        </w:rPr>
        <w:t>Iqbal,</w:t>
      </w:r>
      <w:r>
        <w:rPr>
          <w:spacing w:val="-13"/>
          <w:sz w:val="20"/>
          <w:vertAlign w:val="baseline"/>
        </w:rPr>
        <w:t> </w:t>
      </w:r>
      <w:r>
        <w:rPr>
          <w:sz w:val="20"/>
          <w:vertAlign w:val="baseline"/>
        </w:rPr>
        <w:t>and</w:t>
      </w:r>
      <w:r>
        <w:rPr>
          <w:spacing w:val="-12"/>
          <w:sz w:val="20"/>
          <w:vertAlign w:val="baseline"/>
        </w:rPr>
        <w:t> </w:t>
      </w:r>
      <w:r>
        <w:rPr>
          <w:sz w:val="20"/>
          <w:vertAlign w:val="baseline"/>
        </w:rPr>
        <w:t>Sy.</w:t>
      </w:r>
      <w:r>
        <w:rPr>
          <w:spacing w:val="-13"/>
          <w:sz w:val="20"/>
          <w:vertAlign w:val="baseline"/>
        </w:rPr>
        <w:t> </w:t>
      </w:r>
      <w:r>
        <w:rPr>
          <w:sz w:val="20"/>
          <w:vertAlign w:val="baseline"/>
        </w:rPr>
        <w:t>Abdur</w:t>
      </w:r>
      <w:r>
        <w:rPr>
          <w:spacing w:val="-12"/>
          <w:sz w:val="20"/>
          <w:vertAlign w:val="baseline"/>
        </w:rPr>
        <w:t> </w:t>
      </w:r>
      <w:r>
        <w:rPr>
          <w:sz w:val="20"/>
          <w:vertAlign w:val="baseline"/>
        </w:rPr>
        <w:t>Razak,</w:t>
      </w:r>
      <w:r>
        <w:rPr>
          <w:spacing w:val="-13"/>
          <w:sz w:val="20"/>
          <w:vertAlign w:val="baseline"/>
        </w:rPr>
        <w:t> </w:t>
      </w:r>
      <w:r>
        <w:rPr>
          <w:sz w:val="20"/>
          <w:vertAlign w:val="baseline"/>
        </w:rPr>
        <w:t>‘Etika</w:t>
      </w:r>
      <w:r>
        <w:rPr>
          <w:spacing w:val="-12"/>
          <w:sz w:val="20"/>
          <w:vertAlign w:val="baseline"/>
        </w:rPr>
        <w:t> </w:t>
      </w:r>
      <w:r>
        <w:rPr>
          <w:sz w:val="20"/>
          <w:vertAlign w:val="baseline"/>
        </w:rPr>
        <w:t>Investasi</w:t>
      </w:r>
      <w:r>
        <w:rPr>
          <w:spacing w:val="-13"/>
          <w:sz w:val="20"/>
          <w:vertAlign w:val="baseline"/>
        </w:rPr>
        <w:t> </w:t>
      </w:r>
      <w:r>
        <w:rPr>
          <w:sz w:val="20"/>
          <w:vertAlign w:val="baseline"/>
        </w:rPr>
        <w:t>Syariah’,</w:t>
      </w:r>
      <w:r>
        <w:rPr>
          <w:spacing w:val="-12"/>
          <w:sz w:val="20"/>
          <w:vertAlign w:val="baseline"/>
        </w:rPr>
        <w:t> </w:t>
      </w:r>
      <w:r>
        <w:rPr>
          <w:i/>
          <w:sz w:val="20"/>
          <w:vertAlign w:val="baseline"/>
        </w:rPr>
        <w:t>Qus-Qazah:</w:t>
      </w:r>
      <w:r>
        <w:rPr>
          <w:i/>
          <w:spacing w:val="-13"/>
          <w:sz w:val="20"/>
          <w:vertAlign w:val="baseline"/>
        </w:rPr>
        <w:t> </w:t>
      </w:r>
      <w:r>
        <w:rPr>
          <w:i/>
          <w:sz w:val="20"/>
          <w:vertAlign w:val="baseline"/>
        </w:rPr>
        <w:t>Jounal of Islamic Economics</w:t>
      </w:r>
      <w:r>
        <w:rPr>
          <w:sz w:val="20"/>
          <w:vertAlign w:val="baseline"/>
        </w:rPr>
        <w:t>, 1.1 (2019), 3–15.</w:t>
      </w:r>
    </w:p>
    <w:p>
      <w:pPr>
        <w:spacing w:before="0"/>
        <w:ind w:left="23" w:right="0" w:firstLine="719"/>
        <w:jc w:val="left"/>
        <w:rPr>
          <w:sz w:val="20"/>
        </w:rPr>
      </w:pPr>
      <w:bookmarkStart w:name="_bookmark64" w:id="65"/>
      <w:bookmarkEnd w:id="65"/>
      <w:r>
        <w:rPr/>
      </w:r>
      <w:r>
        <w:rPr>
          <w:sz w:val="20"/>
          <w:vertAlign w:val="superscript"/>
        </w:rPr>
        <w:t>41</w:t>
      </w:r>
      <w:r>
        <w:rPr>
          <w:spacing w:val="35"/>
          <w:sz w:val="20"/>
          <w:vertAlign w:val="baseline"/>
        </w:rPr>
        <w:t> </w:t>
      </w:r>
      <w:r>
        <w:rPr>
          <w:sz w:val="20"/>
          <w:vertAlign w:val="baseline"/>
        </w:rPr>
        <w:t>Heri</w:t>
      </w:r>
      <w:r>
        <w:rPr>
          <w:spacing w:val="35"/>
          <w:sz w:val="20"/>
          <w:vertAlign w:val="baseline"/>
        </w:rPr>
        <w:t> </w:t>
      </w:r>
      <w:r>
        <w:rPr>
          <w:sz w:val="20"/>
          <w:vertAlign w:val="baseline"/>
        </w:rPr>
        <w:t>Sudarsono,</w:t>
      </w:r>
      <w:r>
        <w:rPr>
          <w:spacing w:val="38"/>
          <w:sz w:val="20"/>
          <w:vertAlign w:val="baseline"/>
        </w:rPr>
        <w:t> </w:t>
      </w:r>
      <w:r>
        <w:rPr>
          <w:i/>
          <w:sz w:val="20"/>
          <w:vertAlign w:val="baseline"/>
        </w:rPr>
        <w:t>Bank</w:t>
      </w:r>
      <w:r>
        <w:rPr>
          <w:i/>
          <w:spacing w:val="36"/>
          <w:sz w:val="20"/>
          <w:vertAlign w:val="baseline"/>
        </w:rPr>
        <w:t> </w:t>
      </w:r>
      <w:r>
        <w:rPr>
          <w:i/>
          <w:sz w:val="20"/>
          <w:vertAlign w:val="baseline"/>
        </w:rPr>
        <w:t>Dan</w:t>
      </w:r>
      <w:r>
        <w:rPr>
          <w:i/>
          <w:spacing w:val="36"/>
          <w:sz w:val="20"/>
          <w:vertAlign w:val="baseline"/>
        </w:rPr>
        <w:t> </w:t>
      </w:r>
      <w:r>
        <w:rPr>
          <w:i/>
          <w:sz w:val="20"/>
          <w:vertAlign w:val="baseline"/>
        </w:rPr>
        <w:t>Lembaga</w:t>
      </w:r>
      <w:r>
        <w:rPr>
          <w:i/>
          <w:spacing w:val="36"/>
          <w:sz w:val="20"/>
          <w:vertAlign w:val="baseline"/>
        </w:rPr>
        <w:t> </w:t>
      </w:r>
      <w:r>
        <w:rPr>
          <w:i/>
          <w:sz w:val="20"/>
          <w:vertAlign w:val="baseline"/>
        </w:rPr>
        <w:t>Keuangan</w:t>
      </w:r>
      <w:r>
        <w:rPr>
          <w:i/>
          <w:spacing w:val="36"/>
          <w:sz w:val="20"/>
          <w:vertAlign w:val="baseline"/>
        </w:rPr>
        <w:t> </w:t>
      </w:r>
      <w:r>
        <w:rPr>
          <w:i/>
          <w:sz w:val="20"/>
          <w:vertAlign w:val="baseline"/>
        </w:rPr>
        <w:t>Syari’ah</w:t>
      </w:r>
      <w:r>
        <w:rPr>
          <w:i/>
          <w:spacing w:val="34"/>
          <w:sz w:val="20"/>
          <w:vertAlign w:val="baseline"/>
        </w:rPr>
        <w:t> </w:t>
      </w:r>
      <w:r>
        <w:rPr>
          <w:i/>
          <w:sz w:val="20"/>
          <w:vertAlign w:val="baseline"/>
        </w:rPr>
        <w:t>Deskripsi</w:t>
      </w:r>
      <w:r>
        <w:rPr>
          <w:i/>
          <w:spacing w:val="35"/>
          <w:sz w:val="20"/>
          <w:vertAlign w:val="baseline"/>
        </w:rPr>
        <w:t> </w:t>
      </w:r>
      <w:r>
        <w:rPr>
          <w:i/>
          <w:sz w:val="20"/>
          <w:vertAlign w:val="baseline"/>
        </w:rPr>
        <w:t>Dan</w:t>
      </w:r>
      <w:r>
        <w:rPr>
          <w:i/>
          <w:spacing w:val="36"/>
          <w:sz w:val="20"/>
          <w:vertAlign w:val="baseline"/>
        </w:rPr>
        <w:t> </w:t>
      </w:r>
      <w:r>
        <w:rPr>
          <w:i/>
          <w:sz w:val="20"/>
          <w:vertAlign w:val="baseline"/>
        </w:rPr>
        <w:t>Ilustraasi</w:t>
      </w:r>
      <w:r>
        <w:rPr>
          <w:i/>
          <w:spacing w:val="40"/>
          <w:sz w:val="20"/>
          <w:vertAlign w:val="baseline"/>
        </w:rPr>
        <w:t> </w:t>
      </w:r>
      <w:r>
        <w:rPr>
          <w:sz w:val="20"/>
          <w:vertAlign w:val="baseline"/>
        </w:rPr>
        <w:t>(Yogyakarta: EKONISIA, 2007).</w:t>
      </w:r>
    </w:p>
    <w:p>
      <w:pPr>
        <w:spacing w:after="0"/>
        <w:jc w:val="left"/>
        <w:rPr>
          <w:sz w:val="20"/>
        </w:rPr>
        <w:sectPr>
          <w:pgSz w:w="11910" w:h="16840"/>
          <w:pgMar w:header="0" w:footer="1000" w:top="1360" w:bottom="1200" w:left="1417" w:right="1275"/>
        </w:sectPr>
      </w:pPr>
    </w:p>
    <w:p>
      <w:pPr>
        <w:pStyle w:val="ListParagraph"/>
        <w:numPr>
          <w:ilvl w:val="1"/>
          <w:numId w:val="14"/>
        </w:numPr>
        <w:tabs>
          <w:tab w:pos="2544" w:val="left" w:leader="none"/>
        </w:tabs>
        <w:spacing w:line="360" w:lineRule="auto" w:before="60" w:after="0"/>
        <w:ind w:left="2544" w:right="162" w:hanging="361"/>
        <w:jc w:val="both"/>
        <w:rPr>
          <w:sz w:val="24"/>
        </w:rPr>
      </w:pPr>
      <w:r>
        <w:rPr>
          <w:sz w:val="24"/>
        </w:rPr>
        <w:t>Membedakan kegiatan bisnis agar terhindar dari fluktuasi harga saham yang bersifat sementara.</w:t>
      </w:r>
    </w:p>
    <w:p>
      <w:pPr>
        <w:pStyle w:val="ListParagraph"/>
        <w:numPr>
          <w:ilvl w:val="1"/>
          <w:numId w:val="14"/>
        </w:numPr>
        <w:tabs>
          <w:tab w:pos="2544" w:val="left" w:leader="none"/>
        </w:tabs>
        <w:spacing w:line="360" w:lineRule="auto" w:before="1" w:after="0"/>
        <w:ind w:left="2544" w:right="163" w:hanging="361"/>
        <w:jc w:val="both"/>
        <w:rPr>
          <w:sz w:val="24"/>
        </w:rPr>
      </w:pPr>
      <w:r>
        <w:rPr>
          <w:sz w:val="24"/>
        </w:rPr>
        <w:t>Memberikan ruang bagi investasi keuangan didasarkan pada seberapa baik kinerja bisnis seperti yang terlihat dari harga saham.</w:t>
      </w:r>
    </w:p>
    <w:p>
      <w:pPr>
        <w:pStyle w:val="BodyText"/>
        <w:spacing w:line="360" w:lineRule="auto" w:before="161"/>
        <w:ind w:left="2183" w:right="168" w:firstLine="360"/>
        <w:jc w:val="both"/>
      </w:pPr>
      <w:r>
        <w:rPr/>
        <w:t>Berikut ini adalah beberapa barang atau instrumen yang tersedia di pasar modal syariah Indonesia:</w:t>
      </w:r>
      <w:hyperlink w:history="true" w:anchor="_bookmark65">
        <w:r>
          <w:rPr>
            <w:vertAlign w:val="superscript"/>
          </w:rPr>
          <w:t>42</w:t>
        </w:r>
      </w:hyperlink>
    </w:p>
    <w:p>
      <w:pPr>
        <w:pStyle w:val="ListParagraph"/>
        <w:numPr>
          <w:ilvl w:val="2"/>
          <w:numId w:val="14"/>
        </w:numPr>
        <w:tabs>
          <w:tab w:pos="2903" w:val="left" w:leader="none"/>
        </w:tabs>
        <w:spacing w:line="240" w:lineRule="auto" w:before="158" w:after="0"/>
        <w:ind w:left="2903" w:right="0" w:hanging="359"/>
        <w:jc w:val="both"/>
        <w:rPr>
          <w:sz w:val="24"/>
        </w:rPr>
      </w:pPr>
      <w:r>
        <w:rPr>
          <w:sz w:val="24"/>
        </w:rPr>
        <w:t>Saham</w:t>
      </w:r>
      <w:r>
        <w:rPr>
          <w:spacing w:val="-4"/>
          <w:sz w:val="24"/>
        </w:rPr>
        <w:t> </w:t>
      </w:r>
      <w:r>
        <w:rPr>
          <w:spacing w:val="-2"/>
          <w:sz w:val="24"/>
        </w:rPr>
        <w:t>syariah</w:t>
      </w:r>
    </w:p>
    <w:p>
      <w:pPr>
        <w:pStyle w:val="BodyText"/>
        <w:spacing w:line="360" w:lineRule="auto" w:before="139"/>
        <w:ind w:left="2904" w:right="160" w:firstLine="720"/>
        <w:jc w:val="both"/>
      </w:pPr>
      <w:r>
        <w:rPr/>
        <w:t>Saham syariah berfungsi sebagai bukti bahwa modal perusahaan terbatas. Oleh karena itu, pemegang saham dinyatakan berhak memiliki perusahaan tersebut. Semakin banyak</w:t>
      </w:r>
      <w:r>
        <w:rPr>
          <w:spacing w:val="-3"/>
        </w:rPr>
        <w:t> </w:t>
      </w:r>
      <w:r>
        <w:rPr/>
        <w:t>saham</w:t>
      </w:r>
      <w:r>
        <w:rPr>
          <w:spacing w:val="-3"/>
        </w:rPr>
        <w:t> </w:t>
      </w:r>
      <w:r>
        <w:rPr/>
        <w:t>yang</w:t>
      </w:r>
      <w:r>
        <w:rPr>
          <w:spacing w:val="-3"/>
        </w:rPr>
        <w:t> </w:t>
      </w:r>
      <w:r>
        <w:rPr/>
        <w:t>dimilikinya,</w:t>
      </w:r>
      <w:r>
        <w:rPr>
          <w:spacing w:val="-4"/>
        </w:rPr>
        <w:t> </w:t>
      </w:r>
      <w:r>
        <w:rPr/>
        <w:t>semakin</w:t>
      </w:r>
      <w:r>
        <w:rPr>
          <w:spacing w:val="-3"/>
        </w:rPr>
        <w:t> </w:t>
      </w:r>
      <w:r>
        <w:rPr/>
        <w:t>besar</w:t>
      </w:r>
      <w:r>
        <w:rPr>
          <w:spacing w:val="-4"/>
        </w:rPr>
        <w:t> </w:t>
      </w:r>
      <w:r>
        <w:rPr/>
        <w:t>kekuasaan</w:t>
      </w:r>
      <w:r>
        <w:rPr>
          <w:spacing w:val="-3"/>
        </w:rPr>
        <w:t> </w:t>
      </w:r>
      <w:r>
        <w:rPr/>
        <w:t>yang dimilikinya atas bisnis tersebut. Keuntungan dari saham dibagikan sebagai dividen. Sebaliknya, saham syariah adalah dokumen yang membuktikan kepemilikan sebuah perusahaan dan diterbitkan oleh perusahaan yang metode bisnis atau gaya manajemennya tidak bertentangan dengan hukum syariah.</w:t>
      </w:r>
    </w:p>
    <w:p>
      <w:pPr>
        <w:pStyle w:val="ListParagraph"/>
        <w:numPr>
          <w:ilvl w:val="2"/>
          <w:numId w:val="14"/>
        </w:numPr>
        <w:tabs>
          <w:tab w:pos="2903" w:val="left" w:leader="none"/>
        </w:tabs>
        <w:spacing w:line="276" w:lineRule="exact" w:before="0" w:after="0"/>
        <w:ind w:left="2903" w:right="0" w:hanging="359"/>
        <w:jc w:val="both"/>
        <w:rPr>
          <w:sz w:val="24"/>
        </w:rPr>
      </w:pPr>
      <w:r>
        <w:rPr>
          <w:sz w:val="24"/>
        </w:rPr>
        <w:t>Obligasi </w:t>
      </w:r>
      <w:r>
        <w:rPr>
          <w:spacing w:val="-2"/>
          <w:sz w:val="24"/>
        </w:rPr>
        <w:t>Syariah</w:t>
      </w:r>
    </w:p>
    <w:p>
      <w:pPr>
        <w:pStyle w:val="BodyText"/>
        <w:spacing w:line="360" w:lineRule="auto" w:before="140"/>
        <w:ind w:left="2904" w:right="160" w:firstLine="720"/>
        <w:jc w:val="both"/>
      </w:pPr>
      <w:r>
        <w:rPr/>
        <w:t>Obligasi syariah merupakan surat berharga jangka panjang yang diterbitkan berlandaskan aturan syariah oleh penerbit</w:t>
      </w:r>
      <w:r>
        <w:rPr>
          <w:spacing w:val="-15"/>
        </w:rPr>
        <w:t> </w:t>
      </w:r>
      <w:r>
        <w:rPr/>
        <w:t>untuk</w:t>
      </w:r>
      <w:r>
        <w:rPr>
          <w:spacing w:val="-15"/>
        </w:rPr>
        <w:t> </w:t>
      </w:r>
      <w:r>
        <w:rPr/>
        <w:t>memberikan</w:t>
      </w:r>
      <w:r>
        <w:rPr>
          <w:spacing w:val="-15"/>
        </w:rPr>
        <w:t> </w:t>
      </w:r>
      <w:r>
        <w:rPr/>
        <w:t>imbal</w:t>
      </w:r>
      <w:r>
        <w:rPr>
          <w:spacing w:val="-15"/>
        </w:rPr>
        <w:t> </w:t>
      </w:r>
      <w:r>
        <w:rPr/>
        <w:t>hasil,</w:t>
      </w:r>
      <w:r>
        <w:rPr>
          <w:spacing w:val="-15"/>
        </w:rPr>
        <w:t> </w:t>
      </w:r>
      <w:r>
        <w:rPr/>
        <w:t>margin,</w:t>
      </w:r>
      <w:r>
        <w:rPr>
          <w:spacing w:val="-15"/>
        </w:rPr>
        <w:t> </w:t>
      </w:r>
      <w:r>
        <w:rPr/>
        <w:t>atau</w:t>
      </w:r>
      <w:r>
        <w:rPr>
          <w:spacing w:val="-15"/>
        </w:rPr>
        <w:t> </w:t>
      </w:r>
      <w:r>
        <w:rPr/>
        <w:t>pendapatan biaya kepada pemegang obligasi syariah dan mengembalikan uang obligasi pada saat jatuh tempo. Obligasi ini sesuai dengan Fatwa Dewan Syariah Nasional No. 32/DSN-MUI/IX/2002. Sukuk,</w:t>
      </w:r>
      <w:r>
        <w:rPr>
          <w:spacing w:val="-9"/>
        </w:rPr>
        <w:t> </w:t>
      </w:r>
      <w:r>
        <w:rPr/>
        <w:t>sebutan</w:t>
      </w:r>
      <w:r>
        <w:rPr>
          <w:spacing w:val="-10"/>
        </w:rPr>
        <w:t> </w:t>
      </w:r>
      <w:r>
        <w:rPr/>
        <w:t>lain</w:t>
      </w:r>
      <w:r>
        <w:rPr>
          <w:spacing w:val="-9"/>
        </w:rPr>
        <w:t> </w:t>
      </w:r>
      <w:r>
        <w:rPr/>
        <w:t>untuk</w:t>
      </w:r>
      <w:r>
        <w:rPr>
          <w:spacing w:val="-9"/>
        </w:rPr>
        <w:t> </w:t>
      </w:r>
      <w:r>
        <w:rPr/>
        <w:t>obligasi</w:t>
      </w:r>
      <w:r>
        <w:rPr>
          <w:spacing w:val="-9"/>
        </w:rPr>
        <w:t> </w:t>
      </w:r>
      <w:r>
        <w:rPr/>
        <w:t>syariah</w:t>
      </w:r>
      <w:r>
        <w:rPr>
          <w:spacing w:val="-6"/>
        </w:rPr>
        <w:t> </w:t>
      </w:r>
      <w:r>
        <w:rPr/>
        <w:t>adalah</w:t>
      </w:r>
      <w:r>
        <w:rPr>
          <w:spacing w:val="-6"/>
        </w:rPr>
        <w:t> </w:t>
      </w:r>
      <w:r>
        <w:rPr/>
        <w:t>surat</w:t>
      </w:r>
      <w:r>
        <w:rPr>
          <w:spacing w:val="-9"/>
        </w:rPr>
        <w:t> </w:t>
      </w:r>
      <w:r>
        <w:rPr/>
        <w:t>berharga syariah yang memiliki nilai yang sama dan disajikan dalam bentuk</w:t>
      </w:r>
      <w:r>
        <w:rPr>
          <w:spacing w:val="-15"/>
        </w:rPr>
        <w:t> </w:t>
      </w:r>
      <w:r>
        <w:rPr/>
        <w:t>sertifikat</w:t>
      </w:r>
      <w:r>
        <w:rPr>
          <w:spacing w:val="-15"/>
        </w:rPr>
        <w:t> </w:t>
      </w:r>
      <w:r>
        <w:rPr/>
        <w:t>atau</w:t>
      </w:r>
      <w:r>
        <w:rPr>
          <w:spacing w:val="-15"/>
        </w:rPr>
        <w:t> </w:t>
      </w:r>
      <w:r>
        <w:rPr/>
        <w:t>bukti</w:t>
      </w:r>
      <w:r>
        <w:rPr>
          <w:spacing w:val="-15"/>
        </w:rPr>
        <w:t> </w:t>
      </w:r>
      <w:r>
        <w:rPr/>
        <w:t>kepemilikan.</w:t>
      </w:r>
      <w:r>
        <w:rPr>
          <w:spacing w:val="-15"/>
        </w:rPr>
        <w:t> </w:t>
      </w:r>
      <w:r>
        <w:rPr/>
        <w:t>Sukuk</w:t>
      </w:r>
      <w:r>
        <w:rPr>
          <w:spacing w:val="-15"/>
        </w:rPr>
        <w:t> </w:t>
      </w:r>
      <w:r>
        <w:rPr/>
        <w:t>menggambarkan kekuasaan aset berwujud tertentu yang sulit terpisahkan atau tidak terbagi, nilai manfaat dan layanan untuk aset proyek atau kegiatan investasi tertentu, dan kepemilikan aset proyek atau kegiatan tertentu.</w:t>
      </w:r>
    </w:p>
    <w:p>
      <w:pPr>
        <w:pStyle w:val="BodyText"/>
        <w:spacing w:before="159"/>
        <w:rPr>
          <w:sz w:val="20"/>
        </w:rPr>
      </w:pPr>
      <w:r>
        <w:rPr>
          <w:sz w:val="20"/>
        </w:rPr>
        <mc:AlternateContent>
          <mc:Choice Requires="wps">
            <w:drawing>
              <wp:anchor distT="0" distB="0" distL="0" distR="0" allowOverlap="1" layoutInCell="1" locked="0" behindDoc="1" simplePos="0" relativeHeight="487600128">
                <wp:simplePos x="0" y="0"/>
                <wp:positionH relativeFrom="page">
                  <wp:posOffset>914704</wp:posOffset>
                </wp:positionH>
                <wp:positionV relativeFrom="paragraph">
                  <wp:posOffset>262835</wp:posOffset>
                </wp:positionV>
                <wp:extent cx="1829435" cy="9525"/>
                <wp:effectExtent l="0" t="0" r="0" b="0"/>
                <wp:wrapTopAndBottom/>
                <wp:docPr id="261" name="Graphic 261"/>
                <wp:cNvGraphicFramePr>
                  <a:graphicFrameLocks/>
                </wp:cNvGraphicFramePr>
                <a:graphic>
                  <a:graphicData uri="http://schemas.microsoft.com/office/word/2010/wordprocessingShape">
                    <wps:wsp>
                      <wps:cNvPr id="261" name="Graphic 26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695692pt;width:144.020pt;height:.72003pt;mso-position-horizontal-relative:page;mso-position-vertical-relative:paragraph;z-index:-15716352;mso-wrap-distance-left:0;mso-wrap-distance-right:0" id="docshape233" filled="true" fillcolor="#000000" stroked="false">
                <v:fill type="solid"/>
                <w10:wrap type="topAndBottom"/>
              </v:rect>
            </w:pict>
          </mc:Fallback>
        </mc:AlternateContent>
      </w:r>
    </w:p>
    <w:p>
      <w:pPr>
        <w:spacing w:before="101"/>
        <w:ind w:left="23" w:right="159" w:firstLine="719"/>
        <w:jc w:val="both"/>
        <w:rPr>
          <w:sz w:val="20"/>
        </w:rPr>
      </w:pPr>
      <w:bookmarkStart w:name="_bookmark65" w:id="66"/>
      <w:bookmarkEnd w:id="66"/>
      <w:r>
        <w:rPr/>
      </w:r>
      <w:r>
        <w:rPr>
          <w:sz w:val="20"/>
          <w:vertAlign w:val="superscript"/>
        </w:rPr>
        <w:t>42</w:t>
      </w:r>
      <w:r>
        <w:rPr>
          <w:sz w:val="20"/>
          <w:vertAlign w:val="baseline"/>
        </w:rPr>
        <w:t> Heri Irawan and others, ‘Potensi Pasar Modal Syariah Di Indonesia’, </w:t>
      </w:r>
      <w:r>
        <w:rPr>
          <w:i/>
          <w:sz w:val="20"/>
          <w:vertAlign w:val="baseline"/>
        </w:rPr>
        <w:t>Jurnal Asy-Syarikah: Jurnal Lembaga Keuangan, Ekonomi Dan Bisnis Islam</w:t>
      </w:r>
      <w:r>
        <w:rPr>
          <w:sz w:val="20"/>
          <w:vertAlign w:val="baseline"/>
        </w:rPr>
        <w:t>, 5.1 (2023), 59–70 &lt;https://doi.org/10.47435/asy- </w:t>
      </w:r>
      <w:r>
        <w:rPr>
          <w:spacing w:val="-2"/>
          <w:sz w:val="20"/>
          <w:vertAlign w:val="baseline"/>
        </w:rPr>
        <w:t>syarikah.v5i1.1732&gt;.</w:t>
      </w:r>
    </w:p>
    <w:p>
      <w:pPr>
        <w:spacing w:after="0"/>
        <w:jc w:val="both"/>
        <w:rPr>
          <w:sz w:val="20"/>
        </w:rPr>
        <w:sectPr>
          <w:pgSz w:w="11910" w:h="16840"/>
          <w:pgMar w:header="0" w:footer="1000" w:top="1360" w:bottom="1200" w:left="1417" w:right="1275"/>
        </w:sectPr>
      </w:pPr>
    </w:p>
    <w:p>
      <w:pPr>
        <w:pStyle w:val="ListParagraph"/>
        <w:numPr>
          <w:ilvl w:val="2"/>
          <w:numId w:val="14"/>
        </w:numPr>
        <w:tabs>
          <w:tab w:pos="2903" w:val="left" w:leader="none"/>
        </w:tabs>
        <w:spacing w:line="240" w:lineRule="auto" w:before="60" w:after="0"/>
        <w:ind w:left="2903" w:right="0" w:hanging="359"/>
        <w:jc w:val="both"/>
        <w:rPr>
          <w:sz w:val="24"/>
        </w:rPr>
      </w:pPr>
      <w:r>
        <w:rPr>
          <w:sz w:val="24"/>
        </w:rPr>
        <w:t>Reksadana</w:t>
      </w:r>
      <w:r>
        <w:rPr>
          <w:spacing w:val="-4"/>
          <w:sz w:val="24"/>
        </w:rPr>
        <w:t> </w:t>
      </w:r>
      <w:r>
        <w:rPr>
          <w:spacing w:val="-2"/>
          <w:sz w:val="24"/>
        </w:rPr>
        <w:t>Syariah</w:t>
      </w:r>
    </w:p>
    <w:p>
      <w:pPr>
        <w:pStyle w:val="BodyText"/>
        <w:spacing w:line="360" w:lineRule="auto" w:before="138"/>
        <w:ind w:left="2904" w:right="162" w:firstLine="720"/>
        <w:jc w:val="both"/>
      </w:pPr>
      <w:r>
        <w:rPr/>
        <w:t>Reksadana yang mengikuti pedoman dan peraturan syariah</w:t>
      </w:r>
      <w:r>
        <w:rPr>
          <w:spacing w:val="-15"/>
        </w:rPr>
        <w:t> </w:t>
      </w:r>
      <w:r>
        <w:rPr/>
        <w:t>Islam</w:t>
      </w:r>
      <w:r>
        <w:rPr>
          <w:spacing w:val="-15"/>
        </w:rPr>
        <w:t> </w:t>
      </w:r>
      <w:r>
        <w:rPr/>
        <w:t>dikenal</w:t>
      </w:r>
      <w:r>
        <w:rPr>
          <w:spacing w:val="-15"/>
        </w:rPr>
        <w:t> </w:t>
      </w:r>
      <w:r>
        <w:rPr/>
        <w:t>sebagai</w:t>
      </w:r>
      <w:r>
        <w:rPr>
          <w:spacing w:val="-15"/>
        </w:rPr>
        <w:t> </w:t>
      </w:r>
      <w:r>
        <w:rPr/>
        <w:t>reksadana</w:t>
      </w:r>
      <w:r>
        <w:rPr>
          <w:spacing w:val="-15"/>
        </w:rPr>
        <w:t> </w:t>
      </w:r>
      <w:r>
        <w:rPr/>
        <w:t>berbasis</w:t>
      </w:r>
      <w:r>
        <w:rPr>
          <w:spacing w:val="-15"/>
        </w:rPr>
        <w:t> </w:t>
      </w:r>
      <w:r>
        <w:rPr/>
        <w:t>syariah.</w:t>
      </w:r>
      <w:r>
        <w:rPr>
          <w:spacing w:val="-15"/>
        </w:rPr>
        <w:t> </w:t>
      </w:r>
      <w:r>
        <w:rPr/>
        <w:t>Hal</w:t>
      </w:r>
      <w:r>
        <w:rPr>
          <w:spacing w:val="-15"/>
        </w:rPr>
        <w:t> </w:t>
      </w:r>
      <w:r>
        <w:rPr/>
        <w:t>ini dapat dilakukan melalui perjanjian antara investor dan manajer investasi, yang bertindak sebagai pemilik aset dan wakil dari shahib al-mal, atau antara manajer investasi dan pengguna </w:t>
      </w:r>
      <w:r>
        <w:rPr>
          <w:spacing w:val="-2"/>
        </w:rPr>
        <w:t>investasi.</w:t>
      </w:r>
    </w:p>
    <w:p>
      <w:pPr>
        <w:pStyle w:val="ListParagraph"/>
        <w:numPr>
          <w:ilvl w:val="2"/>
          <w:numId w:val="14"/>
        </w:numPr>
        <w:tabs>
          <w:tab w:pos="2903" w:val="left" w:leader="none"/>
        </w:tabs>
        <w:spacing w:line="240" w:lineRule="auto" w:before="0" w:after="0"/>
        <w:ind w:left="2903" w:right="0" w:hanging="359"/>
        <w:jc w:val="both"/>
        <w:rPr>
          <w:sz w:val="24"/>
        </w:rPr>
      </w:pPr>
      <w:r>
        <w:rPr>
          <w:sz w:val="24"/>
        </w:rPr>
        <w:t>Efek</w:t>
      </w:r>
      <w:r>
        <w:rPr>
          <w:spacing w:val="-2"/>
          <w:sz w:val="24"/>
        </w:rPr>
        <w:t> </w:t>
      </w:r>
      <w:r>
        <w:rPr>
          <w:sz w:val="24"/>
        </w:rPr>
        <w:t>Beragun</w:t>
      </w:r>
      <w:r>
        <w:rPr>
          <w:spacing w:val="-2"/>
          <w:sz w:val="24"/>
        </w:rPr>
        <w:t> </w:t>
      </w:r>
      <w:r>
        <w:rPr>
          <w:sz w:val="24"/>
        </w:rPr>
        <w:t>Aset</w:t>
      </w:r>
      <w:r>
        <w:rPr>
          <w:spacing w:val="-1"/>
          <w:sz w:val="24"/>
        </w:rPr>
        <w:t> </w:t>
      </w:r>
      <w:r>
        <w:rPr>
          <w:spacing w:val="-2"/>
          <w:sz w:val="24"/>
        </w:rPr>
        <w:t>Syariah</w:t>
      </w:r>
    </w:p>
    <w:p>
      <w:pPr>
        <w:pStyle w:val="BodyText"/>
        <w:spacing w:line="360" w:lineRule="auto" w:before="139"/>
        <w:ind w:left="2904" w:right="163" w:firstLine="720"/>
        <w:jc w:val="both"/>
      </w:pPr>
      <w:r>
        <w:rPr/>
        <w:t>Efek Beragun Aset Syariah adalah aset keuangan yang meliputi tagihan atas surat berharga komersial, tagihan berjangka, penjualan dan pembelian</w:t>
      </w:r>
      <w:r>
        <w:rPr>
          <w:spacing w:val="-1"/>
        </w:rPr>
        <w:t> </w:t>
      </w:r>
      <w:r>
        <w:rPr/>
        <w:t>kepemilikan aset fisik oleh lembaga keuangan, surat berharga berjenis investasi yang dijamin oleh pemerintah, peningkatan investasi/fasilitas arus kas, dan pembiayaan yang dipersamakan dengan itu sesuai dengan prinsip-prinsip syariah. Kontrak investasi kolektif EBA Syariah mengatur penerbitan efek-efek tersebut.</w:t>
      </w:r>
    </w:p>
    <w:p>
      <w:pPr>
        <w:pStyle w:val="ListParagraph"/>
        <w:numPr>
          <w:ilvl w:val="2"/>
          <w:numId w:val="14"/>
        </w:numPr>
        <w:tabs>
          <w:tab w:pos="2903" w:val="left" w:leader="none"/>
        </w:tabs>
        <w:spacing w:line="240" w:lineRule="auto" w:before="1" w:after="0"/>
        <w:ind w:left="2903" w:right="0" w:hanging="359"/>
        <w:jc w:val="both"/>
        <w:rPr>
          <w:sz w:val="24"/>
        </w:rPr>
      </w:pPr>
      <w:r>
        <w:rPr>
          <w:i/>
          <w:sz w:val="24"/>
        </w:rPr>
        <w:t>Rights</w:t>
      </w:r>
      <w:r>
        <w:rPr>
          <w:i/>
          <w:spacing w:val="-3"/>
          <w:sz w:val="24"/>
        </w:rPr>
        <w:t> </w:t>
      </w:r>
      <w:r>
        <w:rPr>
          <w:i/>
          <w:sz w:val="24"/>
        </w:rPr>
        <w:t>Issue</w:t>
      </w:r>
      <w:r>
        <w:rPr>
          <w:sz w:val="24"/>
        </w:rPr>
        <w:t>:</w:t>
      </w:r>
      <w:r>
        <w:rPr>
          <w:spacing w:val="-1"/>
          <w:sz w:val="24"/>
        </w:rPr>
        <w:t> </w:t>
      </w:r>
      <w:r>
        <w:rPr>
          <w:sz w:val="24"/>
        </w:rPr>
        <w:t>Hak</w:t>
      </w:r>
      <w:r>
        <w:rPr>
          <w:spacing w:val="-1"/>
          <w:sz w:val="24"/>
        </w:rPr>
        <w:t> </w:t>
      </w:r>
      <w:r>
        <w:rPr>
          <w:sz w:val="24"/>
        </w:rPr>
        <w:t>Memesan</w:t>
      </w:r>
      <w:r>
        <w:rPr>
          <w:spacing w:val="-1"/>
          <w:sz w:val="24"/>
        </w:rPr>
        <w:t> </w:t>
      </w:r>
      <w:r>
        <w:rPr>
          <w:sz w:val="24"/>
        </w:rPr>
        <w:t>Efek</w:t>
      </w:r>
      <w:r>
        <w:rPr>
          <w:spacing w:val="-1"/>
          <w:sz w:val="24"/>
        </w:rPr>
        <w:t> </w:t>
      </w:r>
      <w:r>
        <w:rPr>
          <w:sz w:val="24"/>
        </w:rPr>
        <w:t>Terlebih</w:t>
      </w:r>
      <w:r>
        <w:rPr>
          <w:spacing w:val="-1"/>
          <w:sz w:val="24"/>
        </w:rPr>
        <w:t> </w:t>
      </w:r>
      <w:r>
        <w:rPr>
          <w:spacing w:val="-2"/>
          <w:sz w:val="24"/>
        </w:rPr>
        <w:t>Dahulu</w:t>
      </w:r>
    </w:p>
    <w:p>
      <w:pPr>
        <w:pStyle w:val="BodyText"/>
        <w:spacing w:line="360" w:lineRule="auto" w:before="137"/>
        <w:ind w:left="2904" w:right="160" w:firstLine="720"/>
        <w:jc w:val="both"/>
      </w:pPr>
      <w:r>
        <w:rPr/>
        <w:t>Mekanisme kewenangan dalam memberikan hak </w:t>
      </w:r>
      <w:r>
        <w:rPr/>
        <w:t>untuk dapat membeli saham dengan harga tertentu pada periode tertentu, bersifat opsional. Pemegang saham lama yang memenuhi syarat untuk memperoleh lebih banyak saham baru yang diterbitkan oleh entitas bisnis pada saat penawaran kedua diberikan hak ini.</w:t>
      </w:r>
    </w:p>
    <w:p>
      <w:pPr>
        <w:pStyle w:val="ListParagraph"/>
        <w:numPr>
          <w:ilvl w:val="2"/>
          <w:numId w:val="14"/>
        </w:numPr>
        <w:tabs>
          <w:tab w:pos="2902" w:val="left" w:leader="none"/>
        </w:tabs>
        <w:spacing w:line="240" w:lineRule="auto" w:before="0" w:after="0"/>
        <w:ind w:left="2902" w:right="0" w:hanging="358"/>
        <w:jc w:val="both"/>
        <w:rPr>
          <w:sz w:val="24"/>
        </w:rPr>
      </w:pPr>
      <w:r>
        <w:rPr>
          <w:sz w:val="24"/>
        </w:rPr>
        <w:t>Waran</w:t>
      </w:r>
      <w:r>
        <w:rPr>
          <w:spacing w:val="-4"/>
          <w:sz w:val="24"/>
        </w:rPr>
        <w:t> </w:t>
      </w:r>
      <w:r>
        <w:rPr>
          <w:spacing w:val="-2"/>
          <w:sz w:val="24"/>
        </w:rPr>
        <w:t>Syariah</w:t>
      </w:r>
    </w:p>
    <w:p>
      <w:pPr>
        <w:pStyle w:val="BodyText"/>
        <w:spacing w:line="360" w:lineRule="auto" w:before="140"/>
        <w:ind w:left="2904" w:right="163" w:firstLine="720"/>
        <w:jc w:val="both"/>
      </w:pPr>
      <w:r>
        <w:rPr/>
        <w:t>Waran adalah hak untuk membeli saham dalam </w:t>
      </w:r>
      <w:r>
        <w:rPr/>
        <w:t>jangka waktu tertentu dan pada harga tertentu.</w:t>
      </w:r>
    </w:p>
    <w:p>
      <w:pPr>
        <w:pStyle w:val="BodyText"/>
        <w:spacing w:line="360" w:lineRule="auto" w:before="159"/>
        <w:ind w:left="2183" w:right="165" w:firstLine="360"/>
        <w:jc w:val="both"/>
      </w:pPr>
      <w:r>
        <w:rPr/>
        <w:t>Berikut ini merupakan syarat-syarat akad yang berlaku bagi penanaman modal syariah di bidang keuangan dalam praktiknya:</w:t>
      </w:r>
      <w:hyperlink w:history="true" w:anchor="_bookmark66">
        <w:r>
          <w:rPr>
            <w:vertAlign w:val="superscript"/>
          </w:rPr>
          <w:t>43</w:t>
        </w:r>
      </w:hyperlink>
    </w:p>
    <w:p>
      <w:pPr>
        <w:pStyle w:val="ListParagraph"/>
        <w:numPr>
          <w:ilvl w:val="0"/>
          <w:numId w:val="15"/>
        </w:numPr>
        <w:tabs>
          <w:tab w:pos="2904" w:val="left" w:leader="none"/>
        </w:tabs>
        <w:spacing w:line="360" w:lineRule="auto" w:before="161" w:after="0"/>
        <w:ind w:left="2904" w:right="162" w:hanging="360"/>
        <w:jc w:val="both"/>
        <w:rPr>
          <w:sz w:val="24"/>
        </w:rPr>
      </w:pPr>
      <w:r>
        <w:rPr>
          <w:sz w:val="24"/>
        </w:rPr>
        <w:t>Melakukan perjanjian kerjasama atau akad musyarakah antara dua</w:t>
      </w:r>
      <w:r>
        <w:rPr>
          <w:spacing w:val="-15"/>
          <w:sz w:val="24"/>
        </w:rPr>
        <w:t> </w:t>
      </w:r>
      <w:r>
        <w:rPr>
          <w:sz w:val="24"/>
        </w:rPr>
        <w:t>orang</w:t>
      </w:r>
      <w:r>
        <w:rPr>
          <w:spacing w:val="-15"/>
          <w:sz w:val="24"/>
        </w:rPr>
        <w:t> </w:t>
      </w:r>
      <w:r>
        <w:rPr>
          <w:sz w:val="24"/>
        </w:rPr>
        <w:t>atau</w:t>
      </w:r>
      <w:r>
        <w:rPr>
          <w:spacing w:val="-15"/>
          <w:sz w:val="24"/>
        </w:rPr>
        <w:t> </w:t>
      </w:r>
      <w:r>
        <w:rPr>
          <w:sz w:val="24"/>
        </w:rPr>
        <w:t>lebih</w:t>
      </w:r>
      <w:r>
        <w:rPr>
          <w:spacing w:val="-15"/>
          <w:sz w:val="24"/>
        </w:rPr>
        <w:t> </w:t>
      </w:r>
      <w:r>
        <w:rPr>
          <w:sz w:val="24"/>
        </w:rPr>
        <w:t>mitra</w:t>
      </w:r>
      <w:r>
        <w:rPr>
          <w:spacing w:val="-15"/>
          <w:sz w:val="24"/>
        </w:rPr>
        <w:t> </w:t>
      </w:r>
      <w:r>
        <w:rPr>
          <w:sz w:val="24"/>
        </w:rPr>
        <w:t>dalam</w:t>
      </w:r>
      <w:r>
        <w:rPr>
          <w:spacing w:val="-15"/>
          <w:sz w:val="24"/>
        </w:rPr>
        <w:t> </w:t>
      </w:r>
      <w:r>
        <w:rPr>
          <w:sz w:val="24"/>
        </w:rPr>
        <w:t>suatu</w:t>
      </w:r>
      <w:r>
        <w:rPr>
          <w:spacing w:val="-15"/>
          <w:sz w:val="24"/>
        </w:rPr>
        <w:t> </w:t>
      </w:r>
      <w:r>
        <w:rPr>
          <w:sz w:val="24"/>
        </w:rPr>
        <w:t>usaha</w:t>
      </w:r>
      <w:r>
        <w:rPr>
          <w:spacing w:val="-15"/>
          <w:sz w:val="24"/>
        </w:rPr>
        <w:t> </w:t>
      </w:r>
      <w:r>
        <w:rPr>
          <w:sz w:val="24"/>
        </w:rPr>
        <w:t>dengan</w:t>
      </w:r>
      <w:r>
        <w:rPr>
          <w:spacing w:val="-15"/>
          <w:sz w:val="24"/>
        </w:rPr>
        <w:t> </w:t>
      </w:r>
      <w:r>
        <w:rPr>
          <w:sz w:val="24"/>
        </w:rPr>
        <w:t>persyaratan serta penyertaan modal tertentu.</w:t>
      </w:r>
    </w:p>
    <w:p>
      <w:pPr>
        <w:pStyle w:val="BodyText"/>
        <w:spacing w:before="10"/>
        <w:rPr>
          <w:sz w:val="17"/>
        </w:rPr>
      </w:pPr>
      <w:r>
        <w:rPr>
          <w:sz w:val="17"/>
        </w:rPr>
        <mc:AlternateContent>
          <mc:Choice Requires="wps">
            <w:drawing>
              <wp:anchor distT="0" distB="0" distL="0" distR="0" allowOverlap="1" layoutInCell="1" locked="0" behindDoc="1" simplePos="0" relativeHeight="487600640">
                <wp:simplePos x="0" y="0"/>
                <wp:positionH relativeFrom="page">
                  <wp:posOffset>914704</wp:posOffset>
                </wp:positionH>
                <wp:positionV relativeFrom="paragraph">
                  <wp:posOffset>146026</wp:posOffset>
                </wp:positionV>
                <wp:extent cx="1829435" cy="9525"/>
                <wp:effectExtent l="0" t="0" r="0" b="0"/>
                <wp:wrapTopAndBottom/>
                <wp:docPr id="262" name="Graphic 262"/>
                <wp:cNvGraphicFramePr>
                  <a:graphicFrameLocks/>
                </wp:cNvGraphicFramePr>
                <a:graphic>
                  <a:graphicData uri="http://schemas.microsoft.com/office/word/2010/wordprocessingShape">
                    <wps:wsp>
                      <wps:cNvPr id="262" name="Graphic 262"/>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1.498118pt;width:144.020pt;height:.72003pt;mso-position-horizontal-relative:page;mso-position-vertical-relative:paragraph;z-index:-15715840;mso-wrap-distance-left:0;mso-wrap-distance-right:0" id="docshape234" filled="true" fillcolor="#000000" stroked="false">
                <v:fill type="solid"/>
                <w10:wrap type="topAndBottom"/>
              </v:rect>
            </w:pict>
          </mc:Fallback>
        </mc:AlternateContent>
      </w:r>
    </w:p>
    <w:p>
      <w:pPr>
        <w:spacing w:before="101"/>
        <w:ind w:left="23" w:right="0" w:firstLine="719"/>
        <w:jc w:val="left"/>
        <w:rPr>
          <w:sz w:val="20"/>
        </w:rPr>
      </w:pPr>
      <w:bookmarkStart w:name="_bookmark66" w:id="67"/>
      <w:bookmarkEnd w:id="67"/>
      <w:r>
        <w:rPr/>
      </w:r>
      <w:r>
        <w:rPr>
          <w:sz w:val="20"/>
          <w:vertAlign w:val="superscript"/>
        </w:rPr>
        <w:t>43</w:t>
      </w:r>
      <w:r>
        <w:rPr>
          <w:spacing w:val="40"/>
          <w:sz w:val="20"/>
          <w:vertAlign w:val="baseline"/>
        </w:rPr>
        <w:t> </w:t>
      </w:r>
      <w:r>
        <w:rPr>
          <w:sz w:val="20"/>
          <w:vertAlign w:val="baseline"/>
        </w:rPr>
        <w:t>Ina</w:t>
      </w:r>
      <w:r>
        <w:rPr>
          <w:spacing w:val="40"/>
          <w:sz w:val="20"/>
          <w:vertAlign w:val="baseline"/>
        </w:rPr>
        <w:t> </w:t>
      </w:r>
      <w:r>
        <w:rPr>
          <w:sz w:val="20"/>
          <w:vertAlign w:val="baseline"/>
        </w:rPr>
        <w:t>Nur</w:t>
      </w:r>
      <w:r>
        <w:rPr>
          <w:spacing w:val="40"/>
          <w:sz w:val="20"/>
          <w:vertAlign w:val="baseline"/>
        </w:rPr>
        <w:t> </w:t>
      </w:r>
      <w:r>
        <w:rPr>
          <w:sz w:val="20"/>
          <w:vertAlign w:val="baseline"/>
        </w:rPr>
        <w:t>Inayah,</w:t>
      </w:r>
      <w:r>
        <w:rPr>
          <w:spacing w:val="40"/>
          <w:sz w:val="20"/>
          <w:vertAlign w:val="baseline"/>
        </w:rPr>
        <w:t> </w:t>
      </w:r>
      <w:r>
        <w:rPr>
          <w:sz w:val="20"/>
          <w:vertAlign w:val="baseline"/>
        </w:rPr>
        <w:t>‘Prinsip-Prinsip</w:t>
      </w:r>
      <w:r>
        <w:rPr>
          <w:spacing w:val="40"/>
          <w:sz w:val="20"/>
          <w:vertAlign w:val="baseline"/>
        </w:rPr>
        <w:t> </w:t>
      </w:r>
      <w:r>
        <w:rPr>
          <w:sz w:val="20"/>
          <w:vertAlign w:val="baseline"/>
        </w:rPr>
        <w:t>Ekonomi</w:t>
      </w:r>
      <w:r>
        <w:rPr>
          <w:spacing w:val="40"/>
          <w:sz w:val="20"/>
          <w:vertAlign w:val="baseline"/>
        </w:rPr>
        <w:t> </w:t>
      </w:r>
      <w:r>
        <w:rPr>
          <w:sz w:val="20"/>
          <w:vertAlign w:val="baseline"/>
        </w:rPr>
        <w:t>Islam</w:t>
      </w:r>
      <w:r>
        <w:rPr>
          <w:spacing w:val="40"/>
          <w:sz w:val="20"/>
          <w:vertAlign w:val="baseline"/>
        </w:rPr>
        <w:t> </w:t>
      </w:r>
      <w:r>
        <w:rPr>
          <w:sz w:val="20"/>
          <w:vertAlign w:val="baseline"/>
        </w:rPr>
        <w:t>Dalam</w:t>
      </w:r>
      <w:r>
        <w:rPr>
          <w:spacing w:val="40"/>
          <w:sz w:val="20"/>
          <w:vertAlign w:val="baseline"/>
        </w:rPr>
        <w:t> </w:t>
      </w:r>
      <w:r>
        <w:rPr>
          <w:sz w:val="20"/>
          <w:vertAlign w:val="baseline"/>
        </w:rPr>
        <w:t>Investasi</w:t>
      </w:r>
      <w:r>
        <w:rPr>
          <w:spacing w:val="40"/>
          <w:sz w:val="20"/>
          <w:vertAlign w:val="baseline"/>
        </w:rPr>
        <w:t> </w:t>
      </w:r>
      <w:r>
        <w:rPr>
          <w:sz w:val="20"/>
          <w:vertAlign w:val="baseline"/>
        </w:rPr>
        <w:t>Syariah’,</w:t>
      </w:r>
      <w:r>
        <w:rPr>
          <w:spacing w:val="40"/>
          <w:sz w:val="20"/>
          <w:vertAlign w:val="baseline"/>
        </w:rPr>
        <w:t> </w:t>
      </w:r>
      <w:r>
        <w:rPr>
          <w:i/>
          <w:sz w:val="20"/>
          <w:vertAlign w:val="baseline"/>
        </w:rPr>
        <w:t>AKSY:</w:t>
      </w:r>
      <w:r>
        <w:rPr>
          <w:i/>
          <w:spacing w:val="40"/>
          <w:sz w:val="20"/>
          <w:vertAlign w:val="baseline"/>
        </w:rPr>
        <w:t> </w:t>
      </w:r>
      <w:r>
        <w:rPr>
          <w:i/>
          <w:sz w:val="20"/>
          <w:vertAlign w:val="baseline"/>
        </w:rPr>
        <w:t>Jurnal</w:t>
      </w:r>
      <w:r>
        <w:rPr>
          <w:i/>
          <w:spacing w:val="40"/>
          <w:sz w:val="20"/>
          <w:vertAlign w:val="baseline"/>
        </w:rPr>
        <w:t> </w:t>
      </w:r>
      <w:r>
        <w:rPr>
          <w:i/>
          <w:sz w:val="20"/>
          <w:vertAlign w:val="baseline"/>
        </w:rPr>
        <w:t>Ilmu Akuntansi Dan Bisnis Syariah</w:t>
      </w:r>
      <w:r>
        <w:rPr>
          <w:sz w:val="20"/>
          <w:vertAlign w:val="baseline"/>
        </w:rPr>
        <w:t>, 2.2 (2020), 88–100 &lt;https://doi.org/10.15575/aksy.v2i2.9801&gt;.</w:t>
      </w:r>
    </w:p>
    <w:p>
      <w:pPr>
        <w:spacing w:after="0"/>
        <w:jc w:val="left"/>
        <w:rPr>
          <w:sz w:val="20"/>
        </w:rPr>
        <w:sectPr>
          <w:pgSz w:w="11910" w:h="16840"/>
          <w:pgMar w:header="0" w:footer="1000" w:top="1360" w:bottom="1200" w:left="1417" w:right="1275"/>
        </w:sectPr>
      </w:pPr>
    </w:p>
    <w:p>
      <w:pPr>
        <w:pStyle w:val="ListParagraph"/>
        <w:numPr>
          <w:ilvl w:val="0"/>
          <w:numId w:val="15"/>
        </w:numPr>
        <w:tabs>
          <w:tab w:pos="2904" w:val="left" w:leader="none"/>
        </w:tabs>
        <w:spacing w:line="360" w:lineRule="auto" w:before="60" w:after="0"/>
        <w:ind w:left="2904" w:right="160" w:hanging="360"/>
        <w:jc w:val="both"/>
        <w:rPr>
          <w:sz w:val="24"/>
        </w:rPr>
      </w:pPr>
      <w:r>
        <w:rPr>
          <w:sz w:val="24"/>
        </w:rPr>
        <w:t>Mudharabah merupakan sebuah perjanjian kerjasama dimana pemilik modal menyerahkan modalnya kepada pengelola (mudharib) sebagai imbalan bagi hasil. Dengan sepengetahuan Mudharib</w:t>
      </w:r>
      <w:r>
        <w:rPr>
          <w:spacing w:val="-10"/>
          <w:sz w:val="24"/>
        </w:rPr>
        <w:t> </w:t>
      </w:r>
      <w:r>
        <w:rPr>
          <w:sz w:val="24"/>
        </w:rPr>
        <w:t>dan</w:t>
      </w:r>
      <w:r>
        <w:rPr>
          <w:spacing w:val="-7"/>
          <w:sz w:val="24"/>
        </w:rPr>
        <w:t> </w:t>
      </w:r>
      <w:r>
        <w:rPr>
          <w:sz w:val="24"/>
        </w:rPr>
        <w:t>konfigurasi</w:t>
      </w:r>
      <w:r>
        <w:rPr>
          <w:spacing w:val="-8"/>
          <w:sz w:val="24"/>
        </w:rPr>
        <w:t> </w:t>
      </w:r>
      <w:r>
        <w:rPr>
          <w:sz w:val="24"/>
        </w:rPr>
        <w:t>dana</w:t>
      </w:r>
      <w:r>
        <w:rPr>
          <w:spacing w:val="-8"/>
          <w:sz w:val="24"/>
        </w:rPr>
        <w:t> </w:t>
      </w:r>
      <w:r>
        <w:rPr>
          <w:sz w:val="24"/>
        </w:rPr>
        <w:t>sepenuhnya</w:t>
      </w:r>
      <w:r>
        <w:rPr>
          <w:spacing w:val="-10"/>
          <w:sz w:val="24"/>
        </w:rPr>
        <w:t> </w:t>
      </w:r>
      <w:r>
        <w:rPr>
          <w:sz w:val="24"/>
        </w:rPr>
        <w:t>dari</w:t>
      </w:r>
      <w:r>
        <w:rPr>
          <w:spacing w:val="-9"/>
          <w:sz w:val="24"/>
        </w:rPr>
        <w:t> </w:t>
      </w:r>
      <w:r>
        <w:rPr>
          <w:sz w:val="24"/>
        </w:rPr>
        <w:t>Shahibul</w:t>
      </w:r>
      <w:r>
        <w:rPr>
          <w:spacing w:val="-9"/>
          <w:sz w:val="24"/>
        </w:rPr>
        <w:t> </w:t>
      </w:r>
      <w:r>
        <w:rPr>
          <w:sz w:val="24"/>
        </w:rPr>
        <w:t>Maal.</w:t>
      </w:r>
    </w:p>
    <w:p>
      <w:pPr>
        <w:pStyle w:val="ListParagraph"/>
        <w:numPr>
          <w:ilvl w:val="0"/>
          <w:numId w:val="15"/>
        </w:numPr>
        <w:tabs>
          <w:tab w:pos="2904" w:val="left" w:leader="none"/>
        </w:tabs>
        <w:spacing w:line="360" w:lineRule="auto" w:before="1" w:after="0"/>
        <w:ind w:left="2904" w:right="160" w:hanging="360"/>
        <w:jc w:val="both"/>
        <w:rPr>
          <w:sz w:val="24"/>
        </w:rPr>
      </w:pPr>
      <w:r>
        <w:rPr>
          <w:sz w:val="24"/>
        </w:rPr>
        <w:t>Akad</w:t>
      </w:r>
      <w:r>
        <w:rPr>
          <w:spacing w:val="-3"/>
          <w:sz w:val="24"/>
        </w:rPr>
        <w:t> </w:t>
      </w:r>
      <w:r>
        <w:rPr>
          <w:sz w:val="24"/>
        </w:rPr>
        <w:t>ijarah</w:t>
      </w:r>
      <w:r>
        <w:rPr>
          <w:spacing w:val="-3"/>
          <w:sz w:val="24"/>
        </w:rPr>
        <w:t> </w:t>
      </w:r>
      <w:r>
        <w:rPr>
          <w:sz w:val="24"/>
        </w:rPr>
        <w:t>atau</w:t>
      </w:r>
      <w:r>
        <w:rPr>
          <w:spacing w:val="-3"/>
          <w:sz w:val="24"/>
        </w:rPr>
        <w:t> </w:t>
      </w:r>
      <w:r>
        <w:rPr>
          <w:sz w:val="24"/>
        </w:rPr>
        <w:t>biasa</w:t>
      </w:r>
      <w:r>
        <w:rPr>
          <w:spacing w:val="-4"/>
          <w:sz w:val="24"/>
        </w:rPr>
        <w:t> </w:t>
      </w:r>
      <w:r>
        <w:rPr>
          <w:sz w:val="24"/>
        </w:rPr>
        <w:t>disebut</w:t>
      </w:r>
      <w:r>
        <w:rPr>
          <w:spacing w:val="-2"/>
          <w:sz w:val="24"/>
        </w:rPr>
        <w:t> </w:t>
      </w:r>
      <w:r>
        <w:rPr>
          <w:sz w:val="24"/>
        </w:rPr>
        <w:t>sewa</w:t>
      </w:r>
      <w:r>
        <w:rPr>
          <w:spacing w:val="-3"/>
          <w:sz w:val="24"/>
        </w:rPr>
        <w:t> </w:t>
      </w:r>
      <w:r>
        <w:rPr>
          <w:sz w:val="24"/>
        </w:rPr>
        <w:t>menyewa</w:t>
      </w:r>
      <w:r>
        <w:rPr>
          <w:spacing w:val="-3"/>
          <w:sz w:val="24"/>
        </w:rPr>
        <w:t> </w:t>
      </w:r>
      <w:r>
        <w:rPr>
          <w:sz w:val="24"/>
        </w:rPr>
        <w:t>adalah</w:t>
      </w:r>
      <w:r>
        <w:rPr>
          <w:spacing w:val="-3"/>
          <w:sz w:val="24"/>
        </w:rPr>
        <w:t> </w:t>
      </w:r>
      <w:r>
        <w:rPr>
          <w:sz w:val="24"/>
        </w:rPr>
        <w:t>akad</w:t>
      </w:r>
      <w:r>
        <w:rPr>
          <w:spacing w:val="-1"/>
          <w:sz w:val="24"/>
        </w:rPr>
        <w:t> </w:t>
      </w:r>
      <w:r>
        <w:rPr>
          <w:sz w:val="24"/>
        </w:rPr>
        <w:t>yang memberikan hak guna atau keuntungan atas suatu barang untuk jangka waktu yang telah ditentukan tidak identik dengan pemindahan kepemilikan.</w:t>
      </w:r>
    </w:p>
    <w:p>
      <w:pPr>
        <w:pStyle w:val="ListParagraph"/>
        <w:numPr>
          <w:ilvl w:val="0"/>
          <w:numId w:val="15"/>
        </w:numPr>
        <w:tabs>
          <w:tab w:pos="2904" w:val="left" w:leader="none"/>
        </w:tabs>
        <w:spacing w:line="360" w:lineRule="auto" w:before="0" w:after="0"/>
        <w:ind w:left="2904" w:right="164" w:hanging="360"/>
        <w:jc w:val="both"/>
        <w:rPr>
          <w:sz w:val="24"/>
        </w:rPr>
      </w:pPr>
      <w:r>
        <w:rPr>
          <w:sz w:val="24"/>
        </w:rPr>
        <w:t>Akad</w:t>
      </w:r>
      <w:r>
        <w:rPr>
          <w:spacing w:val="-10"/>
          <w:sz w:val="24"/>
        </w:rPr>
        <w:t> </w:t>
      </w:r>
      <w:r>
        <w:rPr>
          <w:sz w:val="24"/>
        </w:rPr>
        <w:t>kafalah,</w:t>
      </w:r>
      <w:r>
        <w:rPr>
          <w:spacing w:val="-8"/>
          <w:sz w:val="24"/>
        </w:rPr>
        <w:t> </w:t>
      </w:r>
      <w:r>
        <w:rPr>
          <w:sz w:val="24"/>
        </w:rPr>
        <w:t>yang</w:t>
      </w:r>
      <w:r>
        <w:rPr>
          <w:spacing w:val="-10"/>
          <w:sz w:val="24"/>
        </w:rPr>
        <w:t> </w:t>
      </w:r>
      <w:r>
        <w:rPr>
          <w:sz w:val="24"/>
        </w:rPr>
        <w:t>berarti</w:t>
      </w:r>
      <w:r>
        <w:rPr>
          <w:spacing w:val="-10"/>
          <w:sz w:val="24"/>
        </w:rPr>
        <w:t> </w:t>
      </w:r>
      <w:r>
        <w:rPr>
          <w:sz w:val="24"/>
        </w:rPr>
        <w:t>perjanjian</w:t>
      </w:r>
      <w:r>
        <w:rPr>
          <w:spacing w:val="-6"/>
          <w:sz w:val="24"/>
        </w:rPr>
        <w:t> </w:t>
      </w:r>
      <w:r>
        <w:rPr>
          <w:sz w:val="24"/>
        </w:rPr>
        <w:t>antara</w:t>
      </w:r>
      <w:r>
        <w:rPr>
          <w:spacing w:val="-9"/>
          <w:sz w:val="24"/>
        </w:rPr>
        <w:t> </w:t>
      </w:r>
      <w:r>
        <w:rPr>
          <w:sz w:val="24"/>
        </w:rPr>
        <w:t>pihak</w:t>
      </w:r>
      <w:r>
        <w:rPr>
          <w:spacing w:val="-8"/>
          <w:sz w:val="24"/>
        </w:rPr>
        <w:t> </w:t>
      </w:r>
      <w:r>
        <w:rPr>
          <w:sz w:val="24"/>
        </w:rPr>
        <w:t>yang</w:t>
      </w:r>
      <w:r>
        <w:rPr>
          <w:spacing w:val="-10"/>
          <w:sz w:val="24"/>
        </w:rPr>
        <w:t> </w:t>
      </w:r>
      <w:r>
        <w:rPr>
          <w:sz w:val="24"/>
        </w:rPr>
        <w:t>menjadi penjamin dengan pihak yang dijamin (debitur) untuk menjamin kewajiban pihak yang dijamin kepada pihak lain (pihak yang menerima piutang).</w:t>
      </w:r>
    </w:p>
    <w:p>
      <w:pPr>
        <w:pStyle w:val="ListParagraph"/>
        <w:numPr>
          <w:ilvl w:val="0"/>
          <w:numId w:val="15"/>
        </w:numPr>
        <w:tabs>
          <w:tab w:pos="2904" w:val="left" w:leader="none"/>
        </w:tabs>
        <w:spacing w:line="360" w:lineRule="auto" w:before="1" w:after="0"/>
        <w:ind w:left="2904" w:right="162" w:hanging="360"/>
        <w:jc w:val="both"/>
        <w:rPr>
          <w:sz w:val="24"/>
        </w:rPr>
      </w:pPr>
      <w:r>
        <w:rPr>
          <w:sz w:val="24"/>
        </w:rPr>
        <w:t>Menggunakan akad wakalah antara pihak yang memberi kuasa dengan</w:t>
      </w:r>
      <w:r>
        <w:rPr>
          <w:spacing w:val="-8"/>
          <w:sz w:val="24"/>
        </w:rPr>
        <w:t> </w:t>
      </w:r>
      <w:r>
        <w:rPr>
          <w:sz w:val="24"/>
        </w:rPr>
        <w:t>pihak</w:t>
      </w:r>
      <w:r>
        <w:rPr>
          <w:spacing w:val="-8"/>
          <w:sz w:val="24"/>
        </w:rPr>
        <w:t> </w:t>
      </w:r>
      <w:r>
        <w:rPr>
          <w:sz w:val="24"/>
        </w:rPr>
        <w:t>yang</w:t>
      </w:r>
      <w:r>
        <w:rPr>
          <w:spacing w:val="-8"/>
          <w:sz w:val="24"/>
        </w:rPr>
        <w:t> </w:t>
      </w:r>
      <w:r>
        <w:rPr>
          <w:sz w:val="24"/>
        </w:rPr>
        <w:t>menerima</w:t>
      </w:r>
      <w:r>
        <w:rPr>
          <w:spacing w:val="-9"/>
          <w:sz w:val="24"/>
        </w:rPr>
        <w:t> </w:t>
      </w:r>
      <w:r>
        <w:rPr>
          <w:sz w:val="24"/>
        </w:rPr>
        <w:t>kuasa</w:t>
      </w:r>
      <w:r>
        <w:rPr>
          <w:spacing w:val="-9"/>
          <w:sz w:val="24"/>
        </w:rPr>
        <w:t> </w:t>
      </w:r>
      <w:r>
        <w:rPr>
          <w:sz w:val="24"/>
        </w:rPr>
        <w:t>untuk</w:t>
      </w:r>
      <w:r>
        <w:rPr>
          <w:spacing w:val="-7"/>
          <w:sz w:val="24"/>
        </w:rPr>
        <w:t> </w:t>
      </w:r>
      <w:r>
        <w:rPr>
          <w:sz w:val="24"/>
        </w:rPr>
        <w:t>melakukan</w:t>
      </w:r>
      <w:r>
        <w:rPr>
          <w:spacing w:val="-8"/>
          <w:sz w:val="24"/>
        </w:rPr>
        <w:t> </w:t>
      </w:r>
      <w:r>
        <w:rPr>
          <w:sz w:val="24"/>
        </w:rPr>
        <w:t>perbuatan </w:t>
      </w:r>
      <w:r>
        <w:rPr>
          <w:spacing w:val="-2"/>
          <w:sz w:val="24"/>
        </w:rPr>
        <w:t>tertentu.</w:t>
      </w:r>
    </w:p>
    <w:p>
      <w:pPr>
        <w:pStyle w:val="Heading2"/>
        <w:numPr>
          <w:ilvl w:val="2"/>
          <w:numId w:val="12"/>
        </w:numPr>
        <w:tabs>
          <w:tab w:pos="1643" w:val="left" w:leader="none"/>
        </w:tabs>
        <w:spacing w:line="240" w:lineRule="auto" w:before="160" w:after="0"/>
        <w:ind w:left="1643" w:right="0" w:hanging="540"/>
        <w:jc w:val="left"/>
      </w:pPr>
      <w:bookmarkStart w:name="_bookmark67" w:id="68"/>
      <w:bookmarkEnd w:id="68"/>
      <w:r>
        <w:rPr>
          <w:b w:val="0"/>
        </w:rPr>
      </w:r>
      <w:r>
        <w:rPr>
          <w:spacing w:val="-2"/>
        </w:rPr>
        <w:t>Saham</w:t>
      </w:r>
    </w:p>
    <w:p>
      <w:pPr>
        <w:pStyle w:val="BodyText"/>
        <w:spacing w:before="21"/>
        <w:rPr>
          <w:b/>
        </w:rPr>
      </w:pPr>
    </w:p>
    <w:p>
      <w:pPr>
        <w:pStyle w:val="BodyText"/>
        <w:spacing w:line="360" w:lineRule="auto"/>
        <w:ind w:left="1823" w:right="161" w:firstLine="360"/>
        <w:jc w:val="both"/>
      </w:pPr>
      <w:r>
        <w:rPr/>
        <w:t>Saham merupakan instrumen kepemilikan di mana pemilik perusahaan adalah pemegang saham. Kewenangannya atau kontrol atas bisnis bertambah seiring dengan jumlah saham yang dimilikinya. Selain itu, menurut Fahmi (2015), saham adalah:</w:t>
      </w:r>
    </w:p>
    <w:p>
      <w:pPr>
        <w:pStyle w:val="ListParagraph"/>
        <w:numPr>
          <w:ilvl w:val="3"/>
          <w:numId w:val="12"/>
        </w:numPr>
        <w:tabs>
          <w:tab w:pos="2904" w:val="left" w:leader="none"/>
        </w:tabs>
        <w:spacing w:line="360" w:lineRule="auto" w:before="1" w:after="0"/>
        <w:ind w:left="2904" w:right="165" w:hanging="360"/>
        <w:jc w:val="both"/>
        <w:rPr>
          <w:sz w:val="24"/>
        </w:rPr>
      </w:pPr>
      <w:r>
        <w:rPr>
          <w:sz w:val="24"/>
        </w:rPr>
        <w:t>Bukti penyertaan dalam kepemilikan modal atau dana suatu </w:t>
      </w:r>
      <w:r>
        <w:rPr>
          <w:spacing w:val="-2"/>
          <w:sz w:val="24"/>
        </w:rPr>
        <w:t>perusahaan</w:t>
      </w:r>
    </w:p>
    <w:p>
      <w:pPr>
        <w:pStyle w:val="ListParagraph"/>
        <w:numPr>
          <w:ilvl w:val="3"/>
          <w:numId w:val="12"/>
        </w:numPr>
        <w:tabs>
          <w:tab w:pos="2904" w:val="left" w:leader="none"/>
        </w:tabs>
        <w:spacing w:line="360" w:lineRule="auto" w:before="0" w:after="0"/>
        <w:ind w:left="2904" w:right="166" w:hanging="360"/>
        <w:jc w:val="both"/>
        <w:rPr>
          <w:sz w:val="24"/>
        </w:rPr>
      </w:pPr>
      <w:r>
        <w:rPr>
          <w:sz w:val="24"/>
        </w:rPr>
        <w:t>Dokumen yang menguraikan nilai nominal, nama perusahaan, dan hak serta tanggung jawab yang dimiliki oleh setiap </w:t>
      </w:r>
      <w:r>
        <w:rPr>
          <w:spacing w:val="-2"/>
          <w:sz w:val="24"/>
        </w:rPr>
        <w:t>pemegangnya.</w:t>
      </w:r>
    </w:p>
    <w:p>
      <w:pPr>
        <w:pStyle w:val="ListParagraph"/>
        <w:numPr>
          <w:ilvl w:val="3"/>
          <w:numId w:val="12"/>
        </w:numPr>
        <w:tabs>
          <w:tab w:pos="2904" w:val="left" w:leader="none"/>
        </w:tabs>
        <w:spacing w:line="275" w:lineRule="exact" w:before="0" w:after="0"/>
        <w:ind w:left="2904" w:right="0" w:hanging="360"/>
        <w:jc w:val="both"/>
        <w:rPr>
          <w:sz w:val="24"/>
        </w:rPr>
      </w:pPr>
      <w:r>
        <w:rPr>
          <w:sz w:val="24"/>
        </w:rPr>
        <w:t>Saham</w:t>
      </w:r>
      <w:r>
        <w:rPr>
          <w:spacing w:val="-3"/>
          <w:sz w:val="24"/>
        </w:rPr>
        <w:t> </w:t>
      </w:r>
      <w:r>
        <w:rPr>
          <w:sz w:val="24"/>
        </w:rPr>
        <w:t>yang</w:t>
      </w:r>
      <w:r>
        <w:rPr>
          <w:spacing w:val="-1"/>
          <w:sz w:val="24"/>
        </w:rPr>
        <w:t> </w:t>
      </w:r>
      <w:r>
        <w:rPr>
          <w:sz w:val="24"/>
        </w:rPr>
        <w:t>tersedia</w:t>
      </w:r>
      <w:r>
        <w:rPr>
          <w:spacing w:val="-2"/>
          <w:sz w:val="24"/>
        </w:rPr>
        <w:t> </w:t>
      </w:r>
      <w:r>
        <w:rPr>
          <w:sz w:val="24"/>
        </w:rPr>
        <w:t>untuk </w:t>
      </w:r>
      <w:r>
        <w:rPr>
          <w:spacing w:val="-2"/>
          <w:sz w:val="24"/>
        </w:rPr>
        <w:t>dibeli.</w:t>
      </w:r>
    </w:p>
    <w:p>
      <w:pPr>
        <w:pStyle w:val="BodyText"/>
        <w:spacing w:line="360" w:lineRule="auto" w:before="140"/>
        <w:ind w:left="1823" w:right="163" w:firstLine="360"/>
        <w:jc w:val="both"/>
      </w:pPr>
      <w:r>
        <w:rPr/>
        <w:t>Harga yang ditetapkan oleh sebuah bisnis untuk organisasi lain yang ingin memiliki saham di dalamnya dikenal sebagai harga saham. Adapun jenis-jenis harga saham ialah:</w:t>
      </w:r>
      <w:hyperlink w:history="true" w:anchor="_bookmark68">
        <w:r>
          <w:rPr>
            <w:vertAlign w:val="superscript"/>
          </w:rPr>
          <w:t>44</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4"/>
        <w:rPr>
          <w:sz w:val="20"/>
        </w:rPr>
      </w:pPr>
      <w:r>
        <w:rPr>
          <w:sz w:val="20"/>
        </w:rPr>
        <mc:AlternateContent>
          <mc:Choice Requires="wps">
            <w:drawing>
              <wp:anchor distT="0" distB="0" distL="0" distR="0" allowOverlap="1" layoutInCell="1" locked="0" behindDoc="1" simplePos="0" relativeHeight="487601152">
                <wp:simplePos x="0" y="0"/>
                <wp:positionH relativeFrom="page">
                  <wp:posOffset>914704</wp:posOffset>
                </wp:positionH>
                <wp:positionV relativeFrom="paragraph">
                  <wp:posOffset>234005</wp:posOffset>
                </wp:positionV>
                <wp:extent cx="1829435" cy="9525"/>
                <wp:effectExtent l="0" t="0" r="0" b="0"/>
                <wp:wrapTopAndBottom/>
                <wp:docPr id="263" name="Graphic 263"/>
                <wp:cNvGraphicFramePr>
                  <a:graphicFrameLocks/>
                </wp:cNvGraphicFramePr>
                <a:graphic>
                  <a:graphicData uri="http://schemas.microsoft.com/office/word/2010/wordprocessingShape">
                    <wps:wsp>
                      <wps:cNvPr id="263" name="Graphic 263"/>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425646pt;width:144.020pt;height:.71997pt;mso-position-horizontal-relative:page;mso-position-vertical-relative:paragraph;z-index:-15715328;mso-wrap-distance-left:0;mso-wrap-distance-right:0" id="docshape235" filled="true" fillcolor="#000000" stroked="false">
                <v:fill type="solid"/>
                <w10:wrap type="topAndBottom"/>
              </v:rect>
            </w:pict>
          </mc:Fallback>
        </mc:AlternateContent>
      </w:r>
    </w:p>
    <w:p>
      <w:pPr>
        <w:spacing w:before="101"/>
        <w:ind w:left="743" w:right="0" w:firstLine="0"/>
        <w:jc w:val="left"/>
        <w:rPr>
          <w:sz w:val="20"/>
        </w:rPr>
      </w:pPr>
      <w:bookmarkStart w:name="_bookmark68" w:id="69"/>
      <w:bookmarkEnd w:id="69"/>
      <w:r>
        <w:rPr/>
      </w:r>
      <w:r>
        <w:rPr>
          <w:sz w:val="20"/>
          <w:vertAlign w:val="superscript"/>
        </w:rPr>
        <w:t>44</w:t>
      </w:r>
      <w:r>
        <w:rPr>
          <w:spacing w:val="-5"/>
          <w:sz w:val="20"/>
          <w:vertAlign w:val="baseline"/>
        </w:rPr>
        <w:t> </w:t>
      </w:r>
      <w:r>
        <w:rPr>
          <w:sz w:val="20"/>
          <w:vertAlign w:val="baseline"/>
        </w:rPr>
        <w:t>Rulyanti</w:t>
      </w:r>
      <w:r>
        <w:rPr>
          <w:spacing w:val="-6"/>
          <w:sz w:val="20"/>
          <w:vertAlign w:val="baseline"/>
        </w:rPr>
        <w:t> </w:t>
      </w:r>
      <w:r>
        <w:rPr>
          <w:sz w:val="20"/>
          <w:vertAlign w:val="baseline"/>
        </w:rPr>
        <w:t>Susi</w:t>
      </w:r>
      <w:r>
        <w:rPr>
          <w:spacing w:val="-6"/>
          <w:sz w:val="20"/>
          <w:vertAlign w:val="baseline"/>
        </w:rPr>
        <w:t> </w:t>
      </w:r>
      <w:r>
        <w:rPr>
          <w:sz w:val="20"/>
          <w:vertAlign w:val="baseline"/>
        </w:rPr>
        <w:t>Wardhani</w:t>
      </w:r>
      <w:r>
        <w:rPr>
          <w:spacing w:val="-6"/>
          <w:sz w:val="20"/>
          <w:vertAlign w:val="baseline"/>
        </w:rPr>
        <w:t> </w:t>
      </w:r>
      <w:r>
        <w:rPr>
          <w:sz w:val="20"/>
          <w:vertAlign w:val="baseline"/>
        </w:rPr>
        <w:t>and</w:t>
      </w:r>
      <w:r>
        <w:rPr>
          <w:spacing w:val="-6"/>
          <w:sz w:val="20"/>
          <w:vertAlign w:val="baseline"/>
        </w:rPr>
        <w:t> </w:t>
      </w:r>
      <w:r>
        <w:rPr>
          <w:sz w:val="20"/>
          <w:vertAlign w:val="baseline"/>
        </w:rPr>
        <w:t>others,</w:t>
      </w:r>
      <w:r>
        <w:rPr>
          <w:spacing w:val="-1"/>
          <w:sz w:val="20"/>
          <w:vertAlign w:val="baseline"/>
        </w:rPr>
        <w:t> </w:t>
      </w:r>
      <w:r>
        <w:rPr>
          <w:i/>
          <w:sz w:val="20"/>
          <w:vertAlign w:val="baseline"/>
        </w:rPr>
        <w:t>Mengenal</w:t>
      </w:r>
      <w:r>
        <w:rPr>
          <w:i/>
          <w:spacing w:val="-6"/>
          <w:sz w:val="20"/>
          <w:vertAlign w:val="baseline"/>
        </w:rPr>
        <w:t> </w:t>
      </w:r>
      <w:r>
        <w:rPr>
          <w:i/>
          <w:sz w:val="20"/>
          <w:vertAlign w:val="baseline"/>
        </w:rPr>
        <w:t>Saham</w:t>
      </w:r>
      <w:r>
        <w:rPr>
          <w:i/>
          <w:spacing w:val="-3"/>
          <w:sz w:val="20"/>
          <w:vertAlign w:val="baseline"/>
        </w:rPr>
        <w:t> </w:t>
      </w:r>
      <w:r>
        <w:rPr>
          <w:sz w:val="20"/>
          <w:vertAlign w:val="baseline"/>
        </w:rPr>
        <w:t>(Yogyakarta:</w:t>
      </w:r>
      <w:r>
        <w:rPr>
          <w:spacing w:val="-5"/>
          <w:sz w:val="20"/>
          <w:vertAlign w:val="baseline"/>
        </w:rPr>
        <w:t> </w:t>
      </w:r>
      <w:r>
        <w:rPr>
          <w:sz w:val="20"/>
          <w:vertAlign w:val="baseline"/>
        </w:rPr>
        <w:t>Penerbit</w:t>
      </w:r>
      <w:r>
        <w:rPr>
          <w:spacing w:val="-6"/>
          <w:sz w:val="20"/>
          <w:vertAlign w:val="baseline"/>
        </w:rPr>
        <w:t> </w:t>
      </w:r>
      <w:r>
        <w:rPr>
          <w:sz w:val="20"/>
          <w:vertAlign w:val="baseline"/>
        </w:rPr>
        <w:t>K-Media,</w:t>
      </w:r>
      <w:r>
        <w:rPr>
          <w:spacing w:val="-5"/>
          <w:sz w:val="20"/>
          <w:vertAlign w:val="baseline"/>
        </w:rPr>
        <w:t> </w:t>
      </w:r>
      <w:r>
        <w:rPr>
          <w:spacing w:val="-2"/>
          <w:sz w:val="20"/>
          <w:vertAlign w:val="baseline"/>
        </w:rPr>
        <w:t>2022).</w:t>
      </w:r>
    </w:p>
    <w:p>
      <w:pPr>
        <w:spacing w:after="0"/>
        <w:jc w:val="left"/>
        <w:rPr>
          <w:sz w:val="20"/>
        </w:rPr>
        <w:sectPr>
          <w:pgSz w:w="11910" w:h="16840"/>
          <w:pgMar w:header="0" w:footer="1000" w:top="1360" w:bottom="1200" w:left="1417" w:right="1275"/>
        </w:sectPr>
      </w:pPr>
    </w:p>
    <w:p>
      <w:pPr>
        <w:pStyle w:val="ListParagraph"/>
        <w:numPr>
          <w:ilvl w:val="4"/>
          <w:numId w:val="12"/>
        </w:numPr>
        <w:tabs>
          <w:tab w:pos="2903" w:val="left" w:leader="none"/>
        </w:tabs>
        <w:spacing w:line="240" w:lineRule="auto" w:before="60" w:after="0"/>
        <w:ind w:left="2903" w:right="0" w:hanging="359"/>
        <w:jc w:val="both"/>
        <w:rPr>
          <w:sz w:val="24"/>
        </w:rPr>
      </w:pPr>
      <w:r>
        <w:rPr>
          <w:sz w:val="24"/>
        </w:rPr>
        <w:t>Harga</w:t>
      </w:r>
      <w:r>
        <w:rPr>
          <w:spacing w:val="-2"/>
          <w:sz w:val="24"/>
        </w:rPr>
        <w:t> Nominal</w:t>
      </w:r>
    </w:p>
    <w:p>
      <w:pPr>
        <w:pStyle w:val="BodyText"/>
        <w:spacing w:line="360" w:lineRule="auto" w:before="138"/>
        <w:ind w:left="2904" w:right="163" w:firstLine="720"/>
        <w:jc w:val="both"/>
      </w:pPr>
      <w:r>
        <w:rPr/>
        <w:t>Harga yang tercantum pada sertifikat saham, yang ditetapkan oleh penerbit untuk menilai setiap saham yang diterbitkan, dikenal sebagai harga nominal. Karena dividen minimum yang ditetapkan berdasarkan nilai nominal, saham dapat memperoleh signifikansi dari harga nominal.</w:t>
      </w:r>
    </w:p>
    <w:p>
      <w:pPr>
        <w:pStyle w:val="ListParagraph"/>
        <w:numPr>
          <w:ilvl w:val="4"/>
          <w:numId w:val="12"/>
        </w:numPr>
        <w:tabs>
          <w:tab w:pos="2903" w:val="left" w:leader="none"/>
        </w:tabs>
        <w:spacing w:line="240" w:lineRule="auto" w:before="1" w:after="0"/>
        <w:ind w:left="2903" w:right="0" w:hanging="359"/>
        <w:jc w:val="both"/>
        <w:rPr>
          <w:sz w:val="24"/>
        </w:rPr>
      </w:pPr>
      <w:r>
        <w:rPr>
          <w:sz w:val="24"/>
        </w:rPr>
        <w:t>Harga</w:t>
      </w:r>
      <w:r>
        <w:rPr>
          <w:spacing w:val="-4"/>
          <w:sz w:val="24"/>
        </w:rPr>
        <w:t> </w:t>
      </w:r>
      <w:r>
        <w:rPr>
          <w:spacing w:val="-2"/>
          <w:sz w:val="24"/>
        </w:rPr>
        <w:t>Perdana</w:t>
      </w:r>
    </w:p>
    <w:p>
      <w:pPr>
        <w:pStyle w:val="BodyText"/>
        <w:spacing w:line="360" w:lineRule="auto" w:before="137"/>
        <w:ind w:left="2904" w:right="163" w:firstLine="720"/>
        <w:jc w:val="both"/>
      </w:pPr>
      <w:r>
        <w:rPr/>
        <w:t>Harga</w:t>
      </w:r>
      <w:r>
        <w:rPr>
          <w:spacing w:val="-1"/>
        </w:rPr>
        <w:t> </w:t>
      </w:r>
      <w:r>
        <w:rPr/>
        <w:t>di</w:t>
      </w:r>
      <w:r>
        <w:rPr>
          <w:spacing w:val="-1"/>
        </w:rPr>
        <w:t> </w:t>
      </w:r>
      <w:r>
        <w:rPr/>
        <w:t>mana</w:t>
      </w:r>
      <w:r>
        <w:rPr>
          <w:spacing w:val="-2"/>
        </w:rPr>
        <w:t> </w:t>
      </w:r>
      <w:r>
        <w:rPr/>
        <w:t>saham</w:t>
      </w:r>
      <w:r>
        <w:rPr>
          <w:spacing w:val="-1"/>
        </w:rPr>
        <w:t> </w:t>
      </w:r>
      <w:r>
        <w:rPr/>
        <w:t>dicatatkan</w:t>
      </w:r>
      <w:r>
        <w:rPr>
          <w:spacing w:val="-1"/>
        </w:rPr>
        <w:t> </w:t>
      </w:r>
      <w:r>
        <w:rPr/>
        <w:t>di</w:t>
      </w:r>
      <w:r>
        <w:rPr>
          <w:spacing w:val="-1"/>
        </w:rPr>
        <w:t> </w:t>
      </w:r>
      <w:r>
        <w:rPr/>
        <w:t>bursa</w:t>
      </w:r>
      <w:r>
        <w:rPr>
          <w:spacing w:val="-1"/>
        </w:rPr>
        <w:t> </w:t>
      </w:r>
      <w:r>
        <w:rPr/>
        <w:t>saham</w:t>
      </w:r>
      <w:r>
        <w:rPr>
          <w:spacing w:val="-1"/>
        </w:rPr>
        <w:t> </w:t>
      </w:r>
      <w:r>
        <w:rPr/>
        <w:t>dikenal sebagai harga perdana. Di pasar utama, emiten dan penjamin emisi biasanya menentukan harga saham. Harga saat emiten menjual sahamnya kepada masyarakat umum akan ditentukan oleh harga ini.</w:t>
      </w:r>
    </w:p>
    <w:p>
      <w:pPr>
        <w:pStyle w:val="ListParagraph"/>
        <w:numPr>
          <w:ilvl w:val="4"/>
          <w:numId w:val="12"/>
        </w:numPr>
        <w:tabs>
          <w:tab w:pos="2903" w:val="left" w:leader="none"/>
        </w:tabs>
        <w:spacing w:line="240" w:lineRule="auto" w:before="2" w:after="0"/>
        <w:ind w:left="2903" w:right="0" w:hanging="359"/>
        <w:jc w:val="both"/>
        <w:rPr>
          <w:sz w:val="24"/>
        </w:rPr>
      </w:pPr>
      <w:r>
        <w:rPr>
          <w:sz w:val="24"/>
        </w:rPr>
        <w:t>Harga</w:t>
      </w:r>
      <w:r>
        <w:rPr>
          <w:spacing w:val="-6"/>
          <w:sz w:val="24"/>
        </w:rPr>
        <w:t> </w:t>
      </w:r>
      <w:r>
        <w:rPr>
          <w:spacing w:val="-2"/>
          <w:sz w:val="24"/>
        </w:rPr>
        <w:t>Pasar</w:t>
      </w:r>
    </w:p>
    <w:p>
      <w:pPr>
        <w:pStyle w:val="BodyText"/>
        <w:spacing w:line="360" w:lineRule="auto" w:before="137"/>
        <w:ind w:left="2904" w:right="162" w:firstLine="720"/>
        <w:jc w:val="both"/>
      </w:pPr>
      <w:r>
        <w:rPr/>
        <w:t>Harga kesepakatan emisi kepada investor inilah yang dimaksud</w:t>
      </w:r>
      <w:r>
        <w:rPr>
          <w:spacing w:val="-7"/>
        </w:rPr>
        <w:t> </w:t>
      </w:r>
      <w:r>
        <w:rPr/>
        <w:t>dengan</w:t>
      </w:r>
      <w:r>
        <w:rPr>
          <w:spacing w:val="-7"/>
        </w:rPr>
        <w:t> </w:t>
      </w:r>
      <w:r>
        <w:rPr/>
        <w:t>harga</w:t>
      </w:r>
      <w:r>
        <w:rPr>
          <w:spacing w:val="-9"/>
        </w:rPr>
        <w:t> </w:t>
      </w:r>
      <w:r>
        <w:rPr/>
        <w:t>pasar,</w:t>
      </w:r>
      <w:r>
        <w:rPr>
          <w:spacing w:val="-8"/>
        </w:rPr>
        <w:t> </w:t>
      </w:r>
      <w:r>
        <w:rPr/>
        <w:t>yaitu</w:t>
      </w:r>
      <w:r>
        <w:rPr>
          <w:spacing w:val="-7"/>
        </w:rPr>
        <w:t> </w:t>
      </w:r>
      <w:r>
        <w:rPr/>
        <w:t>harga</w:t>
      </w:r>
      <w:r>
        <w:rPr>
          <w:spacing w:val="-8"/>
        </w:rPr>
        <w:t> </w:t>
      </w:r>
      <w:r>
        <w:rPr/>
        <w:t>jual</w:t>
      </w:r>
      <w:r>
        <w:rPr>
          <w:spacing w:val="-7"/>
        </w:rPr>
        <w:t> </w:t>
      </w:r>
      <w:r>
        <w:rPr/>
        <w:t>dari</w:t>
      </w:r>
      <w:r>
        <w:rPr>
          <w:spacing w:val="-5"/>
        </w:rPr>
        <w:t> </w:t>
      </w:r>
      <w:r>
        <w:rPr/>
        <w:t>satu</w:t>
      </w:r>
      <w:r>
        <w:rPr>
          <w:spacing w:val="-6"/>
        </w:rPr>
        <w:t> </w:t>
      </w:r>
      <w:r>
        <w:rPr/>
        <w:t>investor ke</w:t>
      </w:r>
      <w:r>
        <w:rPr>
          <w:spacing w:val="-1"/>
        </w:rPr>
        <w:t> </w:t>
      </w:r>
      <w:r>
        <w:rPr/>
        <w:t>investor lainnya. Harga</w:t>
      </w:r>
      <w:r>
        <w:rPr>
          <w:spacing w:val="-1"/>
        </w:rPr>
        <w:t> </w:t>
      </w:r>
      <w:r>
        <w:rPr/>
        <w:t>ini, yang dikenal dengan harga</w:t>
      </w:r>
      <w:r>
        <w:rPr>
          <w:spacing w:val="-2"/>
        </w:rPr>
        <w:t> </w:t>
      </w:r>
      <w:r>
        <w:rPr/>
        <w:t>pasar sekunder, dapat timbul apabila saham tersebut diterbitkan di bursa dan terjadi transaksi yang tidak melibatkan emiten dari penjamin emisi. Karena tidak ada kesempatan untuk menegosiasikan harga investor dengan perusahaan penerbit dalam</w:t>
      </w:r>
      <w:r>
        <w:rPr>
          <w:spacing w:val="-2"/>
        </w:rPr>
        <w:t> </w:t>
      </w:r>
      <w:r>
        <w:rPr/>
        <w:t>transaksi</w:t>
      </w:r>
      <w:r>
        <w:rPr>
          <w:spacing w:val="-2"/>
        </w:rPr>
        <w:t> </w:t>
      </w:r>
      <w:r>
        <w:rPr/>
        <w:t>pasar</w:t>
      </w:r>
      <w:r>
        <w:rPr>
          <w:spacing w:val="-3"/>
        </w:rPr>
        <w:t> </w:t>
      </w:r>
      <w:r>
        <w:rPr/>
        <w:t>sekunder,</w:t>
      </w:r>
      <w:r>
        <w:rPr>
          <w:spacing w:val="-3"/>
        </w:rPr>
        <w:t> </w:t>
      </w:r>
      <w:r>
        <w:rPr/>
        <w:t>harga</w:t>
      </w:r>
      <w:r>
        <w:rPr>
          <w:spacing w:val="-4"/>
        </w:rPr>
        <w:t> </w:t>
      </w:r>
      <w:r>
        <w:rPr/>
        <w:t>ini</w:t>
      </w:r>
      <w:r>
        <w:rPr>
          <w:spacing w:val="-2"/>
        </w:rPr>
        <w:t> </w:t>
      </w:r>
      <w:r>
        <w:rPr/>
        <w:t>bisa</w:t>
      </w:r>
      <w:r>
        <w:rPr>
          <w:spacing w:val="-3"/>
        </w:rPr>
        <w:t> </w:t>
      </w:r>
      <w:r>
        <w:rPr/>
        <w:t>jadi</w:t>
      </w:r>
      <w:r>
        <w:rPr>
          <w:spacing w:val="-2"/>
        </w:rPr>
        <w:t> </w:t>
      </w:r>
      <w:r>
        <w:rPr/>
        <w:t>sama</w:t>
      </w:r>
      <w:r>
        <w:rPr>
          <w:spacing w:val="-3"/>
        </w:rPr>
        <w:t> </w:t>
      </w:r>
      <w:r>
        <w:rPr/>
        <w:t>dengan harga perusahaan penerbit. Harga pasar adalah harga yang diumumkan setiap hari di surat kabar dan media lainnya.</w:t>
      </w:r>
    </w:p>
    <w:p>
      <w:pPr>
        <w:pStyle w:val="ListParagraph"/>
        <w:numPr>
          <w:ilvl w:val="4"/>
          <w:numId w:val="12"/>
        </w:numPr>
        <w:tabs>
          <w:tab w:pos="2903" w:val="left" w:leader="none"/>
        </w:tabs>
        <w:spacing w:line="240" w:lineRule="auto" w:before="0" w:after="0"/>
        <w:ind w:left="2903" w:right="0" w:hanging="359"/>
        <w:jc w:val="both"/>
        <w:rPr>
          <w:sz w:val="24"/>
        </w:rPr>
      </w:pPr>
      <w:r>
        <w:rPr>
          <w:sz w:val="24"/>
        </w:rPr>
        <w:t>Harga</w:t>
      </w:r>
      <w:r>
        <w:rPr>
          <w:spacing w:val="-4"/>
          <w:sz w:val="24"/>
        </w:rPr>
        <w:t> </w:t>
      </w:r>
      <w:r>
        <w:rPr>
          <w:spacing w:val="-2"/>
          <w:sz w:val="24"/>
        </w:rPr>
        <w:t>Pembukuan</w:t>
      </w:r>
    </w:p>
    <w:p>
      <w:pPr>
        <w:pStyle w:val="BodyText"/>
        <w:spacing w:line="360" w:lineRule="auto" w:before="140"/>
        <w:ind w:left="2904" w:right="164" w:firstLine="720"/>
        <w:jc w:val="both"/>
      </w:pPr>
      <w:r>
        <w:rPr/>
        <w:t>Harga</w:t>
      </w:r>
      <w:r>
        <w:rPr>
          <w:spacing w:val="-2"/>
        </w:rPr>
        <w:t> </w:t>
      </w:r>
      <w:r>
        <w:rPr/>
        <w:t>yang diminta</w:t>
      </w:r>
      <w:r>
        <w:rPr>
          <w:spacing w:val="-1"/>
        </w:rPr>
        <w:t> </w:t>
      </w:r>
      <w:r>
        <w:rPr/>
        <w:t>oleh pembeli atau penjual pada</w:t>
      </w:r>
      <w:r>
        <w:rPr>
          <w:spacing w:val="-1"/>
        </w:rPr>
        <w:t> </w:t>
      </w:r>
      <w:r>
        <w:rPr/>
        <w:t>saat pembukaan bursa saham dikenal sebagai harga buku. Hal ini dapat terjadi saat transaksi saham telah terjadi dan harga sesuai dengan yang diminta oleh pembeli atau penjual. Meskipun biasanya</w:t>
      </w:r>
      <w:r>
        <w:rPr>
          <w:spacing w:val="-15"/>
        </w:rPr>
        <w:t> </w:t>
      </w:r>
      <w:r>
        <w:rPr/>
        <w:t>tidak</w:t>
      </w:r>
      <w:r>
        <w:rPr>
          <w:spacing w:val="-15"/>
        </w:rPr>
        <w:t> </w:t>
      </w:r>
      <w:r>
        <w:rPr/>
        <w:t>terjadi,</w:t>
      </w:r>
      <w:r>
        <w:rPr>
          <w:spacing w:val="-15"/>
        </w:rPr>
        <w:t> </w:t>
      </w:r>
      <w:r>
        <w:rPr/>
        <w:t>dalam</w:t>
      </w:r>
      <w:r>
        <w:rPr>
          <w:spacing w:val="-15"/>
        </w:rPr>
        <w:t> </w:t>
      </w:r>
      <w:r>
        <w:rPr/>
        <w:t>situasi</w:t>
      </w:r>
      <w:r>
        <w:rPr>
          <w:spacing w:val="-15"/>
        </w:rPr>
        <w:t> </w:t>
      </w:r>
      <w:r>
        <w:rPr/>
        <w:t>seperti</w:t>
      </w:r>
      <w:r>
        <w:rPr>
          <w:spacing w:val="-15"/>
        </w:rPr>
        <w:t> </w:t>
      </w:r>
      <w:r>
        <w:rPr/>
        <w:t>ini,</w:t>
      </w:r>
      <w:r>
        <w:rPr>
          <w:spacing w:val="-15"/>
        </w:rPr>
        <w:t> </w:t>
      </w:r>
      <w:r>
        <w:rPr/>
        <w:t>harga</w:t>
      </w:r>
      <w:r>
        <w:rPr>
          <w:spacing w:val="-15"/>
        </w:rPr>
        <w:t> </w:t>
      </w:r>
      <w:r>
        <w:rPr/>
        <w:t>pasar</w:t>
      </w:r>
      <w:r>
        <w:rPr>
          <w:spacing w:val="-15"/>
        </w:rPr>
        <w:t> </w:t>
      </w:r>
      <w:r>
        <w:rPr/>
        <w:t>dapat berubah menjadi harga pembukuan dan sebaliknya.</w:t>
      </w:r>
    </w:p>
    <w:p>
      <w:pPr>
        <w:pStyle w:val="ListParagraph"/>
        <w:numPr>
          <w:ilvl w:val="4"/>
          <w:numId w:val="12"/>
        </w:numPr>
        <w:tabs>
          <w:tab w:pos="2903" w:val="left" w:leader="none"/>
        </w:tabs>
        <w:spacing w:line="240" w:lineRule="auto" w:before="0" w:after="0"/>
        <w:ind w:left="2903" w:right="0" w:hanging="359"/>
        <w:jc w:val="both"/>
        <w:rPr>
          <w:sz w:val="24"/>
        </w:rPr>
      </w:pPr>
      <w:r>
        <w:rPr>
          <w:sz w:val="24"/>
        </w:rPr>
        <w:t>Harga</w:t>
      </w:r>
      <w:r>
        <w:rPr>
          <w:spacing w:val="-4"/>
          <w:sz w:val="24"/>
        </w:rPr>
        <w:t> </w:t>
      </w:r>
      <w:r>
        <w:rPr>
          <w:spacing w:val="-2"/>
          <w:sz w:val="24"/>
        </w:rPr>
        <w:t>Penutupan</w:t>
      </w:r>
    </w:p>
    <w:p>
      <w:pPr>
        <w:pStyle w:val="BodyText"/>
        <w:spacing w:line="360" w:lineRule="auto" w:before="137"/>
        <w:ind w:left="2904" w:right="164" w:firstLine="720"/>
        <w:jc w:val="both"/>
      </w:pPr>
      <w:r>
        <w:rPr/>
        <w:t>Harga</w:t>
      </w:r>
      <w:r>
        <w:rPr>
          <w:spacing w:val="-15"/>
        </w:rPr>
        <w:t> </w:t>
      </w:r>
      <w:r>
        <w:rPr/>
        <w:t>yang</w:t>
      </w:r>
      <w:r>
        <w:rPr>
          <w:spacing w:val="-15"/>
        </w:rPr>
        <w:t> </w:t>
      </w:r>
      <w:r>
        <w:rPr/>
        <w:t>diminta</w:t>
      </w:r>
      <w:r>
        <w:rPr>
          <w:spacing w:val="-14"/>
        </w:rPr>
        <w:t> </w:t>
      </w:r>
      <w:r>
        <w:rPr/>
        <w:t>oleh</w:t>
      </w:r>
      <w:r>
        <w:rPr>
          <w:spacing w:val="-15"/>
        </w:rPr>
        <w:t> </w:t>
      </w:r>
      <w:r>
        <w:rPr/>
        <w:t>pembeli</w:t>
      </w:r>
      <w:r>
        <w:rPr>
          <w:spacing w:val="-14"/>
        </w:rPr>
        <w:t> </w:t>
      </w:r>
      <w:r>
        <w:rPr/>
        <w:t>atau</w:t>
      </w:r>
      <w:r>
        <w:rPr>
          <w:spacing w:val="-15"/>
        </w:rPr>
        <w:t> </w:t>
      </w:r>
      <w:r>
        <w:rPr/>
        <w:t>penjual</w:t>
      </w:r>
      <w:r>
        <w:rPr>
          <w:spacing w:val="-14"/>
        </w:rPr>
        <w:t> </w:t>
      </w:r>
      <w:r>
        <w:rPr/>
        <w:t>pada</w:t>
      </w:r>
      <w:r>
        <w:rPr>
          <w:spacing w:val="-15"/>
        </w:rPr>
        <w:t> </w:t>
      </w:r>
      <w:r>
        <w:rPr/>
        <w:t>akhir hari perdagangan dikenal sebagai harga penutupan. </w:t>
      </w:r>
      <w:r>
        <w:rPr/>
        <w:t>Dalam keadaan</w:t>
      </w:r>
      <w:r>
        <w:rPr>
          <w:spacing w:val="41"/>
        </w:rPr>
        <w:t> </w:t>
      </w:r>
      <w:r>
        <w:rPr/>
        <w:t>seperti</w:t>
      </w:r>
      <w:r>
        <w:rPr>
          <w:spacing w:val="42"/>
        </w:rPr>
        <w:t> </w:t>
      </w:r>
      <w:r>
        <w:rPr/>
        <w:t>itu,</w:t>
      </w:r>
      <w:r>
        <w:rPr>
          <w:spacing w:val="41"/>
        </w:rPr>
        <w:t> </w:t>
      </w:r>
      <w:r>
        <w:rPr/>
        <w:t>transaksi</w:t>
      </w:r>
      <w:r>
        <w:rPr>
          <w:spacing w:val="42"/>
        </w:rPr>
        <w:t> </w:t>
      </w:r>
      <w:r>
        <w:rPr/>
        <w:t>saham</w:t>
      </w:r>
      <w:r>
        <w:rPr>
          <w:spacing w:val="44"/>
        </w:rPr>
        <w:t> </w:t>
      </w:r>
      <w:r>
        <w:rPr/>
        <w:t>yang</w:t>
      </w:r>
      <w:r>
        <w:rPr>
          <w:spacing w:val="44"/>
        </w:rPr>
        <w:t> </w:t>
      </w:r>
      <w:r>
        <w:rPr/>
        <w:t>cepat</w:t>
      </w:r>
      <w:r>
        <w:rPr>
          <w:spacing w:val="42"/>
        </w:rPr>
        <w:t> </w:t>
      </w:r>
      <w:r>
        <w:rPr/>
        <w:t>dapat</w:t>
      </w:r>
      <w:r>
        <w:rPr>
          <w:spacing w:val="45"/>
        </w:rPr>
        <w:t> </w:t>
      </w:r>
      <w:r>
        <w:rPr>
          <w:spacing w:val="-2"/>
        </w:rPr>
        <w:t>terjadi</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2904" w:right="160"/>
        <w:jc w:val="both"/>
      </w:pPr>
      <w:r>
        <w:rPr/>
        <w:t>pada</w:t>
      </w:r>
      <w:r>
        <w:rPr>
          <w:spacing w:val="-5"/>
        </w:rPr>
        <w:t> </w:t>
      </w:r>
      <w:r>
        <w:rPr/>
        <w:t>akhir</w:t>
      </w:r>
      <w:r>
        <w:rPr>
          <w:spacing w:val="-3"/>
        </w:rPr>
        <w:t> </w:t>
      </w:r>
      <w:r>
        <w:rPr/>
        <w:t>bursa</w:t>
      </w:r>
      <w:r>
        <w:rPr>
          <w:spacing w:val="-6"/>
        </w:rPr>
        <w:t> </w:t>
      </w:r>
      <w:r>
        <w:rPr/>
        <w:t>karena</w:t>
      </w:r>
      <w:r>
        <w:rPr>
          <w:spacing w:val="-5"/>
        </w:rPr>
        <w:t> </w:t>
      </w:r>
      <w:r>
        <w:rPr/>
        <w:t>adanya</w:t>
      </w:r>
      <w:r>
        <w:rPr>
          <w:spacing w:val="-5"/>
        </w:rPr>
        <w:t> </w:t>
      </w:r>
      <w:r>
        <w:rPr/>
        <w:t>kesepakatan</w:t>
      </w:r>
      <w:r>
        <w:rPr>
          <w:spacing w:val="-4"/>
        </w:rPr>
        <w:t> </w:t>
      </w:r>
      <w:r>
        <w:rPr/>
        <w:t>antara</w:t>
      </w:r>
      <w:r>
        <w:rPr>
          <w:spacing w:val="-4"/>
        </w:rPr>
        <w:t> </w:t>
      </w:r>
      <w:r>
        <w:rPr/>
        <w:t>pembeli</w:t>
      </w:r>
      <w:r>
        <w:rPr>
          <w:spacing w:val="-4"/>
        </w:rPr>
        <w:t> </w:t>
      </w:r>
      <w:r>
        <w:rPr/>
        <w:t>dan penjual.</w:t>
      </w:r>
      <w:r>
        <w:rPr>
          <w:spacing w:val="-13"/>
        </w:rPr>
        <w:t> </w:t>
      </w:r>
      <w:r>
        <w:rPr/>
        <w:t>Jika</w:t>
      </w:r>
      <w:r>
        <w:rPr>
          <w:spacing w:val="-13"/>
        </w:rPr>
        <w:t> </w:t>
      </w:r>
      <w:r>
        <w:rPr/>
        <w:t>hal</w:t>
      </w:r>
      <w:r>
        <w:rPr>
          <w:spacing w:val="-12"/>
        </w:rPr>
        <w:t> </w:t>
      </w:r>
      <w:r>
        <w:rPr/>
        <w:t>ini</w:t>
      </w:r>
      <w:r>
        <w:rPr>
          <w:spacing w:val="-12"/>
        </w:rPr>
        <w:t> </w:t>
      </w:r>
      <w:r>
        <w:rPr/>
        <w:t>terjadi,</w:t>
      </w:r>
      <w:r>
        <w:rPr>
          <w:spacing w:val="-13"/>
        </w:rPr>
        <w:t> </w:t>
      </w:r>
      <w:r>
        <w:rPr/>
        <w:t>harga</w:t>
      </w:r>
      <w:r>
        <w:rPr>
          <w:spacing w:val="-13"/>
        </w:rPr>
        <w:t> </w:t>
      </w:r>
      <w:r>
        <w:rPr/>
        <w:t>penutupan</w:t>
      </w:r>
      <w:r>
        <w:rPr>
          <w:spacing w:val="-13"/>
        </w:rPr>
        <w:t> </w:t>
      </w:r>
      <w:r>
        <w:rPr/>
        <w:t>tetap</w:t>
      </w:r>
      <w:r>
        <w:rPr>
          <w:spacing w:val="-10"/>
        </w:rPr>
        <w:t> </w:t>
      </w:r>
      <w:r>
        <w:rPr/>
        <w:t>menjadi</w:t>
      </w:r>
      <w:r>
        <w:rPr>
          <w:spacing w:val="-12"/>
        </w:rPr>
        <w:t> </w:t>
      </w:r>
      <w:r>
        <w:rPr/>
        <w:t>harga penutupan untuk hari perdagangan tersebut meskipun dapat digunakan sebagai harga pasar.</w:t>
      </w:r>
    </w:p>
    <w:p>
      <w:pPr>
        <w:pStyle w:val="ListParagraph"/>
        <w:numPr>
          <w:ilvl w:val="4"/>
          <w:numId w:val="12"/>
        </w:numPr>
        <w:tabs>
          <w:tab w:pos="2902" w:val="left" w:leader="none"/>
        </w:tabs>
        <w:spacing w:line="240" w:lineRule="auto" w:before="1" w:after="0"/>
        <w:ind w:left="2902" w:right="0" w:hanging="358"/>
        <w:jc w:val="both"/>
        <w:rPr>
          <w:sz w:val="24"/>
        </w:rPr>
      </w:pPr>
      <w:r>
        <w:rPr>
          <w:sz w:val="24"/>
        </w:rPr>
        <w:t>Harga</w:t>
      </w:r>
      <w:r>
        <w:rPr>
          <w:spacing w:val="-4"/>
          <w:sz w:val="24"/>
        </w:rPr>
        <w:t> </w:t>
      </w:r>
      <w:r>
        <w:rPr>
          <w:spacing w:val="-2"/>
          <w:sz w:val="24"/>
        </w:rPr>
        <w:t>Tertinggi</w:t>
      </w:r>
    </w:p>
    <w:p>
      <w:pPr>
        <w:pStyle w:val="BodyText"/>
        <w:spacing w:line="360" w:lineRule="auto" w:before="137"/>
        <w:ind w:left="2904" w:right="164" w:firstLine="720"/>
        <w:jc w:val="both"/>
      </w:pPr>
      <w:r>
        <w:rPr/>
        <w:t>Harga tertinggi didefinisikan sebagai harga tertinggi yang dapat dicapai selama satu hari perdagangan jika suatu saham tidak diperdagangkan pada harga yang sama lebih dari satu kali.</w:t>
      </w:r>
    </w:p>
    <w:p>
      <w:pPr>
        <w:pStyle w:val="ListParagraph"/>
        <w:numPr>
          <w:ilvl w:val="4"/>
          <w:numId w:val="12"/>
        </w:numPr>
        <w:tabs>
          <w:tab w:pos="2903" w:val="left" w:leader="none"/>
        </w:tabs>
        <w:spacing w:line="240" w:lineRule="auto" w:before="1" w:after="0"/>
        <w:ind w:left="2903" w:right="0" w:hanging="359"/>
        <w:jc w:val="both"/>
        <w:rPr>
          <w:sz w:val="24"/>
        </w:rPr>
      </w:pPr>
      <w:r>
        <w:rPr>
          <w:sz w:val="24"/>
        </w:rPr>
        <w:t>Harga</w:t>
      </w:r>
      <w:r>
        <w:rPr>
          <w:spacing w:val="-4"/>
          <w:sz w:val="24"/>
        </w:rPr>
        <w:t> </w:t>
      </w:r>
      <w:r>
        <w:rPr>
          <w:spacing w:val="-2"/>
          <w:sz w:val="24"/>
        </w:rPr>
        <w:t>Terendah</w:t>
      </w:r>
    </w:p>
    <w:p>
      <w:pPr>
        <w:pStyle w:val="BodyText"/>
        <w:spacing w:line="360" w:lineRule="auto" w:before="139"/>
        <w:ind w:left="2904" w:right="164" w:firstLine="720"/>
        <w:jc w:val="both"/>
      </w:pPr>
      <w:r>
        <w:rPr/>
        <w:t>Harga terendah ini didefinisikan sebagai harga terendah yang terjadi selama hari perdagangan, yang mungkin terjadi ketika sebuah saham diperdagangkan beberapa kali </w:t>
      </w:r>
      <w:r>
        <w:rPr/>
        <w:t>dengan harga yang berbeda. Dengan kata lain, halaman dengan harga tertinggi juga merupakan halaman dengan harga terendah.</w:t>
      </w:r>
    </w:p>
    <w:p>
      <w:pPr>
        <w:pStyle w:val="ListParagraph"/>
        <w:numPr>
          <w:ilvl w:val="4"/>
          <w:numId w:val="12"/>
        </w:numPr>
        <w:tabs>
          <w:tab w:pos="2903" w:val="left" w:leader="none"/>
        </w:tabs>
        <w:spacing w:line="275" w:lineRule="exact" w:before="0" w:after="0"/>
        <w:ind w:left="2903" w:right="0" w:hanging="359"/>
        <w:jc w:val="both"/>
        <w:rPr>
          <w:sz w:val="24"/>
        </w:rPr>
      </w:pPr>
      <w:r>
        <w:rPr>
          <w:sz w:val="24"/>
        </w:rPr>
        <w:t>Harga</w:t>
      </w:r>
      <w:r>
        <w:rPr>
          <w:spacing w:val="-7"/>
          <w:sz w:val="24"/>
        </w:rPr>
        <w:t> </w:t>
      </w:r>
      <w:r>
        <w:rPr>
          <w:sz w:val="24"/>
        </w:rPr>
        <w:t>Rata-</w:t>
      </w:r>
      <w:r>
        <w:rPr>
          <w:spacing w:val="-4"/>
          <w:sz w:val="24"/>
        </w:rPr>
        <w:t>rata</w:t>
      </w:r>
    </w:p>
    <w:p>
      <w:pPr>
        <w:pStyle w:val="BodyText"/>
        <w:spacing w:line="360" w:lineRule="auto" w:before="139"/>
        <w:ind w:left="2904" w:right="163" w:firstLine="720"/>
        <w:jc w:val="both"/>
      </w:pPr>
      <w:r>
        <w:rPr/>
        <w:t>Harga</w:t>
      </w:r>
      <w:r>
        <w:rPr>
          <w:spacing w:val="-4"/>
        </w:rPr>
        <w:t> </w:t>
      </w:r>
      <w:r>
        <w:rPr/>
        <w:t>rata-rata</w:t>
      </w:r>
      <w:r>
        <w:rPr>
          <w:spacing w:val="-3"/>
        </w:rPr>
        <w:t> </w:t>
      </w:r>
      <w:r>
        <w:rPr/>
        <w:t>dapat</w:t>
      </w:r>
      <w:r>
        <w:rPr>
          <w:spacing w:val="-4"/>
        </w:rPr>
        <w:t> </w:t>
      </w:r>
      <w:r>
        <w:rPr/>
        <w:t>didefinisikan</w:t>
      </w:r>
      <w:r>
        <w:rPr>
          <w:spacing w:val="-4"/>
        </w:rPr>
        <w:t> </w:t>
      </w:r>
      <w:r>
        <w:rPr/>
        <w:t>sebagai</w:t>
      </w:r>
      <w:r>
        <w:rPr>
          <w:spacing w:val="-4"/>
        </w:rPr>
        <w:t> </w:t>
      </w:r>
      <w:r>
        <w:rPr/>
        <w:t>rata-rata</w:t>
      </w:r>
      <w:r>
        <w:rPr>
          <w:spacing w:val="-5"/>
        </w:rPr>
        <w:t> </w:t>
      </w:r>
      <w:r>
        <w:rPr/>
        <w:t>dari harga tertinggi dan terendah.</w:t>
      </w:r>
    </w:p>
    <w:p>
      <w:pPr>
        <w:pStyle w:val="BodyText"/>
        <w:spacing w:line="360" w:lineRule="auto"/>
        <w:ind w:left="1823" w:right="159" w:firstLine="360"/>
        <w:jc w:val="both"/>
      </w:pPr>
      <w:r>
        <w:rPr/>
        <w:t>Dividen merupakan laba yang diterima dari saham. Pembagian dividen diputuskan dalam Rapat Umum Pemegang Saham (RUPS)</w:t>
      </w:r>
      <w:hyperlink w:history="true" w:anchor="_bookmark69">
        <w:r>
          <w:rPr/>
          <w:t>.</w:t>
        </w:r>
        <w:r>
          <w:rPr>
            <w:vertAlign w:val="superscript"/>
          </w:rPr>
          <w:t>45</w:t>
        </w:r>
      </w:hyperlink>
      <w:r>
        <w:rPr>
          <w:vertAlign w:val="baseline"/>
        </w:rPr>
        <w:t> Saham diklasifikasikan berdasarkan beberapa hal diantaranya mengenai teknik </w:t>
      </w:r>
      <w:r>
        <w:rPr>
          <w:spacing w:val="-2"/>
          <w:vertAlign w:val="baseline"/>
        </w:rPr>
        <w:t>pengalihan:</w:t>
      </w:r>
    </w:p>
    <w:p>
      <w:pPr>
        <w:pStyle w:val="ListParagraph"/>
        <w:numPr>
          <w:ilvl w:val="0"/>
          <w:numId w:val="16"/>
        </w:numPr>
        <w:tabs>
          <w:tab w:pos="2542" w:val="left" w:leader="none"/>
          <w:tab w:pos="2544" w:val="left" w:leader="none"/>
        </w:tabs>
        <w:spacing w:line="360" w:lineRule="auto" w:before="1" w:after="0"/>
        <w:ind w:left="2544" w:right="164" w:hanging="361"/>
        <w:jc w:val="both"/>
        <w:rPr>
          <w:sz w:val="24"/>
        </w:rPr>
      </w:pPr>
      <w:r>
        <w:rPr>
          <w:sz w:val="24"/>
        </w:rPr>
        <w:t>Saham</w:t>
      </w:r>
      <w:r>
        <w:rPr>
          <w:spacing w:val="-14"/>
          <w:sz w:val="24"/>
        </w:rPr>
        <w:t> </w:t>
      </w:r>
      <w:r>
        <w:rPr>
          <w:sz w:val="24"/>
        </w:rPr>
        <w:t>tanpa</w:t>
      </w:r>
      <w:r>
        <w:rPr>
          <w:spacing w:val="-15"/>
          <w:sz w:val="24"/>
        </w:rPr>
        <w:t> </w:t>
      </w:r>
      <w:r>
        <w:rPr>
          <w:sz w:val="24"/>
        </w:rPr>
        <w:t>nama</w:t>
      </w:r>
      <w:r>
        <w:rPr>
          <w:spacing w:val="-15"/>
          <w:sz w:val="24"/>
        </w:rPr>
        <w:t> </w:t>
      </w:r>
      <w:r>
        <w:rPr>
          <w:sz w:val="24"/>
        </w:rPr>
        <w:t>atau</w:t>
      </w:r>
      <w:r>
        <w:rPr>
          <w:spacing w:val="-14"/>
          <w:sz w:val="24"/>
        </w:rPr>
        <w:t> </w:t>
      </w:r>
      <w:r>
        <w:rPr>
          <w:i/>
          <w:sz w:val="24"/>
        </w:rPr>
        <w:t>bearer</w:t>
      </w:r>
      <w:r>
        <w:rPr>
          <w:i/>
          <w:spacing w:val="-14"/>
          <w:sz w:val="24"/>
        </w:rPr>
        <w:t> </w:t>
      </w:r>
      <w:r>
        <w:rPr>
          <w:i/>
          <w:sz w:val="24"/>
        </w:rPr>
        <w:t>stocks</w:t>
      </w:r>
      <w:r>
        <w:rPr>
          <w:i/>
          <w:spacing w:val="-14"/>
          <w:sz w:val="24"/>
        </w:rPr>
        <w:t> </w:t>
      </w:r>
      <w:r>
        <w:rPr>
          <w:sz w:val="24"/>
        </w:rPr>
        <w:t>yang</w:t>
      </w:r>
      <w:r>
        <w:rPr>
          <w:spacing w:val="-14"/>
          <w:sz w:val="24"/>
        </w:rPr>
        <w:t> </w:t>
      </w:r>
      <w:r>
        <w:rPr>
          <w:sz w:val="24"/>
        </w:rPr>
        <w:t>tertera</w:t>
      </w:r>
      <w:r>
        <w:rPr>
          <w:spacing w:val="-15"/>
          <w:sz w:val="24"/>
        </w:rPr>
        <w:t> </w:t>
      </w:r>
      <w:r>
        <w:rPr>
          <w:sz w:val="24"/>
        </w:rPr>
        <w:t>di</w:t>
      </w:r>
      <w:r>
        <w:rPr>
          <w:spacing w:val="-14"/>
          <w:sz w:val="24"/>
        </w:rPr>
        <w:t> </w:t>
      </w:r>
      <w:r>
        <w:rPr>
          <w:sz w:val="24"/>
        </w:rPr>
        <w:t>atasnya</w:t>
      </w:r>
      <w:r>
        <w:rPr>
          <w:spacing w:val="-15"/>
          <w:sz w:val="24"/>
        </w:rPr>
        <w:t> </w:t>
      </w:r>
      <w:r>
        <w:rPr>
          <w:sz w:val="24"/>
        </w:rPr>
        <w:t>dikenal sebagai saham atas unjuk. Jenis saham ini mudah dijual atau dialihkan kepada orang lain.</w:t>
      </w:r>
    </w:p>
    <w:p>
      <w:pPr>
        <w:pStyle w:val="ListParagraph"/>
        <w:numPr>
          <w:ilvl w:val="0"/>
          <w:numId w:val="16"/>
        </w:numPr>
        <w:tabs>
          <w:tab w:pos="2542" w:val="left" w:leader="none"/>
          <w:tab w:pos="2544" w:val="left" w:leader="none"/>
        </w:tabs>
        <w:spacing w:line="360" w:lineRule="auto" w:before="0" w:after="0"/>
        <w:ind w:left="2544" w:right="163" w:hanging="361"/>
        <w:jc w:val="both"/>
        <w:rPr>
          <w:sz w:val="24"/>
        </w:rPr>
      </w:pPr>
      <w:r>
        <w:rPr>
          <w:sz w:val="24"/>
        </w:rPr>
        <w:t>Saham atas nama atau </w:t>
      </w:r>
      <w:r>
        <w:rPr>
          <w:i/>
          <w:sz w:val="24"/>
        </w:rPr>
        <w:t>registered stocks</w:t>
      </w:r>
      <w:r>
        <w:rPr>
          <w:sz w:val="24"/>
        </w:rPr>
        <w:t>, yang di atasnya tertera nama pemilik dan harus memenuhi persyaratan tertentu agar dapat dialihkan kepada orang lain.</w:t>
      </w:r>
    </w:p>
    <w:p>
      <w:pPr>
        <w:pStyle w:val="BodyText"/>
        <w:spacing w:before="159"/>
        <w:ind w:left="2183"/>
        <w:jc w:val="both"/>
      </w:pPr>
      <w:r>
        <w:rPr/>
        <w:t>Sedangkan</w:t>
      </w:r>
      <w:r>
        <w:rPr>
          <w:spacing w:val="-2"/>
        </w:rPr>
        <w:t> </w:t>
      </w:r>
      <w:r>
        <w:rPr/>
        <w:t>kategori</w:t>
      </w:r>
      <w:r>
        <w:rPr>
          <w:spacing w:val="-1"/>
        </w:rPr>
        <w:t> </w:t>
      </w:r>
      <w:r>
        <w:rPr/>
        <w:t>saham</w:t>
      </w:r>
      <w:r>
        <w:rPr>
          <w:spacing w:val="-1"/>
        </w:rPr>
        <w:t> </w:t>
      </w:r>
      <w:r>
        <w:rPr/>
        <w:t>berdasarkan</w:t>
      </w:r>
      <w:r>
        <w:rPr>
          <w:spacing w:val="-1"/>
        </w:rPr>
        <w:t> </w:t>
      </w:r>
      <w:r>
        <w:rPr/>
        <w:t>hak</w:t>
      </w:r>
      <w:r>
        <w:rPr>
          <w:spacing w:val="-1"/>
        </w:rPr>
        <w:t> </w:t>
      </w:r>
      <w:r>
        <w:rPr/>
        <w:t>klaim</w:t>
      </w:r>
      <w:r>
        <w:rPr>
          <w:spacing w:val="1"/>
        </w:rPr>
        <w:t> </w:t>
      </w:r>
      <w:r>
        <w:rPr>
          <w:spacing w:val="-2"/>
        </w:rPr>
        <w:t>yaitu:</w:t>
      </w:r>
    </w:p>
    <w:p>
      <w:pPr>
        <w:pStyle w:val="BodyText"/>
        <w:spacing w:before="21"/>
      </w:pPr>
    </w:p>
    <w:p>
      <w:pPr>
        <w:pStyle w:val="ListParagraph"/>
        <w:numPr>
          <w:ilvl w:val="0"/>
          <w:numId w:val="17"/>
        </w:numPr>
        <w:tabs>
          <w:tab w:pos="2542" w:val="left" w:leader="none"/>
          <w:tab w:pos="2544" w:val="left" w:leader="none"/>
        </w:tabs>
        <w:spacing w:line="360" w:lineRule="auto" w:before="0" w:after="0"/>
        <w:ind w:left="2544" w:right="163" w:hanging="361"/>
        <w:jc w:val="both"/>
        <w:rPr>
          <w:sz w:val="24"/>
        </w:rPr>
      </w:pPr>
      <w:r>
        <w:rPr>
          <w:sz w:val="24"/>
        </w:rPr>
        <w:t>Saham biasa (</w:t>
      </w:r>
      <w:r>
        <w:rPr>
          <w:i/>
          <w:sz w:val="24"/>
        </w:rPr>
        <w:t>common stocks</w:t>
      </w:r>
      <w:r>
        <w:rPr>
          <w:sz w:val="24"/>
        </w:rPr>
        <w:t>) adalah saham yang pemegangnya dianggap</w:t>
      </w:r>
      <w:r>
        <w:rPr>
          <w:spacing w:val="80"/>
          <w:sz w:val="24"/>
        </w:rPr>
        <w:t> </w:t>
      </w:r>
      <w:r>
        <w:rPr>
          <w:sz w:val="24"/>
        </w:rPr>
        <w:t>sebagai</w:t>
      </w:r>
      <w:r>
        <w:rPr>
          <w:spacing w:val="80"/>
          <w:sz w:val="24"/>
        </w:rPr>
        <w:t> </w:t>
      </w:r>
      <w:r>
        <w:rPr>
          <w:sz w:val="24"/>
        </w:rPr>
        <w:t>pemilik</w:t>
      </w:r>
      <w:r>
        <w:rPr>
          <w:spacing w:val="80"/>
          <w:sz w:val="24"/>
        </w:rPr>
        <w:t> </w:t>
      </w:r>
      <w:r>
        <w:rPr>
          <w:sz w:val="24"/>
        </w:rPr>
        <w:t>sebenarnya</w:t>
      </w:r>
      <w:r>
        <w:rPr>
          <w:spacing w:val="80"/>
          <w:sz w:val="24"/>
        </w:rPr>
        <w:t> </w:t>
      </w:r>
      <w:r>
        <w:rPr>
          <w:sz w:val="24"/>
        </w:rPr>
        <w:t>dari</w:t>
      </w:r>
      <w:r>
        <w:rPr>
          <w:spacing w:val="80"/>
          <w:sz w:val="24"/>
        </w:rPr>
        <w:t> </w:t>
      </w:r>
      <w:r>
        <w:rPr>
          <w:sz w:val="24"/>
        </w:rPr>
        <w:t>bisnis</w:t>
      </w:r>
      <w:r>
        <w:rPr>
          <w:spacing w:val="80"/>
          <w:sz w:val="24"/>
        </w:rPr>
        <w:t> </w:t>
      </w:r>
      <w:r>
        <w:rPr>
          <w:sz w:val="24"/>
        </w:rPr>
        <w:t>tersebut</w:t>
      </w:r>
      <w:r>
        <w:rPr>
          <w:spacing w:val="80"/>
          <w:sz w:val="24"/>
        </w:rPr>
        <w:t> </w:t>
      </w:r>
      <w:r>
        <w:rPr>
          <w:sz w:val="24"/>
        </w:rPr>
        <w:t>dan</w:t>
      </w:r>
    </w:p>
    <w:p>
      <w:pPr>
        <w:pStyle w:val="BodyText"/>
        <w:spacing w:before="1"/>
        <w:rPr>
          <w:sz w:val="18"/>
        </w:rPr>
      </w:pPr>
      <w:r>
        <w:rPr>
          <w:sz w:val="18"/>
        </w:rPr>
        <mc:AlternateContent>
          <mc:Choice Requires="wps">
            <w:drawing>
              <wp:anchor distT="0" distB="0" distL="0" distR="0" allowOverlap="1" layoutInCell="1" locked="0" behindDoc="1" simplePos="0" relativeHeight="487601664">
                <wp:simplePos x="0" y="0"/>
                <wp:positionH relativeFrom="page">
                  <wp:posOffset>914704</wp:posOffset>
                </wp:positionH>
                <wp:positionV relativeFrom="paragraph">
                  <wp:posOffset>147325</wp:posOffset>
                </wp:positionV>
                <wp:extent cx="1829435" cy="9525"/>
                <wp:effectExtent l="0" t="0" r="0" b="0"/>
                <wp:wrapTopAndBottom/>
                <wp:docPr id="264" name="Graphic 264"/>
                <wp:cNvGraphicFramePr>
                  <a:graphicFrameLocks/>
                </wp:cNvGraphicFramePr>
                <a:graphic>
                  <a:graphicData uri="http://schemas.microsoft.com/office/word/2010/wordprocessingShape">
                    <wps:wsp>
                      <wps:cNvPr id="264" name="Graphic 264"/>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1.600469pt;width:144.020pt;height:.72003pt;mso-position-horizontal-relative:page;mso-position-vertical-relative:paragraph;z-index:-15714816;mso-wrap-distance-left:0;mso-wrap-distance-right:0" id="docshape236" filled="true" fillcolor="#000000" stroked="false">
                <v:fill type="solid"/>
                <w10:wrap type="topAndBottom"/>
              </v:rect>
            </w:pict>
          </mc:Fallback>
        </mc:AlternateContent>
      </w:r>
    </w:p>
    <w:p>
      <w:pPr>
        <w:spacing w:before="101"/>
        <w:ind w:left="23" w:right="0" w:firstLine="719"/>
        <w:jc w:val="left"/>
        <w:rPr>
          <w:sz w:val="20"/>
        </w:rPr>
      </w:pPr>
      <w:bookmarkStart w:name="_bookmark69" w:id="70"/>
      <w:bookmarkEnd w:id="70"/>
      <w:r>
        <w:rPr/>
      </w:r>
      <w:r>
        <w:rPr>
          <w:sz w:val="20"/>
          <w:vertAlign w:val="superscript"/>
        </w:rPr>
        <w:t>45</w:t>
      </w:r>
      <w:r>
        <w:rPr>
          <w:spacing w:val="40"/>
          <w:sz w:val="20"/>
          <w:vertAlign w:val="baseline"/>
        </w:rPr>
        <w:t> </w:t>
      </w:r>
      <w:r>
        <w:rPr>
          <w:sz w:val="20"/>
          <w:vertAlign w:val="baseline"/>
        </w:rPr>
        <w:t>Alexander</w:t>
      </w:r>
      <w:r>
        <w:rPr>
          <w:spacing w:val="40"/>
          <w:sz w:val="20"/>
          <w:vertAlign w:val="baseline"/>
        </w:rPr>
        <w:t> </w:t>
      </w:r>
      <w:r>
        <w:rPr>
          <w:sz w:val="20"/>
          <w:vertAlign w:val="baseline"/>
        </w:rPr>
        <w:t>Hery,</w:t>
      </w:r>
      <w:r>
        <w:rPr>
          <w:spacing w:val="40"/>
          <w:sz w:val="20"/>
          <w:vertAlign w:val="baseline"/>
        </w:rPr>
        <w:t> </w:t>
      </w:r>
      <w:r>
        <w:rPr>
          <w:i/>
          <w:sz w:val="20"/>
          <w:vertAlign w:val="baseline"/>
        </w:rPr>
        <w:t>Analisis</w:t>
      </w:r>
      <w:r>
        <w:rPr>
          <w:i/>
          <w:spacing w:val="40"/>
          <w:sz w:val="20"/>
          <w:vertAlign w:val="baseline"/>
        </w:rPr>
        <w:t> </w:t>
      </w:r>
      <w:r>
        <w:rPr>
          <w:i/>
          <w:sz w:val="20"/>
          <w:vertAlign w:val="baseline"/>
        </w:rPr>
        <w:t>Fundamental</w:t>
      </w:r>
      <w:r>
        <w:rPr>
          <w:i/>
          <w:spacing w:val="40"/>
          <w:sz w:val="20"/>
          <w:vertAlign w:val="baseline"/>
        </w:rPr>
        <w:t> </w:t>
      </w:r>
      <w:r>
        <w:rPr>
          <w:i/>
          <w:sz w:val="20"/>
          <w:vertAlign w:val="baseline"/>
        </w:rPr>
        <w:t>(Trading</w:t>
      </w:r>
      <w:r>
        <w:rPr>
          <w:i/>
          <w:spacing w:val="40"/>
          <w:sz w:val="20"/>
          <w:vertAlign w:val="baseline"/>
        </w:rPr>
        <w:t> </w:t>
      </w:r>
      <w:r>
        <w:rPr>
          <w:i/>
          <w:sz w:val="20"/>
          <w:vertAlign w:val="baseline"/>
        </w:rPr>
        <w:t>Dan</w:t>
      </w:r>
      <w:r>
        <w:rPr>
          <w:i/>
          <w:spacing w:val="40"/>
          <w:sz w:val="20"/>
          <w:vertAlign w:val="baseline"/>
        </w:rPr>
        <w:t> </w:t>
      </w:r>
      <w:r>
        <w:rPr>
          <w:i/>
          <w:sz w:val="20"/>
          <w:vertAlign w:val="baseline"/>
        </w:rPr>
        <w:t>Investasi</w:t>
      </w:r>
      <w:r>
        <w:rPr>
          <w:i/>
          <w:spacing w:val="40"/>
          <w:sz w:val="20"/>
          <w:vertAlign w:val="baseline"/>
        </w:rPr>
        <w:t> </w:t>
      </w:r>
      <w:r>
        <w:rPr>
          <w:i/>
          <w:sz w:val="20"/>
          <w:vertAlign w:val="baseline"/>
        </w:rPr>
        <w:t>Saham)</w:t>
      </w:r>
      <w:r>
        <w:rPr>
          <w:i/>
          <w:spacing w:val="40"/>
          <w:sz w:val="20"/>
          <w:vertAlign w:val="baseline"/>
        </w:rPr>
        <w:t> </w:t>
      </w:r>
      <w:r>
        <w:rPr>
          <w:sz w:val="20"/>
          <w:vertAlign w:val="baseline"/>
        </w:rPr>
        <w:t>(Bandung:</w:t>
      </w:r>
      <w:r>
        <w:rPr>
          <w:spacing w:val="40"/>
          <w:sz w:val="20"/>
          <w:vertAlign w:val="baseline"/>
        </w:rPr>
        <w:t> </w:t>
      </w:r>
      <w:r>
        <w:rPr>
          <w:sz w:val="20"/>
          <w:vertAlign w:val="baseline"/>
        </w:rPr>
        <w:t>PENERBIT YRAMA WIDYA, 20222).</w:t>
      </w:r>
    </w:p>
    <w:p>
      <w:pPr>
        <w:spacing w:after="0"/>
        <w:jc w:val="left"/>
        <w:rPr>
          <w:sz w:val="20"/>
        </w:rPr>
        <w:sectPr>
          <w:pgSz w:w="11910" w:h="16840"/>
          <w:pgMar w:header="0" w:footer="1000" w:top="1360" w:bottom="1200" w:left="1417" w:right="1275"/>
        </w:sectPr>
      </w:pPr>
    </w:p>
    <w:p>
      <w:pPr>
        <w:pStyle w:val="BodyText"/>
        <w:spacing w:line="360" w:lineRule="auto" w:before="60"/>
        <w:ind w:left="2544" w:right="164"/>
        <w:jc w:val="both"/>
      </w:pPr>
      <w:r>
        <w:rPr/>
        <w:t>memiliki hak suara, tetapi mereka juga memiliki klaim residual setelah semua hak pemegang saham preferen telah dipenuhi atau dibayarkan</w:t>
      </w:r>
      <w:r>
        <w:rPr>
          <w:spacing w:val="-11"/>
        </w:rPr>
        <w:t> </w:t>
      </w:r>
      <w:r>
        <w:rPr/>
        <w:t>(seperti</w:t>
      </w:r>
      <w:r>
        <w:rPr>
          <w:spacing w:val="-11"/>
        </w:rPr>
        <w:t> </w:t>
      </w:r>
      <w:r>
        <w:rPr/>
        <w:t>hak</w:t>
      </w:r>
      <w:r>
        <w:rPr>
          <w:spacing w:val="-11"/>
        </w:rPr>
        <w:t> </w:t>
      </w:r>
      <w:r>
        <w:rPr/>
        <w:t>atas</w:t>
      </w:r>
      <w:r>
        <w:rPr>
          <w:spacing w:val="-12"/>
        </w:rPr>
        <w:t> </w:t>
      </w:r>
      <w:r>
        <w:rPr/>
        <w:t>pembagian</w:t>
      </w:r>
      <w:r>
        <w:rPr>
          <w:spacing w:val="-11"/>
        </w:rPr>
        <w:t> </w:t>
      </w:r>
      <w:r>
        <w:rPr/>
        <w:t>dividen</w:t>
      </w:r>
      <w:r>
        <w:rPr>
          <w:spacing w:val="-12"/>
        </w:rPr>
        <w:t> </w:t>
      </w:r>
      <w:r>
        <w:rPr/>
        <w:t>dan</w:t>
      </w:r>
      <w:r>
        <w:rPr>
          <w:spacing w:val="-12"/>
        </w:rPr>
        <w:t> </w:t>
      </w:r>
      <w:r>
        <w:rPr/>
        <w:t>aset</w:t>
      </w:r>
      <w:r>
        <w:rPr>
          <w:spacing w:val="-11"/>
        </w:rPr>
        <w:t> </w:t>
      </w:r>
      <w:r>
        <w:rPr/>
        <w:t>perusahaan jika terjadi likuidasi).</w:t>
      </w:r>
    </w:p>
    <w:p>
      <w:pPr>
        <w:pStyle w:val="ListParagraph"/>
        <w:numPr>
          <w:ilvl w:val="0"/>
          <w:numId w:val="17"/>
        </w:numPr>
        <w:tabs>
          <w:tab w:pos="2542" w:val="left" w:leader="none"/>
          <w:tab w:pos="2544" w:val="left" w:leader="none"/>
        </w:tabs>
        <w:spacing w:line="360" w:lineRule="auto" w:before="1" w:after="0"/>
        <w:ind w:left="2544" w:right="163" w:hanging="361"/>
        <w:jc w:val="both"/>
        <w:rPr>
          <w:sz w:val="24"/>
        </w:rPr>
      </w:pPr>
      <w:r>
        <w:rPr>
          <w:sz w:val="24"/>
        </w:rPr>
        <w:t>Saham preferen (</w:t>
      </w:r>
      <w:r>
        <w:rPr>
          <w:i/>
          <w:sz w:val="24"/>
        </w:rPr>
        <w:t>preferred stocks</w:t>
      </w:r>
      <w:r>
        <w:rPr>
          <w:sz w:val="24"/>
        </w:rPr>
        <w:t>) adalah saham yang, jika terjadi likuidasi</w:t>
      </w:r>
      <w:r>
        <w:rPr>
          <w:spacing w:val="-12"/>
          <w:sz w:val="24"/>
        </w:rPr>
        <w:t> </w:t>
      </w:r>
      <w:r>
        <w:rPr>
          <w:sz w:val="24"/>
        </w:rPr>
        <w:t>bisnis,</w:t>
      </w:r>
      <w:r>
        <w:rPr>
          <w:spacing w:val="-15"/>
          <w:sz w:val="24"/>
        </w:rPr>
        <w:t> </w:t>
      </w:r>
      <w:r>
        <w:rPr>
          <w:sz w:val="24"/>
        </w:rPr>
        <w:t>memberikan</w:t>
      </w:r>
      <w:r>
        <w:rPr>
          <w:spacing w:val="-13"/>
          <w:sz w:val="24"/>
        </w:rPr>
        <w:t> </w:t>
      </w:r>
      <w:r>
        <w:rPr>
          <w:sz w:val="24"/>
        </w:rPr>
        <w:t>pemegang</w:t>
      </w:r>
      <w:r>
        <w:rPr>
          <w:spacing w:val="-13"/>
          <w:sz w:val="24"/>
        </w:rPr>
        <w:t> </w:t>
      </w:r>
      <w:r>
        <w:rPr>
          <w:sz w:val="24"/>
        </w:rPr>
        <w:t>hak</w:t>
      </w:r>
      <w:r>
        <w:rPr>
          <w:spacing w:val="-13"/>
          <w:sz w:val="24"/>
        </w:rPr>
        <w:t> </w:t>
      </w:r>
      <w:r>
        <w:rPr>
          <w:sz w:val="24"/>
        </w:rPr>
        <w:t>prioritas</w:t>
      </w:r>
      <w:r>
        <w:rPr>
          <w:spacing w:val="-12"/>
          <w:sz w:val="24"/>
        </w:rPr>
        <w:t> </w:t>
      </w:r>
      <w:r>
        <w:rPr>
          <w:sz w:val="24"/>
        </w:rPr>
        <w:t>atas</w:t>
      </w:r>
      <w:r>
        <w:rPr>
          <w:spacing w:val="-13"/>
          <w:sz w:val="24"/>
        </w:rPr>
        <w:t> </w:t>
      </w:r>
      <w:r>
        <w:rPr>
          <w:sz w:val="24"/>
        </w:rPr>
        <w:t>pemegang saham biasa sehubungan dengan pembagian dividen dan </w:t>
      </w:r>
      <w:r>
        <w:rPr>
          <w:sz w:val="24"/>
        </w:rPr>
        <w:t>aset </w:t>
      </w:r>
      <w:r>
        <w:rPr>
          <w:spacing w:val="-2"/>
          <w:sz w:val="24"/>
        </w:rPr>
        <w:t>perusahaan.</w:t>
      </w:r>
    </w:p>
    <w:p>
      <w:pPr>
        <w:pStyle w:val="BodyText"/>
        <w:spacing w:line="360" w:lineRule="auto" w:before="161"/>
        <w:ind w:left="2183" w:right="159" w:firstLine="360"/>
        <w:jc w:val="both"/>
      </w:pPr>
      <w:r>
        <w:rPr/>
        <w:t>Saham preferen memberikan keuntungan yang lebih kecil daripada saham biasa. Selain itu, risiko tinggi yang akan diperoleh di kemudian hari juga berbanding lurus dengan hal ini. Saham biasa merupakan pilihan</w:t>
      </w:r>
      <w:r>
        <w:rPr>
          <w:spacing w:val="-11"/>
        </w:rPr>
        <w:t> </w:t>
      </w:r>
      <w:r>
        <w:rPr/>
        <w:t>investasi</w:t>
      </w:r>
      <w:r>
        <w:rPr>
          <w:spacing w:val="-11"/>
        </w:rPr>
        <w:t> </w:t>
      </w:r>
      <w:r>
        <w:rPr/>
        <w:t>bagi</w:t>
      </w:r>
      <w:r>
        <w:rPr>
          <w:spacing w:val="-11"/>
        </w:rPr>
        <w:t> </w:t>
      </w:r>
      <w:r>
        <w:rPr/>
        <w:t>mereka</w:t>
      </w:r>
      <w:r>
        <w:rPr>
          <w:spacing w:val="-13"/>
        </w:rPr>
        <w:t> </w:t>
      </w:r>
      <w:r>
        <w:rPr/>
        <w:t>yang</w:t>
      </w:r>
      <w:r>
        <w:rPr>
          <w:spacing w:val="-12"/>
        </w:rPr>
        <w:t> </w:t>
      </w:r>
      <w:r>
        <w:rPr/>
        <w:t>ingin</w:t>
      </w:r>
      <w:r>
        <w:rPr>
          <w:spacing w:val="-12"/>
        </w:rPr>
        <w:t> </w:t>
      </w:r>
      <w:r>
        <w:rPr/>
        <w:t>memperoleh</w:t>
      </w:r>
      <w:r>
        <w:rPr>
          <w:spacing w:val="-12"/>
        </w:rPr>
        <w:t> </w:t>
      </w:r>
      <w:r>
        <w:rPr/>
        <w:t>pendapatan</w:t>
      </w:r>
      <w:r>
        <w:rPr>
          <w:spacing w:val="-12"/>
        </w:rPr>
        <w:t> </w:t>
      </w:r>
      <w:r>
        <w:rPr/>
        <w:t>besar. Hal</w:t>
      </w:r>
      <w:r>
        <w:rPr>
          <w:spacing w:val="-6"/>
        </w:rPr>
        <w:t> </w:t>
      </w:r>
      <w:r>
        <w:rPr/>
        <w:t>ini</w:t>
      </w:r>
      <w:r>
        <w:rPr>
          <w:spacing w:val="-6"/>
        </w:rPr>
        <w:t> </w:t>
      </w:r>
      <w:r>
        <w:rPr/>
        <w:t>dikarenakan</w:t>
      </w:r>
      <w:r>
        <w:rPr>
          <w:spacing w:val="-7"/>
        </w:rPr>
        <w:t> </w:t>
      </w:r>
      <w:r>
        <w:rPr/>
        <w:t>perputaran</w:t>
      </w:r>
      <w:r>
        <w:rPr>
          <w:spacing w:val="-7"/>
        </w:rPr>
        <w:t> </w:t>
      </w:r>
      <w:r>
        <w:rPr/>
        <w:t>saham</w:t>
      </w:r>
      <w:r>
        <w:rPr>
          <w:spacing w:val="-6"/>
        </w:rPr>
        <w:t> </w:t>
      </w:r>
      <w:r>
        <w:rPr/>
        <w:t>biasa</w:t>
      </w:r>
      <w:r>
        <w:rPr>
          <w:spacing w:val="-8"/>
        </w:rPr>
        <w:t> </w:t>
      </w:r>
      <w:r>
        <w:rPr/>
        <w:t>yang</w:t>
      </w:r>
      <w:r>
        <w:rPr>
          <w:spacing w:val="-4"/>
        </w:rPr>
        <w:t> </w:t>
      </w:r>
      <w:r>
        <w:rPr/>
        <w:t>sangat</w:t>
      </w:r>
      <w:r>
        <w:rPr>
          <w:spacing w:val="-6"/>
        </w:rPr>
        <w:t> </w:t>
      </w:r>
      <w:r>
        <w:rPr/>
        <w:t>cepat.</w:t>
      </w:r>
      <w:r>
        <w:rPr>
          <w:spacing w:val="-6"/>
        </w:rPr>
        <w:t> </w:t>
      </w:r>
      <w:r>
        <w:rPr/>
        <w:t>Berbeda dengan</w:t>
      </w:r>
      <w:r>
        <w:rPr>
          <w:spacing w:val="-13"/>
        </w:rPr>
        <w:t> </w:t>
      </w:r>
      <w:r>
        <w:rPr/>
        <w:t>saham</w:t>
      </w:r>
      <w:r>
        <w:rPr>
          <w:spacing w:val="-12"/>
        </w:rPr>
        <w:t> </w:t>
      </w:r>
      <w:r>
        <w:rPr/>
        <w:t>preferen</w:t>
      </w:r>
      <w:r>
        <w:rPr>
          <w:spacing w:val="-13"/>
        </w:rPr>
        <w:t> </w:t>
      </w:r>
      <w:r>
        <w:rPr/>
        <w:t>yang</w:t>
      </w:r>
      <w:r>
        <w:rPr>
          <w:spacing w:val="-13"/>
        </w:rPr>
        <w:t> </w:t>
      </w:r>
      <w:r>
        <w:rPr/>
        <w:t>memungkinkan</w:t>
      </w:r>
      <w:r>
        <w:rPr>
          <w:spacing w:val="-13"/>
        </w:rPr>
        <w:t> </w:t>
      </w:r>
      <w:r>
        <w:rPr/>
        <w:t>investor</w:t>
      </w:r>
      <w:r>
        <w:rPr>
          <w:spacing w:val="-13"/>
        </w:rPr>
        <w:t> </w:t>
      </w:r>
      <w:r>
        <w:rPr/>
        <w:t>untuk</w:t>
      </w:r>
      <w:r>
        <w:rPr>
          <w:spacing w:val="-12"/>
        </w:rPr>
        <w:t> </w:t>
      </w:r>
      <w:r>
        <w:rPr/>
        <w:t>mencairkan sahamnya dengan mudah</w:t>
      </w:r>
      <w:hyperlink w:history="true" w:anchor="_bookmark71">
        <w:r>
          <w:rPr/>
          <w:t>.</w:t>
        </w:r>
        <w:r>
          <w:rPr>
            <w:vertAlign w:val="superscript"/>
          </w:rPr>
          <w:t>46</w:t>
        </w:r>
      </w:hyperlink>
      <w:r>
        <w:rPr>
          <w:vertAlign w:val="baseline"/>
        </w:rPr>
        <w:t> Dividen merupakan salah satu manfaat kepemilikan saham. Seseorang dapat memperoleh dividen dari saham dalam</w:t>
      </w:r>
      <w:r>
        <w:rPr>
          <w:spacing w:val="-15"/>
          <w:vertAlign w:val="baseline"/>
        </w:rPr>
        <w:t> </w:t>
      </w:r>
      <w:r>
        <w:rPr>
          <w:vertAlign w:val="baseline"/>
        </w:rPr>
        <w:t>bentuk</w:t>
      </w:r>
      <w:r>
        <w:rPr>
          <w:spacing w:val="-15"/>
          <w:vertAlign w:val="baseline"/>
        </w:rPr>
        <w:t> </w:t>
      </w:r>
      <w:r>
        <w:rPr>
          <w:vertAlign w:val="baseline"/>
        </w:rPr>
        <w:t>uang</w:t>
      </w:r>
      <w:r>
        <w:rPr>
          <w:spacing w:val="-15"/>
          <w:vertAlign w:val="baseline"/>
        </w:rPr>
        <w:t> </w:t>
      </w:r>
      <w:r>
        <w:rPr>
          <w:vertAlign w:val="baseline"/>
        </w:rPr>
        <w:t>tunai</w:t>
      </w:r>
      <w:r>
        <w:rPr>
          <w:spacing w:val="-15"/>
          <w:vertAlign w:val="baseline"/>
        </w:rPr>
        <w:t> </w:t>
      </w:r>
      <w:r>
        <w:rPr>
          <w:vertAlign w:val="baseline"/>
        </w:rPr>
        <w:t>atau</w:t>
      </w:r>
      <w:r>
        <w:rPr>
          <w:spacing w:val="-15"/>
          <w:vertAlign w:val="baseline"/>
        </w:rPr>
        <w:t> </w:t>
      </w:r>
      <w:r>
        <w:rPr>
          <w:vertAlign w:val="baseline"/>
        </w:rPr>
        <w:t>properti</w:t>
      </w:r>
      <w:r>
        <w:rPr>
          <w:spacing w:val="-15"/>
          <w:vertAlign w:val="baseline"/>
        </w:rPr>
        <w:t> </w:t>
      </w:r>
      <w:r>
        <w:rPr>
          <w:vertAlign w:val="baseline"/>
        </w:rPr>
        <w:t>dan</w:t>
      </w:r>
      <w:r>
        <w:rPr>
          <w:spacing w:val="-15"/>
          <w:vertAlign w:val="baseline"/>
        </w:rPr>
        <w:t> </w:t>
      </w:r>
      <w:r>
        <w:rPr>
          <w:vertAlign w:val="baseline"/>
        </w:rPr>
        <w:t>saham.</w:t>
      </w:r>
      <w:r>
        <w:rPr>
          <w:spacing w:val="-15"/>
          <w:vertAlign w:val="baseline"/>
        </w:rPr>
        <w:t> </w:t>
      </w:r>
      <w:r>
        <w:rPr>
          <w:vertAlign w:val="baseline"/>
        </w:rPr>
        <w:t>Tingkat</w:t>
      </w:r>
      <w:r>
        <w:rPr>
          <w:spacing w:val="-15"/>
          <w:vertAlign w:val="baseline"/>
        </w:rPr>
        <w:t> </w:t>
      </w:r>
      <w:r>
        <w:rPr>
          <w:vertAlign w:val="baseline"/>
        </w:rPr>
        <w:t>pengembalian investasi yang diperoleh dari transaksi investasi terkadang disebut sebagai laba. Salah satu faktor yang memengaruhi pengambilan keputusan investor saat melakukan investasi adalah besarnya laba.</w:t>
      </w:r>
      <w:hyperlink w:history="true" w:anchor="_bookmark72">
        <w:r>
          <w:rPr>
            <w:vertAlign w:val="superscript"/>
          </w:rPr>
          <w:t>47</w:t>
        </w:r>
      </w:hyperlink>
    </w:p>
    <w:p>
      <w:pPr>
        <w:pStyle w:val="Heading2"/>
        <w:numPr>
          <w:ilvl w:val="2"/>
          <w:numId w:val="12"/>
        </w:numPr>
        <w:tabs>
          <w:tab w:pos="1643" w:val="left" w:leader="none"/>
        </w:tabs>
        <w:spacing w:line="240" w:lineRule="auto" w:before="160" w:after="0"/>
        <w:ind w:left="1643" w:right="0" w:hanging="540"/>
        <w:jc w:val="both"/>
      </w:pPr>
      <w:bookmarkStart w:name="_bookmark70" w:id="71"/>
      <w:bookmarkEnd w:id="71"/>
      <w:r>
        <w:rPr>
          <w:b w:val="0"/>
        </w:rPr>
      </w:r>
      <w:r>
        <w:rPr/>
        <w:t>Saham</w:t>
      </w:r>
      <w:r>
        <w:rPr>
          <w:spacing w:val="-2"/>
        </w:rPr>
        <w:t> Syariah</w:t>
      </w:r>
    </w:p>
    <w:p>
      <w:pPr>
        <w:pStyle w:val="BodyText"/>
        <w:spacing w:before="21"/>
        <w:rPr>
          <w:b/>
        </w:rPr>
      </w:pPr>
    </w:p>
    <w:p>
      <w:pPr>
        <w:pStyle w:val="BodyText"/>
        <w:spacing w:line="360" w:lineRule="auto"/>
        <w:ind w:left="2183" w:right="162" w:firstLine="720"/>
        <w:jc w:val="both"/>
      </w:pPr>
      <w:r>
        <w:rPr/>
        <w:t>Saham-saham perusahaan publik yang diperdagangkan sesuai dengan prinsip-prinsip syariah dikenal sebagai saham syariah. Di Indonesia, para akademisi yang bekerja sama dengan DSN-MUI dapat mengeluarkan fatwa tentang isu-isu ekonomi. OJK secara berkala akan menerbitkan DES (Daftar Efek Syariah) untuk semua saham syariah di pasar</w:t>
      </w:r>
      <w:r>
        <w:rPr>
          <w:spacing w:val="22"/>
        </w:rPr>
        <w:t> </w:t>
      </w:r>
      <w:r>
        <w:rPr/>
        <w:t>modal</w:t>
      </w:r>
      <w:r>
        <w:rPr>
          <w:spacing w:val="26"/>
        </w:rPr>
        <w:t> </w:t>
      </w:r>
      <w:r>
        <w:rPr/>
        <w:t>syariah</w:t>
      </w:r>
      <w:r>
        <w:rPr>
          <w:spacing w:val="26"/>
        </w:rPr>
        <w:t> </w:t>
      </w:r>
      <w:r>
        <w:rPr/>
        <w:t>pada</w:t>
      </w:r>
      <w:r>
        <w:rPr>
          <w:spacing w:val="25"/>
        </w:rPr>
        <w:t> </w:t>
      </w:r>
      <w:r>
        <w:rPr/>
        <w:t>bulan</w:t>
      </w:r>
      <w:r>
        <w:rPr>
          <w:spacing w:val="25"/>
        </w:rPr>
        <w:t> </w:t>
      </w:r>
      <w:r>
        <w:rPr/>
        <w:t>Mei</w:t>
      </w:r>
      <w:r>
        <w:rPr>
          <w:spacing w:val="25"/>
        </w:rPr>
        <w:t> </w:t>
      </w:r>
      <w:r>
        <w:rPr/>
        <w:t>dan</w:t>
      </w:r>
      <w:r>
        <w:rPr>
          <w:spacing w:val="26"/>
        </w:rPr>
        <w:t> </w:t>
      </w:r>
      <w:r>
        <w:rPr/>
        <w:t>November.</w:t>
      </w:r>
      <w:r>
        <w:rPr>
          <w:spacing w:val="25"/>
        </w:rPr>
        <w:t> </w:t>
      </w:r>
      <w:r>
        <w:rPr/>
        <w:t>Sampai</w:t>
      </w:r>
      <w:r>
        <w:rPr>
          <w:spacing w:val="26"/>
        </w:rPr>
        <w:t> </w:t>
      </w:r>
      <w:r>
        <w:rPr/>
        <w:t>saat</w:t>
      </w:r>
      <w:r>
        <w:rPr>
          <w:spacing w:val="26"/>
        </w:rPr>
        <w:t> </w:t>
      </w:r>
      <w:r>
        <w:rPr>
          <w:spacing w:val="-4"/>
        </w:rPr>
        <w:t>ini,</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4"/>
        <w:rPr>
          <w:sz w:val="20"/>
        </w:rPr>
      </w:pPr>
      <w:r>
        <w:rPr>
          <w:sz w:val="20"/>
        </w:rPr>
        <mc:AlternateContent>
          <mc:Choice Requires="wps">
            <w:drawing>
              <wp:anchor distT="0" distB="0" distL="0" distR="0" allowOverlap="1" layoutInCell="1" locked="0" behindDoc="1" simplePos="0" relativeHeight="487602176">
                <wp:simplePos x="0" y="0"/>
                <wp:positionH relativeFrom="page">
                  <wp:posOffset>914704</wp:posOffset>
                </wp:positionH>
                <wp:positionV relativeFrom="paragraph">
                  <wp:posOffset>220978</wp:posOffset>
                </wp:positionV>
                <wp:extent cx="1829435" cy="9525"/>
                <wp:effectExtent l="0" t="0" r="0" b="0"/>
                <wp:wrapTopAndBottom/>
                <wp:docPr id="265" name="Graphic 265"/>
                <wp:cNvGraphicFramePr>
                  <a:graphicFrameLocks/>
                </wp:cNvGraphicFramePr>
                <a:graphic>
                  <a:graphicData uri="http://schemas.microsoft.com/office/word/2010/wordprocessingShape">
                    <wps:wsp>
                      <wps:cNvPr id="265" name="Graphic 265"/>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7.399876pt;width:144.020pt;height:.72003pt;mso-position-horizontal-relative:page;mso-position-vertical-relative:paragraph;z-index:-15714304;mso-wrap-distance-left:0;mso-wrap-distance-right:0" id="docshape237" filled="true" fillcolor="#000000" stroked="false">
                <v:fill type="solid"/>
                <w10:wrap type="topAndBottom"/>
              </v:rect>
            </w:pict>
          </mc:Fallback>
        </mc:AlternateContent>
      </w:r>
    </w:p>
    <w:p>
      <w:pPr>
        <w:spacing w:before="101"/>
        <w:ind w:left="743" w:right="0" w:firstLine="0"/>
        <w:jc w:val="left"/>
        <w:rPr>
          <w:sz w:val="20"/>
        </w:rPr>
      </w:pPr>
      <w:bookmarkStart w:name="_bookmark71" w:id="72"/>
      <w:bookmarkEnd w:id="72"/>
      <w:r>
        <w:rPr/>
      </w:r>
      <w:r>
        <w:rPr>
          <w:sz w:val="20"/>
          <w:vertAlign w:val="superscript"/>
        </w:rPr>
        <w:t>46</w:t>
      </w:r>
      <w:r>
        <w:rPr>
          <w:spacing w:val="-2"/>
          <w:sz w:val="20"/>
          <w:vertAlign w:val="baseline"/>
        </w:rPr>
        <w:t> Sunariyah.</w:t>
      </w:r>
    </w:p>
    <w:p>
      <w:pPr>
        <w:spacing w:before="0"/>
        <w:ind w:left="743" w:right="0" w:firstLine="0"/>
        <w:jc w:val="left"/>
        <w:rPr>
          <w:sz w:val="20"/>
        </w:rPr>
      </w:pPr>
      <w:bookmarkStart w:name="_bookmark72" w:id="73"/>
      <w:bookmarkEnd w:id="73"/>
      <w:r>
        <w:rPr/>
      </w:r>
      <w:r>
        <w:rPr>
          <w:sz w:val="20"/>
          <w:vertAlign w:val="superscript"/>
        </w:rPr>
        <w:t>47</w:t>
      </w:r>
      <w:r>
        <w:rPr>
          <w:spacing w:val="-6"/>
          <w:sz w:val="20"/>
          <w:vertAlign w:val="baseline"/>
        </w:rPr>
        <w:t> </w:t>
      </w:r>
      <w:r>
        <w:rPr>
          <w:sz w:val="20"/>
          <w:vertAlign w:val="baseline"/>
        </w:rPr>
        <w:t>Jogiyanto</w:t>
      </w:r>
      <w:r>
        <w:rPr>
          <w:spacing w:val="-5"/>
          <w:sz w:val="20"/>
          <w:vertAlign w:val="baseline"/>
        </w:rPr>
        <w:t> </w:t>
      </w:r>
      <w:r>
        <w:rPr>
          <w:sz w:val="20"/>
          <w:vertAlign w:val="baseline"/>
        </w:rPr>
        <w:t>Hm,</w:t>
      </w:r>
      <w:r>
        <w:rPr>
          <w:spacing w:val="-6"/>
          <w:sz w:val="20"/>
          <w:vertAlign w:val="baseline"/>
        </w:rPr>
        <w:t> </w:t>
      </w:r>
      <w:r>
        <w:rPr>
          <w:i/>
          <w:sz w:val="20"/>
          <w:vertAlign w:val="baseline"/>
        </w:rPr>
        <w:t>Teori</w:t>
      </w:r>
      <w:r>
        <w:rPr>
          <w:i/>
          <w:spacing w:val="-6"/>
          <w:sz w:val="20"/>
          <w:vertAlign w:val="baseline"/>
        </w:rPr>
        <w:t> </w:t>
      </w:r>
      <w:r>
        <w:rPr>
          <w:i/>
          <w:sz w:val="20"/>
          <w:vertAlign w:val="baseline"/>
        </w:rPr>
        <w:t>Portofolio</w:t>
      </w:r>
      <w:r>
        <w:rPr>
          <w:i/>
          <w:spacing w:val="-6"/>
          <w:sz w:val="20"/>
          <w:vertAlign w:val="baseline"/>
        </w:rPr>
        <w:t> </w:t>
      </w:r>
      <w:r>
        <w:rPr>
          <w:i/>
          <w:sz w:val="20"/>
          <w:vertAlign w:val="baseline"/>
        </w:rPr>
        <w:t>Dan</w:t>
      </w:r>
      <w:r>
        <w:rPr>
          <w:i/>
          <w:spacing w:val="-4"/>
          <w:sz w:val="20"/>
          <w:vertAlign w:val="baseline"/>
        </w:rPr>
        <w:t> </w:t>
      </w:r>
      <w:r>
        <w:rPr>
          <w:i/>
          <w:sz w:val="20"/>
          <w:vertAlign w:val="baseline"/>
        </w:rPr>
        <w:t>Analisis</w:t>
      </w:r>
      <w:r>
        <w:rPr>
          <w:i/>
          <w:spacing w:val="-7"/>
          <w:sz w:val="20"/>
          <w:vertAlign w:val="baseline"/>
        </w:rPr>
        <w:t> </w:t>
      </w:r>
      <w:r>
        <w:rPr>
          <w:i/>
          <w:sz w:val="20"/>
          <w:vertAlign w:val="baseline"/>
        </w:rPr>
        <w:t>Investasi,</w:t>
      </w:r>
      <w:r>
        <w:rPr>
          <w:i/>
          <w:spacing w:val="-5"/>
          <w:sz w:val="20"/>
          <w:vertAlign w:val="baseline"/>
        </w:rPr>
        <w:t> </w:t>
      </w:r>
      <w:r>
        <w:rPr>
          <w:i/>
          <w:sz w:val="20"/>
          <w:vertAlign w:val="baseline"/>
        </w:rPr>
        <w:t>Edisi</w:t>
      </w:r>
      <w:r>
        <w:rPr>
          <w:i/>
          <w:spacing w:val="-6"/>
          <w:sz w:val="20"/>
          <w:vertAlign w:val="baseline"/>
        </w:rPr>
        <w:t> </w:t>
      </w:r>
      <w:r>
        <w:rPr>
          <w:i/>
          <w:sz w:val="20"/>
          <w:vertAlign w:val="baseline"/>
        </w:rPr>
        <w:t>II </w:t>
      </w:r>
      <w:r>
        <w:rPr>
          <w:sz w:val="20"/>
          <w:vertAlign w:val="baseline"/>
        </w:rPr>
        <w:t>(Yogyakarta:</w:t>
      </w:r>
      <w:r>
        <w:rPr>
          <w:spacing w:val="-6"/>
          <w:sz w:val="20"/>
          <w:vertAlign w:val="baseline"/>
        </w:rPr>
        <w:t> </w:t>
      </w:r>
      <w:r>
        <w:rPr>
          <w:sz w:val="20"/>
          <w:vertAlign w:val="baseline"/>
        </w:rPr>
        <w:t>BPFE,</w:t>
      </w:r>
      <w:r>
        <w:rPr>
          <w:spacing w:val="-5"/>
          <w:sz w:val="20"/>
          <w:vertAlign w:val="baseline"/>
        </w:rPr>
        <w:t> </w:t>
      </w:r>
      <w:r>
        <w:rPr>
          <w:spacing w:val="-2"/>
          <w:sz w:val="20"/>
          <w:vertAlign w:val="baseline"/>
        </w:rPr>
        <w:t>2019).</w:t>
      </w:r>
    </w:p>
    <w:p>
      <w:pPr>
        <w:spacing w:after="0"/>
        <w:jc w:val="left"/>
        <w:rPr>
          <w:sz w:val="20"/>
        </w:rPr>
        <w:sectPr>
          <w:pgSz w:w="11910" w:h="16840"/>
          <w:pgMar w:header="0" w:footer="1000" w:top="1360" w:bottom="1200" w:left="1417" w:right="1275"/>
        </w:sectPr>
      </w:pPr>
    </w:p>
    <w:p>
      <w:pPr>
        <w:pStyle w:val="BodyText"/>
        <w:spacing w:line="360" w:lineRule="auto" w:before="60"/>
        <w:ind w:left="2183"/>
      </w:pPr>
      <w:r>
        <w:rPr/>
        <w:t>prosedur</w:t>
      </w:r>
      <w:r>
        <w:rPr>
          <w:spacing w:val="-9"/>
        </w:rPr>
        <w:t> </w:t>
      </w:r>
      <w:r>
        <w:rPr/>
        <w:t>seleksi</w:t>
      </w:r>
      <w:r>
        <w:rPr>
          <w:spacing w:val="-8"/>
        </w:rPr>
        <w:t> </w:t>
      </w:r>
      <w:r>
        <w:rPr/>
        <w:t>OJK</w:t>
      </w:r>
      <w:r>
        <w:rPr>
          <w:spacing w:val="-9"/>
        </w:rPr>
        <w:t> </w:t>
      </w:r>
      <w:r>
        <w:rPr/>
        <w:t>untuk</w:t>
      </w:r>
      <w:r>
        <w:rPr>
          <w:spacing w:val="-7"/>
        </w:rPr>
        <w:t> </w:t>
      </w:r>
      <w:r>
        <w:rPr/>
        <w:t>saham-saham</w:t>
      </w:r>
      <w:r>
        <w:rPr>
          <w:spacing w:val="-7"/>
        </w:rPr>
        <w:t> </w:t>
      </w:r>
      <w:r>
        <w:rPr/>
        <w:t>syariah</w:t>
      </w:r>
      <w:r>
        <w:rPr>
          <w:spacing w:val="-6"/>
        </w:rPr>
        <w:t> </w:t>
      </w:r>
      <w:r>
        <w:rPr/>
        <w:t>dibatasi</w:t>
      </w:r>
      <w:r>
        <w:rPr>
          <w:spacing w:val="-7"/>
        </w:rPr>
        <w:t> </w:t>
      </w:r>
      <w:r>
        <w:rPr/>
        <w:t>oleh</w:t>
      </w:r>
      <w:r>
        <w:rPr>
          <w:spacing w:val="-8"/>
        </w:rPr>
        <w:t> </w:t>
      </w:r>
      <w:r>
        <w:rPr/>
        <w:t>kriteria- kriteria berikut:</w:t>
      </w:r>
      <w:hyperlink w:history="true" w:anchor="_bookmark73">
        <w:r>
          <w:rPr>
            <w:vertAlign w:val="superscript"/>
          </w:rPr>
          <w:t>48</w:t>
        </w:r>
      </w:hyperlink>
    </w:p>
    <w:p>
      <w:pPr>
        <w:pStyle w:val="ListParagraph"/>
        <w:numPr>
          <w:ilvl w:val="0"/>
          <w:numId w:val="18"/>
        </w:numPr>
        <w:tabs>
          <w:tab w:pos="3623" w:val="left" w:leader="none"/>
        </w:tabs>
        <w:spacing w:line="240" w:lineRule="auto" w:before="162" w:after="0"/>
        <w:ind w:left="3623" w:right="0" w:hanging="359"/>
        <w:jc w:val="left"/>
        <w:rPr>
          <w:sz w:val="24"/>
        </w:rPr>
      </w:pPr>
      <w:r>
        <w:rPr>
          <w:sz w:val="24"/>
        </w:rPr>
        <w:t>Maysir</w:t>
      </w:r>
      <w:r>
        <w:rPr>
          <w:spacing w:val="-1"/>
          <w:sz w:val="24"/>
        </w:rPr>
        <w:t> </w:t>
      </w:r>
      <w:r>
        <w:rPr>
          <w:spacing w:val="-2"/>
          <w:sz w:val="24"/>
        </w:rPr>
        <w:t>(perjudian).</w:t>
      </w:r>
    </w:p>
    <w:p>
      <w:pPr>
        <w:pStyle w:val="ListParagraph"/>
        <w:numPr>
          <w:ilvl w:val="0"/>
          <w:numId w:val="18"/>
        </w:numPr>
        <w:tabs>
          <w:tab w:pos="3624" w:val="left" w:leader="none"/>
        </w:tabs>
        <w:spacing w:line="240" w:lineRule="auto" w:before="137" w:after="0"/>
        <w:ind w:left="3624" w:right="0" w:hanging="360"/>
        <w:jc w:val="left"/>
        <w:rPr>
          <w:sz w:val="24"/>
        </w:rPr>
      </w:pPr>
      <w:r>
        <w:rPr>
          <w:sz w:val="24"/>
        </w:rPr>
        <w:t>Perdagangan</w:t>
      </w:r>
      <w:r>
        <w:rPr>
          <w:spacing w:val="-1"/>
          <w:sz w:val="24"/>
        </w:rPr>
        <w:t> </w:t>
      </w:r>
      <w:r>
        <w:rPr>
          <w:sz w:val="24"/>
        </w:rPr>
        <w:t>yang</w:t>
      </w:r>
      <w:r>
        <w:rPr>
          <w:spacing w:val="-2"/>
          <w:sz w:val="24"/>
        </w:rPr>
        <w:t> </w:t>
      </w:r>
      <w:r>
        <w:rPr>
          <w:sz w:val="24"/>
        </w:rPr>
        <w:t>bertentangan</w:t>
      </w:r>
      <w:r>
        <w:rPr>
          <w:spacing w:val="-2"/>
          <w:sz w:val="24"/>
        </w:rPr>
        <w:t> </w:t>
      </w:r>
      <w:r>
        <w:rPr>
          <w:sz w:val="24"/>
        </w:rPr>
        <w:t>dengan</w:t>
      </w:r>
      <w:r>
        <w:rPr>
          <w:spacing w:val="-2"/>
          <w:sz w:val="24"/>
        </w:rPr>
        <w:t> syariah.</w:t>
      </w:r>
    </w:p>
    <w:p>
      <w:pPr>
        <w:pStyle w:val="ListParagraph"/>
        <w:numPr>
          <w:ilvl w:val="0"/>
          <w:numId w:val="18"/>
        </w:numPr>
        <w:tabs>
          <w:tab w:pos="3623" w:val="left" w:leader="none"/>
        </w:tabs>
        <w:spacing w:line="240" w:lineRule="auto" w:before="139" w:after="0"/>
        <w:ind w:left="3623" w:right="0" w:hanging="359"/>
        <w:jc w:val="both"/>
        <w:rPr>
          <w:sz w:val="24"/>
        </w:rPr>
      </w:pPr>
      <w:r>
        <w:rPr>
          <w:sz w:val="24"/>
        </w:rPr>
        <w:t>Melibatkan</w:t>
      </w:r>
      <w:r>
        <w:rPr>
          <w:spacing w:val="-2"/>
          <w:sz w:val="24"/>
        </w:rPr>
        <w:t> riba.</w:t>
      </w:r>
    </w:p>
    <w:p>
      <w:pPr>
        <w:pStyle w:val="ListParagraph"/>
        <w:numPr>
          <w:ilvl w:val="0"/>
          <w:numId w:val="18"/>
        </w:numPr>
        <w:tabs>
          <w:tab w:pos="3624" w:val="left" w:leader="none"/>
        </w:tabs>
        <w:spacing w:line="360" w:lineRule="auto" w:before="137" w:after="0"/>
        <w:ind w:left="3624" w:right="163" w:hanging="360"/>
        <w:jc w:val="both"/>
        <w:rPr>
          <w:sz w:val="24"/>
        </w:rPr>
      </w:pPr>
      <w:r>
        <w:rPr>
          <w:sz w:val="24"/>
        </w:rPr>
        <w:t>Transaksi yang melibatkan pembelian dan </w:t>
      </w:r>
      <w:r>
        <w:rPr>
          <w:sz w:val="24"/>
        </w:rPr>
        <w:t>penjualan suatu risiko yang mengandung unsur gharar dan/atau maysir (perjudian).</w:t>
      </w:r>
    </w:p>
    <w:p>
      <w:pPr>
        <w:pStyle w:val="ListParagraph"/>
        <w:numPr>
          <w:ilvl w:val="0"/>
          <w:numId w:val="18"/>
        </w:numPr>
        <w:tabs>
          <w:tab w:pos="3624" w:val="left" w:leader="none"/>
        </w:tabs>
        <w:spacing w:line="360" w:lineRule="auto" w:before="1" w:after="0"/>
        <w:ind w:left="3624" w:right="162" w:hanging="360"/>
        <w:jc w:val="both"/>
        <w:rPr>
          <w:sz w:val="24"/>
        </w:rPr>
      </w:pPr>
      <w:r>
        <w:rPr>
          <w:sz w:val="24"/>
        </w:rPr>
        <w:t>Memproduksi, mendistribusikan, menjual, </w:t>
      </w:r>
      <w:r>
        <w:rPr>
          <w:sz w:val="24"/>
        </w:rPr>
        <w:t>dan/atau memasok barang-barang yang diharamkan dan mengandung mudarat.</w:t>
      </w:r>
    </w:p>
    <w:p>
      <w:pPr>
        <w:pStyle w:val="ListParagraph"/>
        <w:numPr>
          <w:ilvl w:val="0"/>
          <w:numId w:val="18"/>
        </w:numPr>
        <w:tabs>
          <w:tab w:pos="3622" w:val="left" w:leader="none"/>
          <w:tab w:pos="3624" w:val="left" w:leader="none"/>
        </w:tabs>
        <w:spacing w:line="360" w:lineRule="auto" w:before="0" w:after="0"/>
        <w:ind w:left="3624" w:right="165" w:hanging="360"/>
        <w:jc w:val="both"/>
        <w:rPr>
          <w:sz w:val="24"/>
        </w:rPr>
      </w:pPr>
      <w:r>
        <w:rPr>
          <w:sz w:val="24"/>
        </w:rPr>
        <w:t>Terlibat dalam transaksi yang berhubungan </w:t>
      </w:r>
      <w:r>
        <w:rPr>
          <w:sz w:val="24"/>
        </w:rPr>
        <w:t>dengan penyuapan (komponen riyadhah).</w:t>
      </w:r>
    </w:p>
    <w:p>
      <w:pPr>
        <w:pStyle w:val="BodyText"/>
        <w:spacing w:line="360" w:lineRule="auto" w:before="160"/>
        <w:ind w:left="2183" w:right="159" w:firstLine="720"/>
        <w:jc w:val="both"/>
      </w:pPr>
      <w:r>
        <w:rPr/>
        <w:t>Saham syariah berbeda dengan saham biasa dalam hal persyaratan dan fitur-fiturnya. Kesimpulannya adalah bahwa keduanya berbeda dalam hal sifat bisnis dan mekanisme perusahaan yang bebas dari komponen spekulasi dan riba. Hukum syariah tidak bertentangan dengan ide penyertaan modal, yang merupakan hak untuk mengambil bagian</w:t>
      </w:r>
      <w:r>
        <w:rPr>
          <w:spacing w:val="-15"/>
        </w:rPr>
        <w:t> </w:t>
      </w:r>
      <w:r>
        <w:rPr/>
        <w:t>dalam</w:t>
      </w:r>
      <w:r>
        <w:rPr>
          <w:spacing w:val="-15"/>
        </w:rPr>
        <w:t> </w:t>
      </w:r>
      <w:r>
        <w:rPr/>
        <w:t>keuntungan</w:t>
      </w:r>
      <w:r>
        <w:rPr>
          <w:spacing w:val="-15"/>
        </w:rPr>
        <w:t> </w:t>
      </w:r>
      <w:r>
        <w:rPr/>
        <w:t>perusahaan.</w:t>
      </w:r>
      <w:r>
        <w:rPr>
          <w:spacing w:val="-13"/>
        </w:rPr>
        <w:t> </w:t>
      </w:r>
      <w:r>
        <w:rPr/>
        <w:t>Ide</w:t>
      </w:r>
      <w:r>
        <w:rPr>
          <w:spacing w:val="-15"/>
        </w:rPr>
        <w:t> </w:t>
      </w:r>
      <w:r>
        <w:rPr/>
        <w:t>ini</w:t>
      </w:r>
      <w:r>
        <w:rPr>
          <w:spacing w:val="-14"/>
        </w:rPr>
        <w:t> </w:t>
      </w:r>
      <w:r>
        <w:rPr/>
        <w:t>diakui</w:t>
      </w:r>
      <w:r>
        <w:rPr>
          <w:spacing w:val="-15"/>
        </w:rPr>
        <w:t> </w:t>
      </w:r>
      <w:r>
        <w:rPr/>
        <w:t>oleh</w:t>
      </w:r>
      <w:r>
        <w:rPr>
          <w:spacing w:val="-15"/>
        </w:rPr>
        <w:t> </w:t>
      </w:r>
      <w:r>
        <w:rPr/>
        <w:t>prinsip-prinsip syariah sebagai tindakan musyarakah atau syirkah. Dengan mempertimbangkan analogi tersebut, prinsip-prinsip syariah tidak bertentangan dengan ide saham sebagai sekuritas. Namun demikian, tidak</w:t>
      </w:r>
      <w:r>
        <w:rPr>
          <w:spacing w:val="-3"/>
        </w:rPr>
        <w:t> </w:t>
      </w:r>
      <w:r>
        <w:rPr/>
        <w:t>semua</w:t>
      </w:r>
      <w:r>
        <w:rPr>
          <w:spacing w:val="-3"/>
        </w:rPr>
        <w:t> </w:t>
      </w:r>
      <w:r>
        <w:rPr/>
        <w:t>saham</w:t>
      </w:r>
      <w:r>
        <w:rPr>
          <w:spacing w:val="-3"/>
        </w:rPr>
        <w:t> </w:t>
      </w:r>
      <w:r>
        <w:rPr/>
        <w:t>yang</w:t>
      </w:r>
      <w:r>
        <w:rPr>
          <w:spacing w:val="-1"/>
        </w:rPr>
        <w:t> </w:t>
      </w:r>
      <w:r>
        <w:rPr/>
        <w:t>diterbitkan</w:t>
      </w:r>
      <w:r>
        <w:rPr>
          <w:spacing w:val="-3"/>
        </w:rPr>
        <w:t> </w:t>
      </w:r>
      <w:r>
        <w:rPr/>
        <w:t>oleh</w:t>
      </w:r>
      <w:r>
        <w:rPr>
          <w:spacing w:val="-2"/>
        </w:rPr>
        <w:t> </w:t>
      </w:r>
      <w:r>
        <w:rPr/>
        <w:t>emiten</w:t>
      </w:r>
      <w:r>
        <w:rPr>
          <w:spacing w:val="-3"/>
        </w:rPr>
        <w:t> </w:t>
      </w:r>
      <w:r>
        <w:rPr/>
        <w:t>dan</w:t>
      </w:r>
      <w:r>
        <w:rPr>
          <w:spacing w:val="-3"/>
        </w:rPr>
        <w:t> </w:t>
      </w:r>
      <w:r>
        <w:rPr/>
        <w:t>perusahaan</w:t>
      </w:r>
      <w:r>
        <w:rPr>
          <w:spacing w:val="-3"/>
        </w:rPr>
        <w:t> </w:t>
      </w:r>
      <w:r>
        <w:rPr/>
        <w:t>publik dapat disebut sebagai saham syariah. Ada juga kategori saham syariah yang paling tidak harus melewati sebuah prosedur, yaitu proses penyaringan dan pembersihan. Adapun prosedur tersebut ialah emiten dan perusahaan publik yang secara eksplisit menyatakan dalam anggaran dasarnya bahwa tidak ada pertentangan antara kegiatan usahanya dengan prinsip syariah.</w:t>
      </w:r>
      <w:hyperlink w:history="true" w:anchor="_bookmark74">
        <w:r>
          <w:rPr>
            <w:vertAlign w:val="superscript"/>
          </w:rPr>
          <w:t>49</w:t>
        </w:r>
      </w:hyperlink>
    </w:p>
    <w:p>
      <w:pPr>
        <w:pStyle w:val="BodyText"/>
        <w:spacing w:before="116"/>
        <w:rPr>
          <w:sz w:val="20"/>
        </w:rPr>
      </w:pPr>
      <w:r>
        <w:rPr>
          <w:sz w:val="20"/>
        </w:rPr>
        <mc:AlternateContent>
          <mc:Choice Requires="wps">
            <w:drawing>
              <wp:anchor distT="0" distB="0" distL="0" distR="0" allowOverlap="1" layoutInCell="1" locked="0" behindDoc="1" simplePos="0" relativeHeight="487602688">
                <wp:simplePos x="0" y="0"/>
                <wp:positionH relativeFrom="page">
                  <wp:posOffset>914704</wp:posOffset>
                </wp:positionH>
                <wp:positionV relativeFrom="paragraph">
                  <wp:posOffset>235066</wp:posOffset>
                </wp:positionV>
                <wp:extent cx="1829435" cy="9525"/>
                <wp:effectExtent l="0" t="0" r="0" b="0"/>
                <wp:wrapTopAndBottom/>
                <wp:docPr id="266" name="Graphic 266"/>
                <wp:cNvGraphicFramePr>
                  <a:graphicFrameLocks/>
                </wp:cNvGraphicFramePr>
                <a:graphic>
                  <a:graphicData uri="http://schemas.microsoft.com/office/word/2010/wordprocessingShape">
                    <wps:wsp>
                      <wps:cNvPr id="266" name="Graphic 266"/>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50919pt;width:144.020pt;height:.72003pt;mso-position-horizontal-relative:page;mso-position-vertical-relative:paragraph;z-index:-15713792;mso-wrap-distance-left:0;mso-wrap-distance-right:0" id="docshape238" filled="true" fillcolor="#000000" stroked="false">
                <v:fill type="solid"/>
                <w10:wrap type="topAndBottom"/>
              </v:rect>
            </w:pict>
          </mc:Fallback>
        </mc:AlternateContent>
      </w:r>
    </w:p>
    <w:p>
      <w:pPr>
        <w:spacing w:before="101"/>
        <w:ind w:left="23" w:right="160" w:firstLine="719"/>
        <w:jc w:val="both"/>
        <w:rPr>
          <w:sz w:val="20"/>
        </w:rPr>
      </w:pPr>
      <w:bookmarkStart w:name="_bookmark73" w:id="74"/>
      <w:bookmarkEnd w:id="74"/>
      <w:r>
        <w:rPr/>
      </w:r>
      <w:r>
        <w:rPr>
          <w:sz w:val="20"/>
          <w:vertAlign w:val="superscript"/>
        </w:rPr>
        <w:t>48</w:t>
      </w:r>
      <w:r>
        <w:rPr>
          <w:sz w:val="20"/>
          <w:vertAlign w:val="baseline"/>
        </w:rPr>
        <w:t> Yusuf Satrio Ratmojoyo, Trisiladi Supriyanto, and Siwi Nugraheni, ‘Faktor-Faktor Yang Mempengaruhi</w:t>
      </w:r>
      <w:r>
        <w:rPr>
          <w:spacing w:val="-8"/>
          <w:sz w:val="20"/>
          <w:vertAlign w:val="baseline"/>
        </w:rPr>
        <w:t> </w:t>
      </w:r>
      <w:r>
        <w:rPr>
          <w:sz w:val="20"/>
          <w:vertAlign w:val="baseline"/>
        </w:rPr>
        <w:t>Minat</w:t>
      </w:r>
      <w:r>
        <w:rPr>
          <w:spacing w:val="-8"/>
          <w:sz w:val="20"/>
          <w:vertAlign w:val="baseline"/>
        </w:rPr>
        <w:t> </w:t>
      </w:r>
      <w:r>
        <w:rPr>
          <w:sz w:val="20"/>
          <w:vertAlign w:val="baseline"/>
        </w:rPr>
        <w:t>Berinvestasi</w:t>
      </w:r>
      <w:r>
        <w:rPr>
          <w:spacing w:val="-6"/>
          <w:sz w:val="20"/>
          <w:vertAlign w:val="baseline"/>
        </w:rPr>
        <w:t> </w:t>
      </w:r>
      <w:r>
        <w:rPr>
          <w:sz w:val="20"/>
          <w:vertAlign w:val="baseline"/>
        </w:rPr>
        <w:t>Saham</w:t>
      </w:r>
      <w:r>
        <w:rPr>
          <w:spacing w:val="-7"/>
          <w:sz w:val="20"/>
          <w:vertAlign w:val="baseline"/>
        </w:rPr>
        <w:t> </w:t>
      </w:r>
      <w:r>
        <w:rPr>
          <w:sz w:val="20"/>
          <w:vertAlign w:val="baseline"/>
        </w:rPr>
        <w:t>Syariah’,</w:t>
      </w:r>
      <w:r>
        <w:rPr>
          <w:spacing w:val="-3"/>
          <w:sz w:val="20"/>
          <w:vertAlign w:val="baseline"/>
        </w:rPr>
        <w:t> </w:t>
      </w:r>
      <w:r>
        <w:rPr>
          <w:i/>
          <w:sz w:val="20"/>
          <w:vertAlign w:val="baseline"/>
        </w:rPr>
        <w:t>Etihad:</w:t>
      </w:r>
      <w:r>
        <w:rPr>
          <w:i/>
          <w:spacing w:val="-10"/>
          <w:sz w:val="20"/>
          <w:vertAlign w:val="baseline"/>
        </w:rPr>
        <w:t> </w:t>
      </w:r>
      <w:r>
        <w:rPr>
          <w:i/>
          <w:sz w:val="20"/>
          <w:vertAlign w:val="baseline"/>
        </w:rPr>
        <w:t>Journal</w:t>
      </w:r>
      <w:r>
        <w:rPr>
          <w:i/>
          <w:spacing w:val="-8"/>
          <w:sz w:val="20"/>
          <w:vertAlign w:val="baseline"/>
        </w:rPr>
        <w:t> </w:t>
      </w:r>
      <w:r>
        <w:rPr>
          <w:i/>
          <w:sz w:val="20"/>
          <w:vertAlign w:val="baseline"/>
        </w:rPr>
        <w:t>of</w:t>
      </w:r>
      <w:r>
        <w:rPr>
          <w:i/>
          <w:spacing w:val="-8"/>
          <w:sz w:val="20"/>
          <w:vertAlign w:val="baseline"/>
        </w:rPr>
        <w:t> </w:t>
      </w:r>
      <w:r>
        <w:rPr>
          <w:i/>
          <w:sz w:val="20"/>
          <w:vertAlign w:val="baseline"/>
        </w:rPr>
        <w:t>Islamic</w:t>
      </w:r>
      <w:r>
        <w:rPr>
          <w:i/>
          <w:spacing w:val="-7"/>
          <w:sz w:val="20"/>
          <w:vertAlign w:val="baseline"/>
        </w:rPr>
        <w:t> </w:t>
      </w:r>
      <w:r>
        <w:rPr>
          <w:i/>
          <w:sz w:val="20"/>
          <w:vertAlign w:val="baseline"/>
        </w:rPr>
        <w:t>Banking</w:t>
      </w:r>
      <w:r>
        <w:rPr>
          <w:i/>
          <w:spacing w:val="-7"/>
          <w:sz w:val="20"/>
          <w:vertAlign w:val="baseline"/>
        </w:rPr>
        <w:t> </w:t>
      </w:r>
      <w:r>
        <w:rPr>
          <w:i/>
          <w:sz w:val="20"/>
          <w:vertAlign w:val="baseline"/>
        </w:rPr>
        <w:t>and</w:t>
      </w:r>
      <w:r>
        <w:rPr>
          <w:i/>
          <w:spacing w:val="-7"/>
          <w:sz w:val="20"/>
          <w:vertAlign w:val="baseline"/>
        </w:rPr>
        <w:t> </w:t>
      </w:r>
      <w:r>
        <w:rPr>
          <w:i/>
          <w:sz w:val="20"/>
          <w:vertAlign w:val="baseline"/>
        </w:rPr>
        <w:t>Finance</w:t>
      </w:r>
      <w:r>
        <w:rPr>
          <w:sz w:val="20"/>
          <w:vertAlign w:val="baseline"/>
        </w:rPr>
        <w:t>,</w:t>
      </w:r>
      <w:r>
        <w:rPr>
          <w:spacing w:val="-10"/>
          <w:sz w:val="20"/>
          <w:vertAlign w:val="baseline"/>
        </w:rPr>
        <w:t> </w:t>
      </w:r>
      <w:r>
        <w:rPr>
          <w:sz w:val="20"/>
          <w:vertAlign w:val="baseline"/>
        </w:rPr>
        <w:t>1.2</w:t>
      </w:r>
      <w:r>
        <w:rPr>
          <w:spacing w:val="-7"/>
          <w:sz w:val="20"/>
          <w:vertAlign w:val="baseline"/>
        </w:rPr>
        <w:t> </w:t>
      </w:r>
      <w:r>
        <w:rPr>
          <w:sz w:val="20"/>
          <w:vertAlign w:val="baseline"/>
        </w:rPr>
        <w:t>(2021), 115–31 &lt;https://doi.org/10.21154/etihad.v1i2.3236&gt;.</w:t>
      </w:r>
    </w:p>
    <w:p>
      <w:pPr>
        <w:spacing w:before="0"/>
        <w:ind w:left="23" w:right="170" w:firstLine="719"/>
        <w:jc w:val="both"/>
        <w:rPr>
          <w:sz w:val="20"/>
        </w:rPr>
      </w:pPr>
      <w:bookmarkStart w:name="_bookmark74" w:id="75"/>
      <w:bookmarkEnd w:id="75"/>
      <w:r>
        <w:rPr/>
      </w:r>
      <w:r>
        <w:rPr>
          <w:sz w:val="20"/>
          <w:vertAlign w:val="superscript"/>
        </w:rPr>
        <w:t>49</w:t>
      </w:r>
      <w:r>
        <w:rPr>
          <w:sz w:val="20"/>
          <w:vertAlign w:val="baseline"/>
        </w:rPr>
        <w:t> Nawawi Ismail, </w:t>
      </w:r>
      <w:r>
        <w:rPr>
          <w:i/>
          <w:sz w:val="20"/>
          <w:vertAlign w:val="baseline"/>
        </w:rPr>
        <w:t>Ekonomi Kelembagaan Syariah Dalam Pusaran Perekonomian Global Sebuah Tuntutan Dan Realitas </w:t>
      </w:r>
      <w:r>
        <w:rPr>
          <w:sz w:val="20"/>
          <w:vertAlign w:val="baseline"/>
        </w:rPr>
        <w:t>(Surabaya: CV Putra Media Nusantara, 2009).</w:t>
      </w:r>
    </w:p>
    <w:p>
      <w:pPr>
        <w:spacing w:after="0"/>
        <w:jc w:val="both"/>
        <w:rPr>
          <w:sz w:val="20"/>
        </w:rPr>
        <w:sectPr>
          <w:pgSz w:w="11910" w:h="16840"/>
          <w:pgMar w:header="0" w:footer="1000" w:top="1360" w:bottom="1200" w:left="1417" w:right="1275"/>
        </w:sectPr>
      </w:pPr>
    </w:p>
    <w:p>
      <w:pPr>
        <w:pStyle w:val="BodyText"/>
        <w:spacing w:before="60"/>
        <w:ind w:left="2183"/>
        <w:jc w:val="both"/>
      </w:pPr>
      <w:r>
        <w:rPr/>
        <w:t>Berikut</w:t>
      </w:r>
      <w:r>
        <w:rPr>
          <w:spacing w:val="-2"/>
        </w:rPr>
        <w:t> </w:t>
      </w:r>
      <w:r>
        <w:rPr/>
        <w:t>ini</w:t>
      </w:r>
      <w:r>
        <w:rPr>
          <w:spacing w:val="-1"/>
        </w:rPr>
        <w:t> </w:t>
      </w:r>
      <w:r>
        <w:rPr/>
        <w:t>adalah</w:t>
      </w:r>
      <w:r>
        <w:rPr>
          <w:spacing w:val="-1"/>
        </w:rPr>
        <w:t> </w:t>
      </w:r>
      <w:r>
        <w:rPr/>
        <w:t>ide-ide dasar</w:t>
      </w:r>
      <w:r>
        <w:rPr>
          <w:spacing w:val="-1"/>
        </w:rPr>
        <w:t> </w:t>
      </w:r>
      <w:r>
        <w:rPr/>
        <w:t>dari</w:t>
      </w:r>
      <w:r>
        <w:rPr>
          <w:spacing w:val="-1"/>
        </w:rPr>
        <w:t> </w:t>
      </w:r>
      <w:r>
        <w:rPr/>
        <w:t>saham</w:t>
      </w:r>
      <w:r>
        <w:rPr>
          <w:spacing w:val="-1"/>
        </w:rPr>
        <w:t> </w:t>
      </w:r>
      <w:r>
        <w:rPr>
          <w:spacing w:val="-2"/>
        </w:rPr>
        <w:t>syariah:</w:t>
      </w:r>
    </w:p>
    <w:p>
      <w:pPr>
        <w:pStyle w:val="ListParagraph"/>
        <w:numPr>
          <w:ilvl w:val="0"/>
          <w:numId w:val="19"/>
        </w:numPr>
        <w:tabs>
          <w:tab w:pos="2904" w:val="left" w:leader="none"/>
        </w:tabs>
        <w:spacing w:line="360" w:lineRule="auto" w:before="138" w:after="0"/>
        <w:ind w:left="2904" w:right="165" w:hanging="360"/>
        <w:jc w:val="both"/>
        <w:rPr>
          <w:sz w:val="24"/>
        </w:rPr>
      </w:pPr>
      <w:r>
        <w:rPr>
          <w:sz w:val="24"/>
        </w:rPr>
        <w:t>Saham syariah ditawarkan dalam jumlah terbatas, yang dikenal sebagai musyarakah.</w:t>
      </w:r>
    </w:p>
    <w:p>
      <w:pPr>
        <w:pStyle w:val="ListParagraph"/>
        <w:numPr>
          <w:ilvl w:val="0"/>
          <w:numId w:val="19"/>
        </w:numPr>
        <w:tabs>
          <w:tab w:pos="2904" w:val="left" w:leader="none"/>
        </w:tabs>
        <w:spacing w:line="360" w:lineRule="auto" w:before="0" w:after="0"/>
        <w:ind w:left="2904" w:right="166" w:hanging="360"/>
        <w:jc w:val="both"/>
        <w:rPr>
          <w:sz w:val="24"/>
        </w:rPr>
      </w:pPr>
      <w:r>
        <w:rPr>
          <w:sz w:val="24"/>
        </w:rPr>
        <w:t>Saham mudharabah adalah saham syariah yang tersedia untuk masyarakat umum.</w:t>
      </w:r>
    </w:p>
    <w:p>
      <w:pPr>
        <w:pStyle w:val="ListParagraph"/>
        <w:numPr>
          <w:ilvl w:val="0"/>
          <w:numId w:val="19"/>
        </w:numPr>
        <w:tabs>
          <w:tab w:pos="2904" w:val="left" w:leader="none"/>
        </w:tabs>
        <w:spacing w:line="360" w:lineRule="auto" w:before="0" w:after="0"/>
        <w:ind w:left="2904" w:right="165" w:hanging="360"/>
        <w:jc w:val="both"/>
        <w:rPr>
          <w:sz w:val="24"/>
        </w:rPr>
      </w:pPr>
      <w:r>
        <w:rPr>
          <w:sz w:val="24"/>
        </w:rPr>
        <w:t>Tidak ada perbedaan antara satu saham dengan saham lainnya, sehingga memungkinkan saham tersebut </w:t>
      </w:r>
      <w:r>
        <w:rPr>
          <w:sz w:val="24"/>
        </w:rPr>
        <w:t>menghasilkan pendapatan berdasarkan hasil tertentu.</w:t>
      </w:r>
    </w:p>
    <w:p>
      <w:pPr>
        <w:pStyle w:val="ListParagraph"/>
        <w:numPr>
          <w:ilvl w:val="0"/>
          <w:numId w:val="19"/>
        </w:numPr>
        <w:tabs>
          <w:tab w:pos="2904" w:val="left" w:leader="none"/>
        </w:tabs>
        <w:spacing w:line="360" w:lineRule="auto" w:before="1" w:after="0"/>
        <w:ind w:left="2904" w:right="164" w:hanging="360"/>
        <w:jc w:val="both"/>
        <w:rPr>
          <w:sz w:val="24"/>
        </w:rPr>
      </w:pPr>
      <w:r>
        <w:rPr>
          <w:sz w:val="24"/>
        </w:rPr>
        <w:t>Jika terjadi risiko, maka akan didistribusikan secara merata untuk</w:t>
      </w:r>
      <w:r>
        <w:rPr>
          <w:spacing w:val="-11"/>
          <w:sz w:val="24"/>
        </w:rPr>
        <w:t> </w:t>
      </w:r>
      <w:r>
        <w:rPr>
          <w:sz w:val="24"/>
        </w:rPr>
        <w:t>mendistribusikan</w:t>
      </w:r>
      <w:r>
        <w:rPr>
          <w:spacing w:val="-12"/>
          <w:sz w:val="24"/>
        </w:rPr>
        <w:t> </w:t>
      </w:r>
      <w:r>
        <w:rPr>
          <w:sz w:val="24"/>
        </w:rPr>
        <w:t>keuntungan</w:t>
      </w:r>
      <w:r>
        <w:rPr>
          <w:spacing w:val="-12"/>
          <w:sz w:val="24"/>
        </w:rPr>
        <w:t> </w:t>
      </w:r>
      <w:r>
        <w:rPr>
          <w:sz w:val="24"/>
        </w:rPr>
        <w:t>dan</w:t>
      </w:r>
      <w:r>
        <w:rPr>
          <w:spacing w:val="-11"/>
          <w:sz w:val="24"/>
        </w:rPr>
        <w:t> </w:t>
      </w:r>
      <w:r>
        <w:rPr>
          <w:sz w:val="24"/>
        </w:rPr>
        <w:t>kerugian</w:t>
      </w:r>
      <w:r>
        <w:rPr>
          <w:spacing w:val="-11"/>
          <w:sz w:val="24"/>
        </w:rPr>
        <w:t> </w:t>
      </w:r>
      <w:r>
        <w:rPr>
          <w:sz w:val="24"/>
        </w:rPr>
        <w:t>secara</w:t>
      </w:r>
      <w:r>
        <w:rPr>
          <w:spacing w:val="-12"/>
          <w:sz w:val="24"/>
        </w:rPr>
        <w:t> </w:t>
      </w:r>
      <w:r>
        <w:rPr>
          <w:sz w:val="24"/>
        </w:rPr>
        <w:t>merata.</w:t>
      </w:r>
    </w:p>
    <w:p>
      <w:pPr>
        <w:pStyle w:val="BodyText"/>
        <w:spacing w:line="360" w:lineRule="auto" w:before="162"/>
        <w:ind w:left="2544" w:right="163" w:firstLine="360"/>
        <w:jc w:val="both"/>
      </w:pPr>
      <w:r>
        <w:rPr/>
        <w:t>Ada beberapa metode untuk memilih saham untuk menentukan apakah saham yang akan dibeli termasuk dalam kategori saham syariah atau tidak.</w:t>
      </w:r>
    </w:p>
    <w:p>
      <w:pPr>
        <w:pStyle w:val="ListParagraph"/>
        <w:numPr>
          <w:ilvl w:val="1"/>
          <w:numId w:val="19"/>
        </w:numPr>
        <w:tabs>
          <w:tab w:pos="3624" w:val="left" w:leader="none"/>
        </w:tabs>
        <w:spacing w:line="360" w:lineRule="auto" w:before="159" w:after="0"/>
        <w:ind w:left="3624" w:right="163" w:hanging="360"/>
        <w:jc w:val="both"/>
        <w:rPr>
          <w:sz w:val="24"/>
        </w:rPr>
      </w:pPr>
      <w:r>
        <w:rPr>
          <w:sz w:val="24"/>
        </w:rPr>
        <w:t>Pendekatan terhadap proses penjualan dan pembelian. Metode ini mengasumsikan bahwa saham adalah aset yang digunakan dalam transaksi yang </w:t>
      </w:r>
      <w:r>
        <w:rPr>
          <w:sz w:val="24"/>
        </w:rPr>
        <w:t>melibatkan pembelian dan penjualan barang, dan kadang-kadang diperdagangkan dengan sejumlah uang.</w:t>
      </w:r>
    </w:p>
    <w:p>
      <w:pPr>
        <w:pStyle w:val="ListParagraph"/>
        <w:numPr>
          <w:ilvl w:val="1"/>
          <w:numId w:val="19"/>
        </w:numPr>
        <w:tabs>
          <w:tab w:pos="3624" w:val="left" w:leader="none"/>
        </w:tabs>
        <w:spacing w:line="360" w:lineRule="auto" w:before="0" w:after="0"/>
        <w:ind w:left="3624" w:right="161" w:hanging="360"/>
        <w:jc w:val="both"/>
        <w:rPr>
          <w:sz w:val="24"/>
        </w:rPr>
      </w:pPr>
      <w:r>
        <w:rPr>
          <w:sz w:val="24"/>
        </w:rPr>
        <w:t>Metodologi untuk tugas-tugas produksi. Metode ini dapat mengklaim stok halal jika proses </w:t>
      </w:r>
      <w:r>
        <w:rPr>
          <w:sz w:val="24"/>
        </w:rPr>
        <w:t>produksi perusahaan tidak mengandung unsur haram, seperti mencampurkan lemak babi dengan bahan makanan.</w:t>
      </w:r>
    </w:p>
    <w:p>
      <w:pPr>
        <w:pStyle w:val="ListParagraph"/>
        <w:numPr>
          <w:ilvl w:val="1"/>
          <w:numId w:val="19"/>
        </w:numPr>
        <w:tabs>
          <w:tab w:pos="3624" w:val="left" w:leader="none"/>
        </w:tabs>
        <w:spacing w:line="360" w:lineRule="auto" w:before="0" w:after="0"/>
        <w:ind w:left="3624" w:right="162" w:hanging="360"/>
        <w:jc w:val="both"/>
        <w:rPr>
          <w:sz w:val="24"/>
        </w:rPr>
      </w:pPr>
      <w:r>
        <w:rPr>
          <w:sz w:val="24"/>
        </w:rPr>
        <w:t>Pendekatan pendapatan produksi. Metode ini </w:t>
      </w:r>
      <w:r>
        <w:rPr>
          <w:sz w:val="24"/>
        </w:rPr>
        <w:t>lebih berfokus pada pendapatan yang dihasilkan oleh bisnis. Pendapatan yang halal atau haram, jika berasal dari bunga, dapat dikatakan bahwa bisnis tersebut menghasilkan pendapatan dengan cara yang melanggar syariah. Oleh karena itu, strategi ini sangat penting bagi bisnis untuk menghindari bunga.</w:t>
      </w:r>
    </w:p>
    <w:p>
      <w:pPr>
        <w:pStyle w:val="ListParagraph"/>
        <w:numPr>
          <w:ilvl w:val="1"/>
          <w:numId w:val="19"/>
        </w:numPr>
        <w:tabs>
          <w:tab w:pos="3624" w:val="left" w:leader="none"/>
        </w:tabs>
        <w:spacing w:line="360" w:lineRule="auto" w:before="0" w:after="0"/>
        <w:ind w:left="3624" w:right="163" w:hanging="360"/>
        <w:jc w:val="both"/>
        <w:rPr>
          <w:sz w:val="24"/>
        </w:rPr>
      </w:pPr>
      <w:r>
        <w:rPr>
          <w:sz w:val="24"/>
        </w:rPr>
        <w:t>Metode struktur modal perusahaan itu sendiri. </w:t>
      </w:r>
      <w:r>
        <w:rPr>
          <w:sz w:val="24"/>
        </w:rPr>
        <w:t>Metode ini</w:t>
      </w:r>
      <w:r>
        <w:rPr>
          <w:spacing w:val="-15"/>
          <w:sz w:val="24"/>
        </w:rPr>
        <w:t> </w:t>
      </w:r>
      <w:r>
        <w:rPr>
          <w:sz w:val="24"/>
        </w:rPr>
        <w:t>meneliti</w:t>
      </w:r>
      <w:r>
        <w:rPr>
          <w:spacing w:val="-15"/>
          <w:sz w:val="24"/>
        </w:rPr>
        <w:t> </w:t>
      </w:r>
      <w:r>
        <w:rPr>
          <w:sz w:val="24"/>
        </w:rPr>
        <w:t>rasio</w:t>
      </w:r>
      <w:r>
        <w:rPr>
          <w:spacing w:val="-15"/>
          <w:sz w:val="24"/>
        </w:rPr>
        <w:t> </w:t>
      </w:r>
      <w:r>
        <w:rPr>
          <w:sz w:val="24"/>
        </w:rPr>
        <w:t>utang,</w:t>
      </w:r>
      <w:r>
        <w:rPr>
          <w:spacing w:val="-15"/>
          <w:sz w:val="24"/>
        </w:rPr>
        <w:t> </w:t>
      </w:r>
      <w:r>
        <w:rPr>
          <w:sz w:val="24"/>
        </w:rPr>
        <w:t>yang</w:t>
      </w:r>
      <w:r>
        <w:rPr>
          <w:spacing w:val="-15"/>
          <w:sz w:val="24"/>
        </w:rPr>
        <w:t> </w:t>
      </w:r>
      <w:r>
        <w:rPr>
          <w:sz w:val="24"/>
        </w:rPr>
        <w:t>memungkinkan</w:t>
      </w:r>
      <w:r>
        <w:rPr>
          <w:spacing w:val="-15"/>
          <w:sz w:val="24"/>
        </w:rPr>
        <w:t> </w:t>
      </w:r>
      <w:r>
        <w:rPr>
          <w:sz w:val="24"/>
        </w:rPr>
        <w:t>perusahaan menggunakan</w:t>
      </w:r>
      <w:r>
        <w:rPr>
          <w:spacing w:val="80"/>
          <w:sz w:val="24"/>
        </w:rPr>
        <w:t> </w:t>
      </w:r>
      <w:r>
        <w:rPr>
          <w:sz w:val="24"/>
        </w:rPr>
        <w:t>utang</w:t>
      </w:r>
      <w:r>
        <w:rPr>
          <w:spacing w:val="80"/>
          <w:sz w:val="24"/>
        </w:rPr>
        <w:t> </w:t>
      </w:r>
      <w:r>
        <w:rPr>
          <w:sz w:val="24"/>
        </w:rPr>
        <w:t>sebagai</w:t>
      </w:r>
      <w:r>
        <w:rPr>
          <w:spacing w:val="80"/>
          <w:sz w:val="24"/>
        </w:rPr>
        <w:t> </w:t>
      </w:r>
      <w:r>
        <w:rPr>
          <w:sz w:val="24"/>
        </w:rPr>
        <w:t>modal.</w:t>
      </w:r>
      <w:r>
        <w:rPr>
          <w:spacing w:val="80"/>
          <w:sz w:val="24"/>
        </w:rPr>
        <w:t> </w:t>
      </w:r>
      <w:r>
        <w:rPr>
          <w:sz w:val="24"/>
        </w:rPr>
        <w:t>Semakin</w:t>
      </w:r>
      <w:r>
        <w:rPr>
          <w:spacing w:val="80"/>
          <w:sz w:val="24"/>
        </w:rPr>
        <w:t> </w:t>
      </w:r>
      <w:r>
        <w:rPr>
          <w:sz w:val="24"/>
        </w:rPr>
        <w:t>besar</w:t>
      </w:r>
    </w:p>
    <w:p>
      <w:pPr>
        <w:pStyle w:val="ListParagraph"/>
        <w:spacing w:after="0" w:line="360" w:lineRule="auto"/>
        <w:jc w:val="both"/>
        <w:rPr>
          <w:sz w:val="24"/>
        </w:rPr>
        <w:sectPr>
          <w:pgSz w:w="11910" w:h="16840"/>
          <w:pgMar w:header="0" w:footer="1000" w:top="1360" w:bottom="1200" w:left="1417" w:right="1275"/>
        </w:sectPr>
      </w:pPr>
    </w:p>
    <w:p>
      <w:pPr>
        <w:pStyle w:val="BodyText"/>
        <w:spacing w:line="360" w:lineRule="auto" w:before="60"/>
        <w:ind w:left="3624" w:right="164"/>
        <w:jc w:val="both"/>
      </w:pPr>
      <w:r>
        <w:rPr/>
        <w:t>ketergantungan modal pada utang, semakin tinggi </w:t>
      </w:r>
      <w:r>
        <w:rPr/>
        <w:t>rasio utang yang digunakan.</w:t>
      </w:r>
    </w:p>
    <w:p>
      <w:pPr>
        <w:pStyle w:val="BodyText"/>
        <w:spacing w:line="360" w:lineRule="auto" w:before="162"/>
        <w:ind w:left="3264" w:right="160" w:firstLine="360"/>
        <w:jc w:val="both"/>
      </w:pPr>
      <w:r>
        <w:rPr/>
        <w:t>Saham syariah merupakan bukti kepemilikan atas suatu usaha yang telah memenuhi Fatwa DSN MUI No. 40 tahun 2003. Persyaratan yang diuraikan dalam pasal 3, antara lain komoditas,</w:t>
      </w:r>
      <w:r>
        <w:rPr>
          <w:spacing w:val="-12"/>
        </w:rPr>
        <w:t> </w:t>
      </w:r>
      <w:r>
        <w:rPr/>
        <w:t>jasa,</w:t>
      </w:r>
      <w:r>
        <w:rPr>
          <w:spacing w:val="-12"/>
        </w:rPr>
        <w:t> </w:t>
      </w:r>
      <w:r>
        <w:rPr/>
        <w:t>jenis</w:t>
      </w:r>
      <w:r>
        <w:rPr>
          <w:spacing w:val="-11"/>
        </w:rPr>
        <w:t> </w:t>
      </w:r>
      <w:r>
        <w:rPr/>
        <w:t>usaha,</w:t>
      </w:r>
      <w:r>
        <w:rPr>
          <w:spacing w:val="-12"/>
        </w:rPr>
        <w:t> </w:t>
      </w:r>
      <w:r>
        <w:rPr/>
        <w:t>dan</w:t>
      </w:r>
      <w:r>
        <w:rPr>
          <w:spacing w:val="-12"/>
        </w:rPr>
        <w:t> </w:t>
      </w:r>
      <w:r>
        <w:rPr/>
        <w:t>akad</w:t>
      </w:r>
      <w:r>
        <w:rPr>
          <w:spacing w:val="-12"/>
        </w:rPr>
        <w:t> </w:t>
      </w:r>
      <w:r>
        <w:rPr/>
        <w:t>yang</w:t>
      </w:r>
      <w:r>
        <w:rPr>
          <w:spacing w:val="-10"/>
        </w:rPr>
        <w:t> </w:t>
      </w:r>
      <w:r>
        <w:rPr/>
        <w:t>digunakan</w:t>
      </w:r>
      <w:r>
        <w:rPr>
          <w:spacing w:val="-12"/>
        </w:rPr>
        <w:t> </w:t>
      </w:r>
      <w:r>
        <w:rPr/>
        <w:t>untuk mengakuisisi perusahaan emiten yang menerbitkan efek syariah tidak bertentangan dengan prinsip-prinsip syariah. Oleh</w:t>
      </w:r>
      <w:r>
        <w:rPr>
          <w:spacing w:val="-15"/>
        </w:rPr>
        <w:t> </w:t>
      </w:r>
      <w:r>
        <w:rPr/>
        <w:t>karena</w:t>
      </w:r>
      <w:r>
        <w:rPr>
          <w:spacing w:val="-15"/>
        </w:rPr>
        <w:t> </w:t>
      </w:r>
      <w:r>
        <w:rPr/>
        <w:t>itu,</w:t>
      </w:r>
      <w:r>
        <w:rPr>
          <w:spacing w:val="-15"/>
        </w:rPr>
        <w:t> </w:t>
      </w:r>
      <w:r>
        <w:rPr/>
        <w:t>investasi</w:t>
      </w:r>
      <w:r>
        <w:rPr>
          <w:spacing w:val="-15"/>
        </w:rPr>
        <w:t> </w:t>
      </w:r>
      <w:r>
        <w:rPr/>
        <w:t>dalam</w:t>
      </w:r>
      <w:r>
        <w:rPr>
          <w:spacing w:val="-15"/>
        </w:rPr>
        <w:t> </w:t>
      </w:r>
      <w:r>
        <w:rPr/>
        <w:t>dan</w:t>
      </w:r>
      <w:r>
        <w:rPr>
          <w:spacing w:val="-15"/>
        </w:rPr>
        <w:t> </w:t>
      </w:r>
      <w:r>
        <w:rPr/>
        <w:t>menarik</w:t>
      </w:r>
      <w:r>
        <w:rPr>
          <w:spacing w:val="-15"/>
        </w:rPr>
        <w:t> </w:t>
      </w:r>
      <w:r>
        <w:rPr/>
        <w:t>uang</w:t>
      </w:r>
      <w:r>
        <w:rPr>
          <w:spacing w:val="-15"/>
        </w:rPr>
        <w:t> </w:t>
      </w:r>
      <w:r>
        <w:rPr/>
        <w:t>dari</w:t>
      </w:r>
      <w:r>
        <w:rPr>
          <w:spacing w:val="-15"/>
        </w:rPr>
        <w:t> </w:t>
      </w:r>
      <w:r>
        <w:rPr/>
        <w:t>bisnis yang sesuai dengan syariah Islam dikenal sebagai investasi saham syariah. Kegiatan ini menawarkan keuntungan bagi kedua belah pihak, namun juga memiliki potensi </w:t>
      </w:r>
      <w:r>
        <w:rPr/>
        <w:t>risiko. Dalam hal ini, melakukan transaksi yang tidak diperkenankan di pasar modal mengacu pada tindakan seperti menciptakan penawaran palsu dan short selling- praktik menjual saham yang tidak dimiliki dan kemudian membelinya kembali. Mengenai prinsip-prinsip penyertaan modal dalam syariah di Indonesia, prinsip-prinsip tersebut diimplementasikan</w:t>
      </w:r>
      <w:r>
        <w:rPr>
          <w:spacing w:val="-15"/>
        </w:rPr>
        <w:t> </w:t>
      </w:r>
      <w:r>
        <w:rPr/>
        <w:t>melalui</w:t>
      </w:r>
      <w:r>
        <w:rPr>
          <w:spacing w:val="-15"/>
        </w:rPr>
        <w:t> </w:t>
      </w:r>
      <w:r>
        <w:rPr/>
        <w:t>pembentukan</w:t>
      </w:r>
      <w:r>
        <w:rPr>
          <w:spacing w:val="-15"/>
        </w:rPr>
        <w:t> </w:t>
      </w:r>
      <w:r>
        <w:rPr/>
        <w:t>indeks</w:t>
      </w:r>
      <w:r>
        <w:rPr>
          <w:spacing w:val="-15"/>
        </w:rPr>
        <w:t> </w:t>
      </w:r>
      <w:r>
        <w:rPr/>
        <w:t>saham</w:t>
      </w:r>
      <w:r>
        <w:rPr>
          <w:spacing w:val="-15"/>
        </w:rPr>
        <w:t> </w:t>
      </w:r>
      <w:r>
        <w:rPr/>
        <w:t>yang sesuai dengan prinsip-prinsip syariah.</w:t>
      </w:r>
    </w:p>
    <w:p>
      <w:pPr>
        <w:pStyle w:val="Heading2"/>
        <w:numPr>
          <w:ilvl w:val="2"/>
          <w:numId w:val="12"/>
        </w:numPr>
        <w:tabs>
          <w:tab w:pos="1643" w:val="left" w:leader="none"/>
        </w:tabs>
        <w:spacing w:line="240" w:lineRule="auto" w:before="160" w:after="0"/>
        <w:ind w:left="1643" w:right="0" w:hanging="540"/>
        <w:jc w:val="both"/>
      </w:pPr>
      <w:bookmarkStart w:name="_bookmark75" w:id="76"/>
      <w:bookmarkEnd w:id="76"/>
      <w:r>
        <w:rPr>
          <w:b w:val="0"/>
        </w:rPr>
      </w:r>
      <w:r>
        <w:rPr/>
        <w:t>Indeks</w:t>
      </w:r>
      <w:r>
        <w:rPr>
          <w:spacing w:val="-5"/>
        </w:rPr>
        <w:t> </w:t>
      </w:r>
      <w:r>
        <w:rPr/>
        <w:t>Saham</w:t>
      </w:r>
      <w:r>
        <w:rPr>
          <w:spacing w:val="-5"/>
        </w:rPr>
        <w:t> </w:t>
      </w:r>
      <w:r>
        <w:rPr/>
        <w:t>Syariah</w:t>
      </w:r>
      <w:r>
        <w:rPr>
          <w:spacing w:val="-2"/>
        </w:rPr>
        <w:t> Indonesia</w:t>
      </w:r>
    </w:p>
    <w:p>
      <w:pPr>
        <w:pStyle w:val="BodyText"/>
        <w:spacing w:before="21"/>
        <w:rPr>
          <w:b/>
        </w:rPr>
      </w:pPr>
    </w:p>
    <w:p>
      <w:pPr>
        <w:pStyle w:val="BodyText"/>
        <w:spacing w:line="360" w:lineRule="auto"/>
        <w:ind w:left="1823" w:right="162" w:firstLine="360"/>
        <w:jc w:val="both"/>
      </w:pPr>
      <w:r>
        <w:rPr/>
        <w:t>Kinerja saham syariah atau pasar saham syariah direpresentasikan oleh suatu</w:t>
      </w:r>
      <w:r>
        <w:rPr>
          <w:spacing w:val="-15"/>
        </w:rPr>
        <w:t> </w:t>
      </w:r>
      <w:r>
        <w:rPr/>
        <w:t>tingkatan</w:t>
      </w:r>
      <w:r>
        <w:rPr>
          <w:spacing w:val="-15"/>
        </w:rPr>
        <w:t> </w:t>
      </w:r>
      <w:r>
        <w:rPr/>
        <w:t>angka</w:t>
      </w:r>
      <w:r>
        <w:rPr>
          <w:spacing w:val="-15"/>
        </w:rPr>
        <w:t> </w:t>
      </w:r>
      <w:r>
        <w:rPr/>
        <w:t>yang</w:t>
      </w:r>
      <w:r>
        <w:rPr>
          <w:spacing w:val="-15"/>
        </w:rPr>
        <w:t> </w:t>
      </w:r>
      <w:r>
        <w:rPr/>
        <w:t>disebut</w:t>
      </w:r>
      <w:r>
        <w:rPr>
          <w:spacing w:val="-15"/>
        </w:rPr>
        <w:t> </w:t>
      </w:r>
      <w:r>
        <w:rPr/>
        <w:t>indeks</w:t>
      </w:r>
      <w:r>
        <w:rPr>
          <w:spacing w:val="-15"/>
        </w:rPr>
        <w:t> </w:t>
      </w:r>
      <w:r>
        <w:rPr/>
        <w:t>saham</w:t>
      </w:r>
      <w:r>
        <w:rPr>
          <w:spacing w:val="-15"/>
        </w:rPr>
        <w:t> </w:t>
      </w:r>
      <w:r>
        <w:rPr/>
        <w:t>syariah.</w:t>
      </w:r>
      <w:r>
        <w:rPr>
          <w:spacing w:val="-15"/>
        </w:rPr>
        <w:t> </w:t>
      </w:r>
      <w:r>
        <w:rPr/>
        <w:t>Sebagai</w:t>
      </w:r>
      <w:r>
        <w:rPr>
          <w:spacing w:val="-15"/>
        </w:rPr>
        <w:t> </w:t>
      </w:r>
      <w:r>
        <w:rPr/>
        <w:t>salah</w:t>
      </w:r>
      <w:r>
        <w:rPr>
          <w:spacing w:val="-15"/>
        </w:rPr>
        <w:t> </w:t>
      </w:r>
      <w:r>
        <w:rPr/>
        <w:t>satu instrumen investasi di pasar</w:t>
      </w:r>
      <w:r>
        <w:rPr>
          <w:spacing w:val="-1"/>
        </w:rPr>
        <w:t> </w:t>
      </w:r>
      <w:r>
        <w:rPr/>
        <w:t>modal syariah, saham syariah memiliki indeks harga sahamnya sendiri yang digunakan, yaitu Indeks Saham Syariah Indonesia (ISSI).</w:t>
      </w:r>
      <w:hyperlink w:history="true" w:anchor="_bookmark76">
        <w:r>
          <w:rPr>
            <w:vertAlign w:val="superscript"/>
          </w:rPr>
          <w:t>50</w:t>
        </w:r>
      </w:hyperlink>
      <w:r>
        <w:rPr>
          <w:vertAlign w:val="baseline"/>
        </w:rPr>
        <w:t> Kinerja portofolio saham syariah dapat diukur dan dibandingkan menggunakan indeks saham syariah. Kinerja setiap saham dalam</w:t>
      </w:r>
      <w:r>
        <w:rPr>
          <w:spacing w:val="-5"/>
          <w:vertAlign w:val="baseline"/>
        </w:rPr>
        <w:t> </w:t>
      </w:r>
      <w:r>
        <w:rPr>
          <w:vertAlign w:val="baseline"/>
        </w:rPr>
        <w:t>daftar</w:t>
      </w:r>
      <w:r>
        <w:rPr>
          <w:spacing w:val="-5"/>
          <w:vertAlign w:val="baseline"/>
        </w:rPr>
        <w:t> </w:t>
      </w:r>
      <w:r>
        <w:rPr>
          <w:vertAlign w:val="baseline"/>
        </w:rPr>
        <w:t>efek</w:t>
      </w:r>
      <w:r>
        <w:rPr>
          <w:spacing w:val="-5"/>
          <w:vertAlign w:val="baseline"/>
        </w:rPr>
        <w:t> </w:t>
      </w:r>
      <w:r>
        <w:rPr>
          <w:vertAlign w:val="baseline"/>
        </w:rPr>
        <w:t>syariah</w:t>
      </w:r>
      <w:r>
        <w:rPr>
          <w:spacing w:val="-3"/>
          <w:vertAlign w:val="baseline"/>
        </w:rPr>
        <w:t> </w:t>
      </w:r>
      <w:r>
        <w:rPr>
          <w:vertAlign w:val="baseline"/>
        </w:rPr>
        <w:t>tercermin</w:t>
      </w:r>
      <w:r>
        <w:rPr>
          <w:spacing w:val="-5"/>
          <w:vertAlign w:val="baseline"/>
        </w:rPr>
        <w:t> </w:t>
      </w:r>
      <w:r>
        <w:rPr>
          <w:vertAlign w:val="baseline"/>
        </w:rPr>
        <w:t>dalam</w:t>
      </w:r>
      <w:r>
        <w:rPr>
          <w:spacing w:val="-5"/>
          <w:vertAlign w:val="baseline"/>
        </w:rPr>
        <w:t> </w:t>
      </w:r>
      <w:r>
        <w:rPr>
          <w:vertAlign w:val="baseline"/>
        </w:rPr>
        <w:t>indeks</w:t>
      </w:r>
      <w:r>
        <w:rPr>
          <w:spacing w:val="-4"/>
          <w:vertAlign w:val="baseline"/>
        </w:rPr>
        <w:t> </w:t>
      </w:r>
      <w:r>
        <w:rPr>
          <w:vertAlign w:val="baseline"/>
        </w:rPr>
        <w:t>saham</w:t>
      </w:r>
      <w:r>
        <w:rPr>
          <w:spacing w:val="-5"/>
          <w:vertAlign w:val="baseline"/>
        </w:rPr>
        <w:t> </w:t>
      </w:r>
      <w:r>
        <w:rPr>
          <w:vertAlign w:val="baseline"/>
        </w:rPr>
        <w:t>syariah</w:t>
      </w:r>
      <w:r>
        <w:rPr>
          <w:spacing w:val="-2"/>
          <w:vertAlign w:val="baseline"/>
        </w:rPr>
        <w:t> </w:t>
      </w:r>
      <w:r>
        <w:rPr>
          <w:vertAlign w:val="baseline"/>
        </w:rPr>
        <w:t>Indonesia. Indeks</w:t>
      </w:r>
      <w:r>
        <w:rPr>
          <w:spacing w:val="-2"/>
          <w:vertAlign w:val="baseline"/>
        </w:rPr>
        <w:t> </w:t>
      </w:r>
      <w:r>
        <w:rPr>
          <w:vertAlign w:val="baseline"/>
        </w:rPr>
        <w:t>saham</w:t>
      </w:r>
      <w:r>
        <w:rPr>
          <w:spacing w:val="-2"/>
          <w:vertAlign w:val="baseline"/>
        </w:rPr>
        <w:t> </w:t>
      </w:r>
      <w:r>
        <w:rPr>
          <w:vertAlign w:val="baseline"/>
        </w:rPr>
        <w:t>merupakan catatan</w:t>
      </w:r>
      <w:r>
        <w:rPr>
          <w:spacing w:val="-2"/>
          <w:vertAlign w:val="baseline"/>
        </w:rPr>
        <w:t> </w:t>
      </w:r>
      <w:r>
        <w:rPr>
          <w:vertAlign w:val="baseline"/>
        </w:rPr>
        <w:t>perubahan</w:t>
      </w:r>
      <w:r>
        <w:rPr>
          <w:spacing w:val="-2"/>
          <w:vertAlign w:val="baseline"/>
        </w:rPr>
        <w:t> </w:t>
      </w:r>
      <w:r>
        <w:rPr>
          <w:vertAlign w:val="baseline"/>
        </w:rPr>
        <w:t>nilai</w:t>
      </w:r>
      <w:r>
        <w:rPr>
          <w:spacing w:val="-2"/>
          <w:vertAlign w:val="baseline"/>
        </w:rPr>
        <w:t> </w:t>
      </w:r>
      <w:r>
        <w:rPr>
          <w:vertAlign w:val="baseline"/>
        </w:rPr>
        <w:t>saham</w:t>
      </w:r>
      <w:r>
        <w:rPr>
          <w:spacing w:val="-2"/>
          <w:vertAlign w:val="baseline"/>
        </w:rPr>
        <w:t> </w:t>
      </w:r>
      <w:r>
        <w:rPr>
          <w:vertAlign w:val="baseline"/>
        </w:rPr>
        <w:t>sejak</w:t>
      </w:r>
      <w:r>
        <w:rPr>
          <w:spacing w:val="-3"/>
          <w:vertAlign w:val="baseline"/>
        </w:rPr>
        <w:t> </w:t>
      </w:r>
      <w:r>
        <w:rPr>
          <w:vertAlign w:val="baseline"/>
        </w:rPr>
        <w:t>pertama</w:t>
      </w:r>
      <w:r>
        <w:rPr>
          <w:spacing w:val="-3"/>
          <w:vertAlign w:val="baseline"/>
        </w:rPr>
        <w:t> </w:t>
      </w:r>
      <w:r>
        <w:rPr>
          <w:vertAlign w:val="baseline"/>
        </w:rPr>
        <w:t>kali diperdagangkan</w:t>
      </w:r>
      <w:r>
        <w:rPr>
          <w:spacing w:val="-12"/>
          <w:vertAlign w:val="baseline"/>
        </w:rPr>
        <w:t> </w:t>
      </w:r>
      <w:r>
        <w:rPr>
          <w:vertAlign w:val="baseline"/>
        </w:rPr>
        <w:t>hingga</w:t>
      </w:r>
      <w:r>
        <w:rPr>
          <w:spacing w:val="-9"/>
          <w:vertAlign w:val="baseline"/>
        </w:rPr>
        <w:t> </w:t>
      </w:r>
      <w:r>
        <w:rPr>
          <w:vertAlign w:val="baseline"/>
        </w:rPr>
        <w:t>titik</w:t>
      </w:r>
      <w:r>
        <w:rPr>
          <w:spacing w:val="-10"/>
          <w:vertAlign w:val="baseline"/>
        </w:rPr>
        <w:t> </w:t>
      </w:r>
      <w:r>
        <w:rPr>
          <w:vertAlign w:val="baseline"/>
        </w:rPr>
        <w:t>waktu</w:t>
      </w:r>
      <w:r>
        <w:rPr>
          <w:spacing w:val="-8"/>
          <w:vertAlign w:val="baseline"/>
        </w:rPr>
        <w:t> </w:t>
      </w:r>
      <w:r>
        <w:rPr>
          <w:vertAlign w:val="baseline"/>
        </w:rPr>
        <w:t>tertentu.</w:t>
      </w:r>
      <w:r>
        <w:rPr>
          <w:spacing w:val="-10"/>
          <w:vertAlign w:val="baseline"/>
        </w:rPr>
        <w:t> </w:t>
      </w:r>
      <w:r>
        <w:rPr>
          <w:vertAlign w:val="baseline"/>
        </w:rPr>
        <w:t>Tujuan</w:t>
      </w:r>
      <w:r>
        <w:rPr>
          <w:spacing w:val="-9"/>
          <w:vertAlign w:val="baseline"/>
        </w:rPr>
        <w:t> </w:t>
      </w:r>
      <w:r>
        <w:rPr>
          <w:vertAlign w:val="baseline"/>
        </w:rPr>
        <w:t>indeks</w:t>
      </w:r>
      <w:r>
        <w:rPr>
          <w:spacing w:val="-10"/>
          <w:vertAlign w:val="baseline"/>
        </w:rPr>
        <w:t> </w:t>
      </w:r>
      <w:r>
        <w:rPr>
          <w:vertAlign w:val="baseline"/>
        </w:rPr>
        <w:t>saham</w:t>
      </w:r>
      <w:r>
        <w:rPr>
          <w:spacing w:val="-8"/>
          <w:vertAlign w:val="baseline"/>
        </w:rPr>
        <w:t> </w:t>
      </w:r>
      <w:r>
        <w:rPr>
          <w:vertAlign w:val="baseline"/>
        </w:rPr>
        <w:t>ini</w:t>
      </w:r>
      <w:r>
        <w:rPr>
          <w:spacing w:val="-8"/>
          <w:vertAlign w:val="baseline"/>
        </w:rPr>
        <w:t> </w:t>
      </w:r>
      <w:r>
        <w:rPr>
          <w:spacing w:val="-2"/>
          <w:vertAlign w:val="baseline"/>
        </w:rPr>
        <w:t>adalah</w:t>
      </w:r>
    </w:p>
    <w:p>
      <w:pPr>
        <w:pStyle w:val="BodyText"/>
        <w:spacing w:before="1"/>
        <w:rPr>
          <w:sz w:val="20"/>
        </w:rPr>
      </w:pPr>
      <w:r>
        <w:rPr>
          <w:sz w:val="20"/>
        </w:rPr>
        <mc:AlternateContent>
          <mc:Choice Requires="wps">
            <w:drawing>
              <wp:anchor distT="0" distB="0" distL="0" distR="0" allowOverlap="1" layoutInCell="1" locked="0" behindDoc="1" simplePos="0" relativeHeight="487603200">
                <wp:simplePos x="0" y="0"/>
                <wp:positionH relativeFrom="page">
                  <wp:posOffset>914704</wp:posOffset>
                </wp:positionH>
                <wp:positionV relativeFrom="paragraph">
                  <wp:posOffset>162347</wp:posOffset>
                </wp:positionV>
                <wp:extent cx="1829435" cy="9525"/>
                <wp:effectExtent l="0" t="0" r="0" b="0"/>
                <wp:wrapTopAndBottom/>
                <wp:docPr id="267" name="Graphic 267"/>
                <wp:cNvGraphicFramePr>
                  <a:graphicFrameLocks/>
                </wp:cNvGraphicFramePr>
                <a:graphic>
                  <a:graphicData uri="http://schemas.microsoft.com/office/word/2010/wordprocessingShape">
                    <wps:wsp>
                      <wps:cNvPr id="267" name="Graphic 267"/>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78329pt;width:144.020pt;height:.72003pt;mso-position-horizontal-relative:page;mso-position-vertical-relative:paragraph;z-index:-15713280;mso-wrap-distance-left:0;mso-wrap-distance-right:0" id="docshape239" filled="true" fillcolor="#000000" stroked="false">
                <v:fill type="solid"/>
                <w10:wrap type="topAndBottom"/>
              </v:rect>
            </w:pict>
          </mc:Fallback>
        </mc:AlternateContent>
      </w:r>
    </w:p>
    <w:p>
      <w:pPr>
        <w:spacing w:before="101"/>
        <w:ind w:left="23" w:right="163" w:firstLine="719"/>
        <w:jc w:val="both"/>
        <w:rPr>
          <w:sz w:val="20"/>
        </w:rPr>
      </w:pPr>
      <w:bookmarkStart w:name="_bookmark76" w:id="77"/>
      <w:bookmarkEnd w:id="77"/>
      <w:r>
        <w:rPr/>
      </w:r>
      <w:r>
        <w:rPr>
          <w:sz w:val="20"/>
          <w:vertAlign w:val="superscript"/>
        </w:rPr>
        <w:t>50</w:t>
      </w:r>
      <w:r>
        <w:rPr>
          <w:spacing w:val="-13"/>
          <w:sz w:val="20"/>
          <w:vertAlign w:val="baseline"/>
        </w:rPr>
        <w:t> </w:t>
      </w:r>
      <w:r>
        <w:rPr>
          <w:sz w:val="20"/>
          <w:vertAlign w:val="baseline"/>
        </w:rPr>
        <w:t>Mohammad</w:t>
      </w:r>
      <w:r>
        <w:rPr>
          <w:spacing w:val="-12"/>
          <w:sz w:val="20"/>
          <w:vertAlign w:val="baseline"/>
        </w:rPr>
        <w:t> </w:t>
      </w:r>
      <w:r>
        <w:rPr>
          <w:sz w:val="20"/>
          <w:vertAlign w:val="baseline"/>
        </w:rPr>
        <w:t>Samsul</w:t>
      </w:r>
      <w:r>
        <w:rPr>
          <w:spacing w:val="-13"/>
          <w:sz w:val="20"/>
          <w:vertAlign w:val="baseline"/>
        </w:rPr>
        <w:t> </w:t>
      </w:r>
      <w:r>
        <w:rPr>
          <w:sz w:val="20"/>
          <w:vertAlign w:val="baseline"/>
        </w:rPr>
        <w:t>Arifin</w:t>
      </w:r>
      <w:r>
        <w:rPr>
          <w:spacing w:val="-12"/>
          <w:sz w:val="20"/>
          <w:vertAlign w:val="baseline"/>
        </w:rPr>
        <w:t> </w:t>
      </w:r>
      <w:r>
        <w:rPr>
          <w:sz w:val="20"/>
          <w:vertAlign w:val="baseline"/>
        </w:rPr>
        <w:t>and</w:t>
      </w:r>
      <w:r>
        <w:rPr>
          <w:spacing w:val="-13"/>
          <w:sz w:val="20"/>
          <w:vertAlign w:val="baseline"/>
        </w:rPr>
        <w:t> </w:t>
      </w:r>
      <w:r>
        <w:rPr>
          <w:sz w:val="20"/>
          <w:vertAlign w:val="baseline"/>
        </w:rPr>
        <w:t>others,</w:t>
      </w:r>
      <w:r>
        <w:rPr>
          <w:spacing w:val="-12"/>
          <w:sz w:val="20"/>
          <w:vertAlign w:val="baseline"/>
        </w:rPr>
        <w:t> </w:t>
      </w:r>
      <w:r>
        <w:rPr>
          <w:sz w:val="20"/>
          <w:vertAlign w:val="baseline"/>
        </w:rPr>
        <w:t>‘Analysis</w:t>
      </w:r>
      <w:r>
        <w:rPr>
          <w:spacing w:val="-13"/>
          <w:sz w:val="20"/>
          <w:vertAlign w:val="baseline"/>
        </w:rPr>
        <w:t> </w:t>
      </w:r>
      <w:r>
        <w:rPr>
          <w:sz w:val="20"/>
          <w:vertAlign w:val="baseline"/>
        </w:rPr>
        <w:t>Role</w:t>
      </w:r>
      <w:r>
        <w:rPr>
          <w:spacing w:val="-12"/>
          <w:sz w:val="20"/>
          <w:vertAlign w:val="baseline"/>
        </w:rPr>
        <w:t> </w:t>
      </w:r>
      <w:r>
        <w:rPr>
          <w:sz w:val="20"/>
          <w:vertAlign w:val="baseline"/>
        </w:rPr>
        <w:t>of</w:t>
      </w:r>
      <w:r>
        <w:rPr>
          <w:spacing w:val="-13"/>
          <w:sz w:val="20"/>
          <w:vertAlign w:val="baseline"/>
        </w:rPr>
        <w:t> </w:t>
      </w:r>
      <w:r>
        <w:rPr>
          <w:sz w:val="20"/>
          <w:vertAlign w:val="baseline"/>
        </w:rPr>
        <w:t>Exchange</w:t>
      </w:r>
      <w:r>
        <w:rPr>
          <w:spacing w:val="-12"/>
          <w:sz w:val="20"/>
          <w:vertAlign w:val="baseline"/>
        </w:rPr>
        <w:t> </w:t>
      </w:r>
      <w:r>
        <w:rPr>
          <w:sz w:val="20"/>
          <w:vertAlign w:val="baseline"/>
        </w:rPr>
        <w:t>Rate,</w:t>
      </w:r>
      <w:r>
        <w:rPr>
          <w:spacing w:val="-13"/>
          <w:sz w:val="20"/>
          <w:vertAlign w:val="baseline"/>
        </w:rPr>
        <w:t> </w:t>
      </w:r>
      <w:r>
        <w:rPr>
          <w:sz w:val="20"/>
          <w:vertAlign w:val="baseline"/>
        </w:rPr>
        <w:t>BI</w:t>
      </w:r>
      <w:r>
        <w:rPr>
          <w:spacing w:val="-12"/>
          <w:sz w:val="20"/>
          <w:vertAlign w:val="baseline"/>
        </w:rPr>
        <w:t> </w:t>
      </w:r>
      <w:r>
        <w:rPr>
          <w:sz w:val="20"/>
          <w:vertAlign w:val="baseline"/>
        </w:rPr>
        <w:t>Seven</w:t>
      </w:r>
      <w:r>
        <w:rPr>
          <w:spacing w:val="-13"/>
          <w:sz w:val="20"/>
          <w:vertAlign w:val="baseline"/>
        </w:rPr>
        <w:t> </w:t>
      </w:r>
      <w:r>
        <w:rPr>
          <w:sz w:val="20"/>
          <w:vertAlign w:val="baseline"/>
        </w:rPr>
        <w:t>Days</w:t>
      </w:r>
      <w:r>
        <w:rPr>
          <w:spacing w:val="-12"/>
          <w:sz w:val="20"/>
          <w:vertAlign w:val="baseline"/>
        </w:rPr>
        <w:t> </w:t>
      </w:r>
      <w:r>
        <w:rPr>
          <w:sz w:val="20"/>
          <w:vertAlign w:val="baseline"/>
        </w:rPr>
        <w:t>Rate,</w:t>
      </w:r>
      <w:r>
        <w:rPr>
          <w:spacing w:val="-13"/>
          <w:sz w:val="20"/>
          <w:vertAlign w:val="baseline"/>
        </w:rPr>
        <w:t> </w:t>
      </w:r>
      <w:r>
        <w:rPr>
          <w:sz w:val="20"/>
          <w:vertAlign w:val="baseline"/>
        </w:rPr>
        <w:t>Inflation and</w:t>
      </w:r>
      <w:r>
        <w:rPr>
          <w:spacing w:val="-5"/>
          <w:sz w:val="20"/>
          <w:vertAlign w:val="baseline"/>
        </w:rPr>
        <w:t> </w:t>
      </w:r>
      <w:r>
        <w:rPr>
          <w:sz w:val="20"/>
          <w:vertAlign w:val="baseline"/>
        </w:rPr>
        <w:t>Gold</w:t>
      </w:r>
      <w:r>
        <w:rPr>
          <w:spacing w:val="-6"/>
          <w:sz w:val="20"/>
          <w:vertAlign w:val="baseline"/>
        </w:rPr>
        <w:t> </w:t>
      </w:r>
      <w:r>
        <w:rPr>
          <w:sz w:val="20"/>
          <w:vertAlign w:val="baseline"/>
        </w:rPr>
        <w:t>Price</w:t>
      </w:r>
      <w:r>
        <w:rPr>
          <w:spacing w:val="-7"/>
          <w:sz w:val="20"/>
          <w:vertAlign w:val="baseline"/>
        </w:rPr>
        <w:t> </w:t>
      </w:r>
      <w:r>
        <w:rPr>
          <w:sz w:val="20"/>
          <w:vertAlign w:val="baseline"/>
        </w:rPr>
        <w:t>on</w:t>
      </w:r>
      <w:r>
        <w:rPr>
          <w:spacing w:val="-5"/>
          <w:sz w:val="20"/>
          <w:vertAlign w:val="baseline"/>
        </w:rPr>
        <w:t> </w:t>
      </w:r>
      <w:r>
        <w:rPr>
          <w:sz w:val="20"/>
          <w:vertAlign w:val="baseline"/>
        </w:rPr>
        <w:t>Return</w:t>
      </w:r>
      <w:r>
        <w:rPr>
          <w:spacing w:val="-5"/>
          <w:sz w:val="20"/>
          <w:vertAlign w:val="baseline"/>
        </w:rPr>
        <w:t> </w:t>
      </w:r>
      <w:r>
        <w:rPr>
          <w:sz w:val="20"/>
          <w:vertAlign w:val="baseline"/>
        </w:rPr>
        <w:t>of</w:t>
      </w:r>
      <w:r>
        <w:rPr>
          <w:spacing w:val="-7"/>
          <w:sz w:val="20"/>
          <w:vertAlign w:val="baseline"/>
        </w:rPr>
        <w:t> </w:t>
      </w:r>
      <w:r>
        <w:rPr>
          <w:sz w:val="20"/>
          <w:vertAlign w:val="baseline"/>
        </w:rPr>
        <w:t>ISSI</w:t>
      </w:r>
      <w:r>
        <w:rPr>
          <w:spacing w:val="-6"/>
          <w:sz w:val="20"/>
          <w:vertAlign w:val="baseline"/>
        </w:rPr>
        <w:t> </w:t>
      </w:r>
      <w:r>
        <w:rPr>
          <w:sz w:val="20"/>
          <w:vertAlign w:val="baseline"/>
        </w:rPr>
        <w:t>(Indeks</w:t>
      </w:r>
      <w:r>
        <w:rPr>
          <w:spacing w:val="-7"/>
          <w:sz w:val="20"/>
          <w:vertAlign w:val="baseline"/>
        </w:rPr>
        <w:t> </w:t>
      </w:r>
      <w:r>
        <w:rPr>
          <w:sz w:val="20"/>
          <w:vertAlign w:val="baseline"/>
        </w:rPr>
        <w:t>Saham</w:t>
      </w:r>
      <w:r>
        <w:rPr>
          <w:spacing w:val="-5"/>
          <w:sz w:val="20"/>
          <w:vertAlign w:val="baseline"/>
        </w:rPr>
        <w:t> </w:t>
      </w:r>
      <w:r>
        <w:rPr>
          <w:sz w:val="20"/>
          <w:vertAlign w:val="baseline"/>
        </w:rPr>
        <w:t>Syariah</w:t>
      </w:r>
      <w:r>
        <w:rPr>
          <w:spacing w:val="-5"/>
          <w:sz w:val="20"/>
          <w:vertAlign w:val="baseline"/>
        </w:rPr>
        <w:t> </w:t>
      </w:r>
      <w:r>
        <w:rPr>
          <w:sz w:val="20"/>
          <w:vertAlign w:val="baseline"/>
        </w:rPr>
        <w:t>Indonesia)’, </w:t>
      </w:r>
      <w:r>
        <w:rPr>
          <w:i/>
          <w:sz w:val="20"/>
          <w:vertAlign w:val="baseline"/>
        </w:rPr>
        <w:t>JEMSI</w:t>
      </w:r>
      <w:r>
        <w:rPr>
          <w:i/>
          <w:spacing w:val="-6"/>
          <w:sz w:val="20"/>
          <w:vertAlign w:val="baseline"/>
        </w:rPr>
        <w:t> </w:t>
      </w:r>
      <w:r>
        <w:rPr>
          <w:i/>
          <w:sz w:val="20"/>
          <w:vertAlign w:val="baseline"/>
        </w:rPr>
        <w:t>(Jurnal</w:t>
      </w:r>
      <w:r>
        <w:rPr>
          <w:i/>
          <w:spacing w:val="-7"/>
          <w:sz w:val="20"/>
          <w:vertAlign w:val="baseline"/>
        </w:rPr>
        <w:t> </w:t>
      </w:r>
      <w:r>
        <w:rPr>
          <w:i/>
          <w:sz w:val="20"/>
          <w:vertAlign w:val="baseline"/>
        </w:rPr>
        <w:t>Ekonomi,</w:t>
      </w:r>
      <w:r>
        <w:rPr>
          <w:i/>
          <w:spacing w:val="-6"/>
          <w:sz w:val="20"/>
          <w:vertAlign w:val="baseline"/>
        </w:rPr>
        <w:t> </w:t>
      </w:r>
      <w:r>
        <w:rPr>
          <w:i/>
          <w:sz w:val="20"/>
          <w:vertAlign w:val="baseline"/>
        </w:rPr>
        <w:t>Manajemen,</w:t>
      </w:r>
      <w:r>
        <w:rPr>
          <w:i/>
          <w:spacing w:val="-7"/>
          <w:sz w:val="20"/>
          <w:vertAlign w:val="baseline"/>
        </w:rPr>
        <w:t> </w:t>
      </w:r>
      <w:r>
        <w:rPr>
          <w:i/>
          <w:sz w:val="20"/>
          <w:vertAlign w:val="baseline"/>
        </w:rPr>
        <w:t>Dan Akuntansi)</w:t>
      </w:r>
      <w:r>
        <w:rPr>
          <w:sz w:val="20"/>
          <w:vertAlign w:val="baseline"/>
        </w:rPr>
        <w:t>, 9.1 (2023), 159–65 &lt;https://doi.org/10.35870/jemsi.v9i1.901&gt;.</w:t>
      </w:r>
    </w:p>
    <w:p>
      <w:pPr>
        <w:spacing w:after="0"/>
        <w:jc w:val="both"/>
        <w:rPr>
          <w:sz w:val="20"/>
        </w:rPr>
        <w:sectPr>
          <w:pgSz w:w="11910" w:h="16840"/>
          <w:pgMar w:header="0" w:footer="1000" w:top="1360" w:bottom="1200" w:left="1417" w:right="1275"/>
        </w:sectPr>
      </w:pPr>
    </w:p>
    <w:p>
      <w:pPr>
        <w:pStyle w:val="BodyText"/>
        <w:spacing w:line="360" w:lineRule="auto" w:before="60"/>
        <w:ind w:left="1823" w:right="166"/>
        <w:jc w:val="both"/>
      </w:pPr>
      <w:r>
        <w:rPr/>
        <w:t>untuk mengukur kondisi pergerakan pasar terkini dan memberikan akses data pasar saham kepada investor dan masyarakat umum. Indeks syariah diselenggarakan dengan tujuan untuk menjadi salah satu standar penilaian keberhasilan investasi pada saham syariah dan meningkatkan keyakinan investor dalam melakukan investasi saham berbasis syariah.</w:t>
      </w:r>
    </w:p>
    <w:p>
      <w:pPr>
        <w:pStyle w:val="BodyText"/>
        <w:spacing w:line="360" w:lineRule="auto"/>
        <w:ind w:left="1823" w:right="163" w:firstLine="360"/>
        <w:jc w:val="both"/>
      </w:pPr>
      <w:r>
        <w:rPr/>
        <w:t>Seluruh saham syariah yang tercatat di BEI (</w:t>
      </w:r>
      <w:hyperlink r:id="rId16">
        <w:r>
          <w:rPr/>
          <w:t>www.idx.go.id)</w:t>
        </w:r>
      </w:hyperlink>
      <w:r>
        <w:rPr/>
        <w:t> masuk dalam Indeks Saham Syariah Indonesia (ISSI). Diluncurkan pada 12 Mei 2011, Indeks Saham Syariah Indonesia (ISSI) mencakup 214 saham yang tercatat di Bursa Efek Indonesia (BEI). Indeks syariah yang telah ada sebelumnya, Jakarta Islamic Index (JII), dilengkapi dengan peluncuran Indeks Saham Syariah Indonesia (ISSI) di pasar modal syariah. Seluruh saham syariah yang tergabung dalam ISSI terdaftar dalam Daftar Efek Syariah (DES) dan tercatat di BEI. Daftar Efek Syariah (DES) merupakan sekumpulan efek yang mematuhi standar Syariah pasar modal. Investor yang ingin berinvestasi dalam portofolio Efek Syariah dapat menggunakan DES, yaitu pedoman investasi yang digunakan oleh Reksa Dana Syariah dalam mengalokasikan dana kelolaannya.</w:t>
      </w:r>
    </w:p>
    <w:p>
      <w:pPr>
        <w:pStyle w:val="BodyText"/>
        <w:spacing w:line="360" w:lineRule="auto" w:before="1"/>
        <w:ind w:left="1823" w:right="160" w:firstLine="360"/>
        <w:jc w:val="both"/>
      </w:pPr>
      <w:r>
        <w:rPr/>
        <w:t>Pada kenyataannya, ada kalanya Indeks Saham Syariah Indonesia mengalami penurunan nilai dan bukannya terus meningkat. Hal ini berarti bahwa sebagai investor harus terus memantau data statistik yang ada dan mewaspadai segala kemungkinan yang dapat terjadi, baik dari sisi internal maupun eksternal. Jenis kebijakan manajemen yang digunakan dalam pengelolaan, pengembangan, dan pemasaran oleh bisnis adalah salah satu elemen yang mempengaruhi; hal ini sering disebut sebagai faktor internal.</w:t>
      </w:r>
    </w:p>
    <w:p>
      <w:pPr>
        <w:pStyle w:val="BodyText"/>
        <w:spacing w:line="360" w:lineRule="auto" w:before="2"/>
        <w:ind w:left="1823" w:right="167" w:firstLine="360"/>
        <w:jc w:val="both"/>
      </w:pPr>
      <w:r>
        <w:rPr/>
        <w:t>Selanjutnya, diantara variabel luar yang mempengaruhi harga saham </w:t>
      </w:r>
      <w:r>
        <w:rPr>
          <w:spacing w:val="-2"/>
        </w:rPr>
        <w:t>ialah:</w:t>
      </w:r>
      <w:hyperlink w:history="true" w:anchor="_bookmark77">
        <w:r>
          <w:rPr>
            <w:spacing w:val="-2"/>
            <w:vertAlign w:val="superscript"/>
          </w:rPr>
          <w:t>51</w:t>
        </w:r>
      </w:hyperlink>
    </w:p>
    <w:p>
      <w:pPr>
        <w:pStyle w:val="ListParagraph"/>
        <w:numPr>
          <w:ilvl w:val="0"/>
          <w:numId w:val="20"/>
        </w:numPr>
        <w:tabs>
          <w:tab w:pos="2904" w:val="left" w:leader="none"/>
        </w:tabs>
        <w:spacing w:line="360" w:lineRule="auto" w:before="0" w:after="0"/>
        <w:ind w:left="2904" w:right="167" w:hanging="360"/>
        <w:jc w:val="left"/>
        <w:rPr>
          <w:sz w:val="24"/>
        </w:rPr>
      </w:pPr>
      <w:r>
        <w:rPr>
          <w:sz w:val="24"/>
        </w:rPr>
        <w:t>Inisiatif</w:t>
      </w:r>
      <w:r>
        <w:rPr>
          <w:spacing w:val="80"/>
          <w:sz w:val="24"/>
        </w:rPr>
        <w:t> </w:t>
      </w:r>
      <w:r>
        <w:rPr>
          <w:sz w:val="24"/>
        </w:rPr>
        <w:t>pemerintah,</w:t>
      </w:r>
      <w:r>
        <w:rPr>
          <w:spacing w:val="80"/>
          <w:sz w:val="24"/>
        </w:rPr>
        <w:t> </w:t>
      </w:r>
      <w:r>
        <w:rPr>
          <w:sz w:val="24"/>
        </w:rPr>
        <w:t>seperti</w:t>
      </w:r>
      <w:r>
        <w:rPr>
          <w:spacing w:val="80"/>
          <w:sz w:val="24"/>
        </w:rPr>
        <w:t> </w:t>
      </w:r>
      <w:r>
        <w:rPr>
          <w:sz w:val="24"/>
        </w:rPr>
        <w:t>modifikasi</w:t>
      </w:r>
      <w:r>
        <w:rPr>
          <w:spacing w:val="80"/>
          <w:sz w:val="24"/>
        </w:rPr>
        <w:t> </w:t>
      </w:r>
      <w:r>
        <w:rPr>
          <w:sz w:val="24"/>
        </w:rPr>
        <w:t>kebijakan</w:t>
      </w:r>
      <w:r>
        <w:rPr>
          <w:spacing w:val="80"/>
          <w:sz w:val="24"/>
        </w:rPr>
        <w:t> </w:t>
      </w:r>
      <w:r>
        <w:rPr>
          <w:sz w:val="24"/>
        </w:rPr>
        <w:t>ekonomi nasional dan suku bunga sertifikat Bank Indonesia.</w:t>
      </w:r>
    </w:p>
    <w:p>
      <w:pPr>
        <w:pStyle w:val="ListParagraph"/>
        <w:numPr>
          <w:ilvl w:val="0"/>
          <w:numId w:val="20"/>
        </w:numPr>
        <w:tabs>
          <w:tab w:pos="2904" w:val="left" w:leader="none"/>
        </w:tabs>
        <w:spacing w:line="240" w:lineRule="auto" w:before="0" w:after="0"/>
        <w:ind w:left="2904" w:right="0" w:hanging="360"/>
        <w:jc w:val="left"/>
        <w:rPr>
          <w:sz w:val="24"/>
        </w:rPr>
      </w:pPr>
      <w:r>
        <w:rPr>
          <w:sz w:val="24"/>
        </w:rPr>
        <w:t>Kebijakan</w:t>
      </w:r>
      <w:r>
        <w:rPr>
          <w:spacing w:val="-9"/>
          <w:sz w:val="24"/>
        </w:rPr>
        <w:t> </w:t>
      </w:r>
      <w:r>
        <w:rPr>
          <w:sz w:val="24"/>
        </w:rPr>
        <w:t>sekuritas</w:t>
      </w:r>
      <w:r>
        <w:rPr>
          <w:spacing w:val="-6"/>
          <w:sz w:val="24"/>
        </w:rPr>
        <w:t> </w:t>
      </w:r>
      <w:r>
        <w:rPr>
          <w:sz w:val="24"/>
        </w:rPr>
        <w:t>industri</w:t>
      </w:r>
      <w:r>
        <w:rPr>
          <w:spacing w:val="-7"/>
          <w:sz w:val="24"/>
        </w:rPr>
        <w:t> </w:t>
      </w:r>
      <w:r>
        <w:rPr>
          <w:sz w:val="24"/>
        </w:rPr>
        <w:t>dan</w:t>
      </w:r>
      <w:r>
        <w:rPr>
          <w:spacing w:val="-6"/>
          <w:sz w:val="24"/>
        </w:rPr>
        <w:t> </w:t>
      </w:r>
      <w:r>
        <w:rPr>
          <w:sz w:val="24"/>
        </w:rPr>
        <w:t>undang-undang</w:t>
      </w:r>
      <w:r>
        <w:rPr>
          <w:spacing w:val="-7"/>
          <w:sz w:val="24"/>
        </w:rPr>
        <w:t> </w:t>
      </w:r>
      <w:r>
        <w:rPr>
          <w:sz w:val="24"/>
        </w:rPr>
        <w:t>serikat</w:t>
      </w:r>
      <w:r>
        <w:rPr>
          <w:spacing w:val="-6"/>
          <w:sz w:val="24"/>
        </w:rPr>
        <w:t> </w:t>
      </w:r>
      <w:r>
        <w:rPr>
          <w:spacing w:val="-2"/>
          <w:sz w:val="24"/>
        </w:rPr>
        <w:t>pekerja.</w:t>
      </w:r>
    </w:p>
    <w:p>
      <w:pPr>
        <w:pStyle w:val="ListParagraph"/>
        <w:numPr>
          <w:ilvl w:val="0"/>
          <w:numId w:val="20"/>
        </w:numPr>
        <w:tabs>
          <w:tab w:pos="2903" w:val="left" w:leader="none"/>
        </w:tabs>
        <w:spacing w:line="240" w:lineRule="auto" w:before="137" w:after="0"/>
        <w:ind w:left="2903" w:right="0" w:hanging="359"/>
        <w:jc w:val="left"/>
        <w:rPr>
          <w:sz w:val="24"/>
        </w:rPr>
      </w:pPr>
      <w:r>
        <w:rPr>
          <w:sz w:val="24"/>
        </w:rPr>
        <w:t>Faktor-faktor</w:t>
      </w:r>
      <w:r>
        <w:rPr>
          <w:spacing w:val="-8"/>
          <w:sz w:val="24"/>
        </w:rPr>
        <w:t> </w:t>
      </w:r>
      <w:r>
        <w:rPr>
          <w:sz w:val="24"/>
        </w:rPr>
        <w:t>yang</w:t>
      </w:r>
      <w:r>
        <w:rPr>
          <w:spacing w:val="-6"/>
          <w:sz w:val="24"/>
        </w:rPr>
        <w:t> </w:t>
      </w:r>
      <w:r>
        <w:rPr>
          <w:sz w:val="24"/>
        </w:rPr>
        <w:t>berkontribusi</w:t>
      </w:r>
      <w:r>
        <w:rPr>
          <w:spacing w:val="-7"/>
          <w:sz w:val="24"/>
        </w:rPr>
        <w:t> </w:t>
      </w:r>
      <w:r>
        <w:rPr>
          <w:sz w:val="24"/>
        </w:rPr>
        <w:t>terhadap</w:t>
      </w:r>
      <w:r>
        <w:rPr>
          <w:spacing w:val="-6"/>
          <w:sz w:val="24"/>
        </w:rPr>
        <w:t> </w:t>
      </w:r>
      <w:r>
        <w:rPr>
          <w:sz w:val="24"/>
        </w:rPr>
        <w:t>kenaikan</w:t>
      </w:r>
      <w:r>
        <w:rPr>
          <w:spacing w:val="-7"/>
          <w:sz w:val="24"/>
        </w:rPr>
        <w:t> </w:t>
      </w:r>
      <w:r>
        <w:rPr>
          <w:sz w:val="24"/>
        </w:rPr>
        <w:t>suku</w:t>
      </w:r>
      <w:r>
        <w:rPr>
          <w:spacing w:val="-6"/>
          <w:sz w:val="24"/>
        </w:rPr>
        <w:t> </w:t>
      </w:r>
      <w:r>
        <w:rPr>
          <w:spacing w:val="-2"/>
          <w:sz w:val="24"/>
        </w:rPr>
        <w:t>bunga.</w:t>
      </w:r>
    </w:p>
    <w:p>
      <w:pPr>
        <w:pStyle w:val="BodyText"/>
        <w:rPr>
          <w:sz w:val="20"/>
        </w:rPr>
      </w:pPr>
    </w:p>
    <w:p>
      <w:pPr>
        <w:pStyle w:val="BodyText"/>
        <w:rPr>
          <w:sz w:val="20"/>
        </w:rPr>
      </w:pPr>
    </w:p>
    <w:p>
      <w:pPr>
        <w:pStyle w:val="BodyText"/>
        <w:rPr>
          <w:sz w:val="20"/>
        </w:rPr>
      </w:pPr>
    </w:p>
    <w:p>
      <w:pPr>
        <w:pStyle w:val="BodyText"/>
        <w:spacing w:before="159"/>
        <w:rPr>
          <w:sz w:val="20"/>
        </w:rPr>
      </w:pPr>
      <w:r>
        <w:rPr>
          <w:sz w:val="20"/>
        </w:rPr>
        <mc:AlternateContent>
          <mc:Choice Requires="wps">
            <w:drawing>
              <wp:anchor distT="0" distB="0" distL="0" distR="0" allowOverlap="1" layoutInCell="1" locked="0" behindDoc="1" simplePos="0" relativeHeight="487603712">
                <wp:simplePos x="0" y="0"/>
                <wp:positionH relativeFrom="page">
                  <wp:posOffset>914704</wp:posOffset>
                </wp:positionH>
                <wp:positionV relativeFrom="paragraph">
                  <wp:posOffset>262260</wp:posOffset>
                </wp:positionV>
                <wp:extent cx="1829435" cy="9525"/>
                <wp:effectExtent l="0" t="0" r="0" b="0"/>
                <wp:wrapTopAndBottom/>
                <wp:docPr id="268" name="Graphic 268"/>
                <wp:cNvGraphicFramePr>
                  <a:graphicFrameLocks/>
                </wp:cNvGraphicFramePr>
                <a:graphic>
                  <a:graphicData uri="http://schemas.microsoft.com/office/word/2010/wordprocessingShape">
                    <wps:wsp>
                      <wps:cNvPr id="268" name="Graphic 26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650463pt;width:144.020pt;height:.72003pt;mso-position-horizontal-relative:page;mso-position-vertical-relative:paragraph;z-index:-15712768;mso-wrap-distance-left:0;mso-wrap-distance-right:0" id="docshape240" filled="true" fillcolor="#000000" stroked="false">
                <v:fill type="solid"/>
                <w10:wrap type="topAndBottom"/>
              </v:rect>
            </w:pict>
          </mc:Fallback>
        </mc:AlternateContent>
      </w:r>
    </w:p>
    <w:p>
      <w:pPr>
        <w:spacing w:before="101"/>
        <w:ind w:left="23" w:right="0" w:firstLine="719"/>
        <w:jc w:val="left"/>
        <w:rPr>
          <w:sz w:val="20"/>
        </w:rPr>
      </w:pPr>
      <w:bookmarkStart w:name="_bookmark77" w:id="78"/>
      <w:bookmarkEnd w:id="78"/>
      <w:r>
        <w:rPr/>
      </w:r>
      <w:r>
        <w:rPr>
          <w:sz w:val="20"/>
          <w:vertAlign w:val="superscript"/>
        </w:rPr>
        <w:t>51</w:t>
      </w:r>
      <w:r>
        <w:rPr>
          <w:spacing w:val="-8"/>
          <w:sz w:val="20"/>
          <w:vertAlign w:val="baseline"/>
        </w:rPr>
        <w:t> </w:t>
      </w:r>
      <w:r>
        <w:rPr>
          <w:sz w:val="20"/>
          <w:vertAlign w:val="baseline"/>
        </w:rPr>
        <w:t>Bagas</w:t>
      </w:r>
      <w:r>
        <w:rPr>
          <w:spacing w:val="-8"/>
          <w:sz w:val="20"/>
          <w:vertAlign w:val="baseline"/>
        </w:rPr>
        <w:t> </w:t>
      </w:r>
      <w:r>
        <w:rPr>
          <w:sz w:val="20"/>
          <w:vertAlign w:val="baseline"/>
        </w:rPr>
        <w:t>Heradhyaksa,</w:t>
      </w:r>
      <w:r>
        <w:rPr>
          <w:spacing w:val="-6"/>
          <w:sz w:val="20"/>
          <w:vertAlign w:val="baseline"/>
        </w:rPr>
        <w:t> </w:t>
      </w:r>
      <w:r>
        <w:rPr>
          <w:i/>
          <w:sz w:val="20"/>
          <w:vertAlign w:val="baseline"/>
        </w:rPr>
        <w:t>Buku</w:t>
      </w:r>
      <w:r>
        <w:rPr>
          <w:i/>
          <w:spacing w:val="-7"/>
          <w:sz w:val="20"/>
          <w:vertAlign w:val="baseline"/>
        </w:rPr>
        <w:t> </w:t>
      </w:r>
      <w:r>
        <w:rPr>
          <w:i/>
          <w:sz w:val="20"/>
          <w:vertAlign w:val="baseline"/>
        </w:rPr>
        <w:t>Ajar</w:t>
      </w:r>
      <w:r>
        <w:rPr>
          <w:i/>
          <w:spacing w:val="-9"/>
          <w:sz w:val="20"/>
          <w:vertAlign w:val="baseline"/>
        </w:rPr>
        <w:t> </w:t>
      </w:r>
      <w:r>
        <w:rPr>
          <w:i/>
          <w:sz w:val="20"/>
          <w:vertAlign w:val="baseline"/>
        </w:rPr>
        <w:t>Hukum</w:t>
      </w:r>
      <w:r>
        <w:rPr>
          <w:i/>
          <w:spacing w:val="-8"/>
          <w:sz w:val="20"/>
          <w:vertAlign w:val="baseline"/>
        </w:rPr>
        <w:t> </w:t>
      </w:r>
      <w:r>
        <w:rPr>
          <w:i/>
          <w:sz w:val="20"/>
          <w:vertAlign w:val="baseline"/>
        </w:rPr>
        <w:t>Investasi</w:t>
      </w:r>
      <w:r>
        <w:rPr>
          <w:i/>
          <w:spacing w:val="-8"/>
          <w:sz w:val="20"/>
          <w:vertAlign w:val="baseline"/>
        </w:rPr>
        <w:t> </w:t>
      </w:r>
      <w:r>
        <w:rPr>
          <w:i/>
          <w:sz w:val="20"/>
          <w:vertAlign w:val="baseline"/>
        </w:rPr>
        <w:t>&amp;</w:t>
      </w:r>
      <w:r>
        <w:rPr>
          <w:i/>
          <w:spacing w:val="-9"/>
          <w:sz w:val="20"/>
          <w:vertAlign w:val="baseline"/>
        </w:rPr>
        <w:t> </w:t>
      </w:r>
      <w:r>
        <w:rPr>
          <w:i/>
          <w:sz w:val="20"/>
          <w:vertAlign w:val="baseline"/>
        </w:rPr>
        <w:t>Pasar</w:t>
      </w:r>
      <w:r>
        <w:rPr>
          <w:i/>
          <w:spacing w:val="-9"/>
          <w:sz w:val="20"/>
          <w:vertAlign w:val="baseline"/>
        </w:rPr>
        <w:t> </w:t>
      </w:r>
      <w:r>
        <w:rPr>
          <w:i/>
          <w:sz w:val="20"/>
          <w:vertAlign w:val="baseline"/>
        </w:rPr>
        <w:t>Modal</w:t>
      </w:r>
      <w:r>
        <w:rPr>
          <w:i/>
          <w:spacing w:val="-10"/>
          <w:sz w:val="20"/>
          <w:vertAlign w:val="baseline"/>
        </w:rPr>
        <w:t> </w:t>
      </w:r>
      <w:r>
        <w:rPr>
          <w:i/>
          <w:sz w:val="20"/>
          <w:vertAlign w:val="baseline"/>
        </w:rPr>
        <w:t>Syariah</w:t>
      </w:r>
      <w:r>
        <w:rPr>
          <w:i/>
          <w:spacing w:val="-6"/>
          <w:sz w:val="20"/>
          <w:vertAlign w:val="baseline"/>
        </w:rPr>
        <w:t> </w:t>
      </w:r>
      <w:r>
        <w:rPr>
          <w:sz w:val="20"/>
          <w:vertAlign w:val="baseline"/>
        </w:rPr>
        <w:t>(Semarang:</w:t>
      </w:r>
      <w:r>
        <w:rPr>
          <w:spacing w:val="-8"/>
          <w:sz w:val="20"/>
          <w:vertAlign w:val="baseline"/>
        </w:rPr>
        <w:t> </w:t>
      </w:r>
      <w:r>
        <w:rPr>
          <w:sz w:val="20"/>
          <w:vertAlign w:val="baseline"/>
        </w:rPr>
        <w:t>CV.</w:t>
      </w:r>
      <w:r>
        <w:rPr>
          <w:spacing w:val="-10"/>
          <w:sz w:val="20"/>
          <w:vertAlign w:val="baseline"/>
        </w:rPr>
        <w:t> </w:t>
      </w:r>
      <w:r>
        <w:rPr>
          <w:sz w:val="20"/>
          <w:vertAlign w:val="baseline"/>
        </w:rPr>
        <w:t>Rafi</w:t>
      </w:r>
      <w:r>
        <w:rPr>
          <w:spacing w:val="-8"/>
          <w:sz w:val="20"/>
          <w:vertAlign w:val="baseline"/>
        </w:rPr>
        <w:t> </w:t>
      </w:r>
      <w:r>
        <w:rPr>
          <w:sz w:val="20"/>
          <w:vertAlign w:val="baseline"/>
        </w:rPr>
        <w:t>Sarana Perkasa, 2022).</w:t>
      </w:r>
    </w:p>
    <w:p>
      <w:pPr>
        <w:spacing w:after="0"/>
        <w:jc w:val="left"/>
        <w:rPr>
          <w:sz w:val="20"/>
        </w:rPr>
        <w:sectPr>
          <w:pgSz w:w="11910" w:h="16840"/>
          <w:pgMar w:header="0" w:footer="1000" w:top="1360" w:bottom="1200" w:left="1417" w:right="1275"/>
        </w:sectPr>
      </w:pPr>
    </w:p>
    <w:p>
      <w:pPr>
        <w:pStyle w:val="ListParagraph"/>
        <w:numPr>
          <w:ilvl w:val="0"/>
          <w:numId w:val="20"/>
        </w:numPr>
        <w:tabs>
          <w:tab w:pos="2904" w:val="left" w:leader="none"/>
        </w:tabs>
        <w:spacing w:line="360" w:lineRule="auto" w:before="60" w:after="0"/>
        <w:ind w:left="2904" w:right="165" w:hanging="360"/>
        <w:jc w:val="both"/>
        <w:rPr>
          <w:sz w:val="24"/>
        </w:rPr>
      </w:pPr>
      <w:r>
        <w:rPr>
          <w:sz w:val="24"/>
        </w:rPr>
        <w:t>Mempertimbangkan bagaimana tingkat inflasi nasional </w:t>
      </w:r>
      <w:r>
        <w:rPr>
          <w:spacing w:val="-2"/>
          <w:sz w:val="24"/>
        </w:rPr>
        <w:t>mempengaruhi.</w:t>
      </w:r>
    </w:p>
    <w:p>
      <w:pPr>
        <w:pStyle w:val="ListParagraph"/>
        <w:numPr>
          <w:ilvl w:val="0"/>
          <w:numId w:val="20"/>
        </w:numPr>
        <w:tabs>
          <w:tab w:pos="2904" w:val="left" w:leader="none"/>
        </w:tabs>
        <w:spacing w:line="360" w:lineRule="auto" w:before="1" w:after="0"/>
        <w:ind w:left="2904" w:right="164" w:hanging="360"/>
        <w:jc w:val="both"/>
        <w:rPr>
          <w:sz w:val="24"/>
        </w:rPr>
      </w:pPr>
      <w:r>
        <w:rPr>
          <w:sz w:val="24"/>
        </w:rPr>
        <w:t>Nilai rupiah terhadap dolar AS, yang ditentukan oleh jumlah uang yang beredar.</w:t>
      </w:r>
    </w:p>
    <w:p>
      <w:pPr>
        <w:pStyle w:val="BodyText"/>
        <w:spacing w:line="360" w:lineRule="auto" w:before="161"/>
        <w:ind w:left="2544" w:right="159" w:firstLine="360"/>
        <w:jc w:val="both"/>
      </w:pPr>
      <w:r>
        <w:rPr/>
        <w:t>Dalam menerbitkan efek syariah dalam bentuk saham, emiten atau perusahaan publik syariah harus mematuhi peraturan Otoritas Jasa Keuangan yang berkaitan dengan penerapan prinsip-prinsip syariah</w:t>
      </w:r>
      <w:r>
        <w:rPr>
          <w:spacing w:val="-12"/>
        </w:rPr>
        <w:t> </w:t>
      </w:r>
      <w:r>
        <w:rPr/>
        <w:t>di</w:t>
      </w:r>
      <w:r>
        <w:rPr>
          <w:spacing w:val="-12"/>
        </w:rPr>
        <w:t> </w:t>
      </w:r>
      <w:r>
        <w:rPr/>
        <w:t>pasar</w:t>
      </w:r>
      <w:r>
        <w:rPr>
          <w:spacing w:val="-12"/>
        </w:rPr>
        <w:t> </w:t>
      </w:r>
      <w:r>
        <w:rPr/>
        <w:t>modal,</w:t>
      </w:r>
      <w:r>
        <w:rPr>
          <w:spacing w:val="-12"/>
        </w:rPr>
        <w:t> </w:t>
      </w:r>
      <w:r>
        <w:rPr/>
        <w:t>serta</w:t>
      </w:r>
      <w:r>
        <w:rPr>
          <w:spacing w:val="-13"/>
        </w:rPr>
        <w:t> </w:t>
      </w:r>
      <w:r>
        <w:rPr/>
        <w:t>peraturan</w:t>
      </w:r>
      <w:r>
        <w:rPr>
          <w:spacing w:val="-12"/>
        </w:rPr>
        <w:t> </w:t>
      </w:r>
      <w:r>
        <w:rPr/>
        <w:t>perundang-undangan</w:t>
      </w:r>
      <w:r>
        <w:rPr>
          <w:spacing w:val="-12"/>
        </w:rPr>
        <w:t> </w:t>
      </w:r>
      <w:r>
        <w:rPr/>
        <w:t>lainnya yang</w:t>
      </w:r>
      <w:r>
        <w:rPr>
          <w:spacing w:val="-7"/>
        </w:rPr>
        <w:t> </w:t>
      </w:r>
      <w:r>
        <w:rPr/>
        <w:t>berlaku</w:t>
      </w:r>
      <w:r>
        <w:rPr>
          <w:spacing w:val="-7"/>
        </w:rPr>
        <w:t> </w:t>
      </w:r>
      <w:r>
        <w:rPr/>
        <w:t>di</w:t>
      </w:r>
      <w:r>
        <w:rPr>
          <w:spacing w:val="-6"/>
        </w:rPr>
        <w:t> </w:t>
      </w:r>
      <w:r>
        <w:rPr/>
        <w:t>industri</w:t>
      </w:r>
      <w:r>
        <w:rPr>
          <w:spacing w:val="-7"/>
        </w:rPr>
        <w:t> </w:t>
      </w:r>
      <w:r>
        <w:rPr/>
        <w:t>pasar</w:t>
      </w:r>
      <w:r>
        <w:rPr>
          <w:spacing w:val="-8"/>
        </w:rPr>
        <w:t> </w:t>
      </w:r>
      <w:r>
        <w:rPr/>
        <w:t>modal.</w:t>
      </w:r>
      <w:r>
        <w:rPr>
          <w:spacing w:val="-7"/>
        </w:rPr>
        <w:t> </w:t>
      </w:r>
      <w:r>
        <w:rPr/>
        <w:t>Oleh</w:t>
      </w:r>
      <w:r>
        <w:rPr>
          <w:spacing w:val="-7"/>
        </w:rPr>
        <w:t> </w:t>
      </w:r>
      <w:r>
        <w:rPr/>
        <w:t>karena</w:t>
      </w:r>
      <w:r>
        <w:rPr>
          <w:spacing w:val="-8"/>
        </w:rPr>
        <w:t> </w:t>
      </w:r>
      <w:r>
        <w:rPr/>
        <w:t>itu,</w:t>
      </w:r>
      <w:r>
        <w:rPr>
          <w:spacing w:val="-6"/>
        </w:rPr>
        <w:t> </w:t>
      </w:r>
      <w:r>
        <w:rPr/>
        <w:t>dalam</w:t>
      </w:r>
      <w:r>
        <w:rPr>
          <w:spacing w:val="-7"/>
        </w:rPr>
        <w:t> </w:t>
      </w:r>
      <w:r>
        <w:rPr/>
        <w:t>hal</w:t>
      </w:r>
      <w:r>
        <w:rPr>
          <w:spacing w:val="-6"/>
        </w:rPr>
        <w:t> </w:t>
      </w:r>
      <w:r>
        <w:rPr/>
        <w:t>ini, Pengelolaan</w:t>
      </w:r>
      <w:r>
        <w:rPr>
          <w:spacing w:val="-13"/>
        </w:rPr>
        <w:t> </w:t>
      </w:r>
      <w:r>
        <w:rPr/>
        <w:t>Keuangan</w:t>
      </w:r>
      <w:r>
        <w:rPr>
          <w:spacing w:val="-13"/>
        </w:rPr>
        <w:t> </w:t>
      </w:r>
      <w:r>
        <w:rPr/>
        <w:t>dan</w:t>
      </w:r>
      <w:r>
        <w:rPr>
          <w:spacing w:val="-13"/>
        </w:rPr>
        <w:t> </w:t>
      </w:r>
      <w:r>
        <w:rPr/>
        <w:t>Investasi</w:t>
      </w:r>
      <w:r>
        <w:rPr>
          <w:spacing w:val="-13"/>
        </w:rPr>
        <w:t> </w:t>
      </w:r>
      <w:r>
        <w:rPr/>
        <w:t>Syariah</w:t>
      </w:r>
      <w:r>
        <w:rPr>
          <w:spacing w:val="-13"/>
        </w:rPr>
        <w:t> </w:t>
      </w:r>
      <w:r>
        <w:rPr/>
        <w:t>harus</w:t>
      </w:r>
      <w:r>
        <w:rPr>
          <w:spacing w:val="-13"/>
        </w:rPr>
        <w:t> </w:t>
      </w:r>
      <w:r>
        <w:rPr/>
        <w:t>memiliki</w:t>
      </w:r>
      <w:r>
        <w:rPr>
          <w:spacing w:val="-14"/>
        </w:rPr>
        <w:t> </w:t>
      </w:r>
      <w:r>
        <w:rPr/>
        <w:t>Dewan Pengawas</w:t>
      </w:r>
      <w:r>
        <w:rPr>
          <w:spacing w:val="-15"/>
        </w:rPr>
        <w:t> </w:t>
      </w:r>
      <w:r>
        <w:rPr/>
        <w:t>Syariah</w:t>
      </w:r>
      <w:r>
        <w:rPr>
          <w:spacing w:val="-15"/>
        </w:rPr>
        <w:t> </w:t>
      </w:r>
      <w:r>
        <w:rPr/>
        <w:t>yang</w:t>
      </w:r>
      <w:r>
        <w:rPr>
          <w:spacing w:val="-15"/>
        </w:rPr>
        <w:t> </w:t>
      </w:r>
      <w:r>
        <w:rPr/>
        <w:t>memiliki</w:t>
      </w:r>
      <w:r>
        <w:rPr>
          <w:spacing w:val="-15"/>
        </w:rPr>
        <w:t> </w:t>
      </w:r>
      <w:r>
        <w:rPr/>
        <w:t>izin</w:t>
      </w:r>
      <w:r>
        <w:rPr>
          <w:spacing w:val="-15"/>
        </w:rPr>
        <w:t> </w:t>
      </w:r>
      <w:r>
        <w:rPr/>
        <w:t>dari</w:t>
      </w:r>
      <w:r>
        <w:rPr>
          <w:spacing w:val="-15"/>
        </w:rPr>
        <w:t> </w:t>
      </w:r>
      <w:r>
        <w:rPr/>
        <w:t>Otoritas</w:t>
      </w:r>
      <w:r>
        <w:rPr>
          <w:spacing w:val="-15"/>
        </w:rPr>
        <w:t> </w:t>
      </w:r>
      <w:r>
        <w:rPr/>
        <w:t>Jasa</w:t>
      </w:r>
      <w:r>
        <w:rPr>
          <w:spacing w:val="-15"/>
        </w:rPr>
        <w:t> </w:t>
      </w:r>
      <w:r>
        <w:rPr/>
        <w:t>Keuangan.</w:t>
      </w:r>
      <w:hyperlink w:history="true" w:anchor="_bookmark78">
        <w:r>
          <w:rPr>
            <w:vertAlign w:val="superscript"/>
          </w:rPr>
          <w:t>52</w:t>
        </w:r>
      </w:hyperlink>
      <w:r>
        <w:rPr>
          <w:vertAlign w:val="baseline"/>
        </w:rPr>
        <w:t> Majelis Ulama Indonesia (MUI) merupakan sebuah organisasi otonom yang bertujuan untuk membahas aspek hukum (kehalalan) investasi saham di Indonesia. MUI menggunakan fatwa-fatwanya untuk melindungi kepentingan umat Islam. Dari 14 Fatwa yang dikeluarkan oleh Dewan Syariah Nasional (DSN) MUI, setidaknya ada dua fatwa yang berkaitan dengan pasar modal. Pertama, fatwa DSN-MUI</w:t>
      </w:r>
      <w:r>
        <w:rPr>
          <w:spacing w:val="-7"/>
          <w:vertAlign w:val="baseline"/>
        </w:rPr>
        <w:t> </w:t>
      </w:r>
      <w:r>
        <w:rPr>
          <w:vertAlign w:val="baseline"/>
        </w:rPr>
        <w:t>No.</w:t>
      </w:r>
      <w:r>
        <w:rPr>
          <w:spacing w:val="-3"/>
          <w:vertAlign w:val="baseline"/>
        </w:rPr>
        <w:t> </w:t>
      </w:r>
      <w:r>
        <w:rPr>
          <w:vertAlign w:val="baseline"/>
        </w:rPr>
        <w:t>40</w:t>
      </w:r>
      <w:r>
        <w:rPr>
          <w:spacing w:val="-3"/>
          <w:vertAlign w:val="baseline"/>
        </w:rPr>
        <w:t> </w:t>
      </w:r>
      <w:r>
        <w:rPr>
          <w:vertAlign w:val="baseline"/>
        </w:rPr>
        <w:t>tahun</w:t>
      </w:r>
      <w:r>
        <w:rPr>
          <w:spacing w:val="-1"/>
          <w:vertAlign w:val="baseline"/>
        </w:rPr>
        <w:t> </w:t>
      </w:r>
      <w:r>
        <w:rPr>
          <w:vertAlign w:val="baseline"/>
        </w:rPr>
        <w:t>2003,</w:t>
      </w:r>
      <w:r>
        <w:rPr>
          <w:spacing w:val="-3"/>
          <w:vertAlign w:val="baseline"/>
        </w:rPr>
        <w:t> </w:t>
      </w:r>
      <w:r>
        <w:rPr>
          <w:vertAlign w:val="baseline"/>
        </w:rPr>
        <w:t>yang</w:t>
      </w:r>
      <w:r>
        <w:rPr>
          <w:spacing w:val="-3"/>
          <w:vertAlign w:val="baseline"/>
        </w:rPr>
        <w:t> </w:t>
      </w:r>
      <w:r>
        <w:rPr>
          <w:vertAlign w:val="baseline"/>
        </w:rPr>
        <w:t>berfokus</w:t>
      </w:r>
      <w:r>
        <w:rPr>
          <w:spacing w:val="-4"/>
          <w:vertAlign w:val="baseline"/>
        </w:rPr>
        <w:t> </w:t>
      </w:r>
      <w:r>
        <w:rPr>
          <w:vertAlign w:val="baseline"/>
        </w:rPr>
        <w:t>pada</w:t>
      </w:r>
      <w:r>
        <w:rPr>
          <w:spacing w:val="-4"/>
          <w:vertAlign w:val="baseline"/>
        </w:rPr>
        <w:t> </w:t>
      </w:r>
      <w:r>
        <w:rPr>
          <w:vertAlign w:val="baseline"/>
        </w:rPr>
        <w:t>pasar</w:t>
      </w:r>
      <w:r>
        <w:rPr>
          <w:spacing w:val="-3"/>
          <w:vertAlign w:val="baseline"/>
        </w:rPr>
        <w:t> </w:t>
      </w:r>
      <w:r>
        <w:rPr>
          <w:vertAlign w:val="baseline"/>
        </w:rPr>
        <w:t>modal</w:t>
      </w:r>
      <w:r>
        <w:rPr>
          <w:spacing w:val="-3"/>
          <w:vertAlign w:val="baseline"/>
        </w:rPr>
        <w:t> </w:t>
      </w:r>
      <w:r>
        <w:rPr>
          <w:vertAlign w:val="baseline"/>
        </w:rPr>
        <w:t>dan memberikan pedoman umum untuk menerapkan prinsip-prinsip Syariah di bidang ini. Kedua, Fatwa DSN-MUI No. 80 tahun 2011 tentang Penerapan Prinsip Syariah dalam Mekanisme Perdagangan Efek Bersifat Ekuitas di Pasar Reguler Bursa Efek.</w:t>
      </w:r>
    </w:p>
    <w:p>
      <w:pPr>
        <w:pStyle w:val="BodyText"/>
        <w:spacing w:line="360" w:lineRule="auto" w:before="160"/>
        <w:ind w:left="2544" w:right="164" w:firstLine="360"/>
        <w:jc w:val="both"/>
      </w:pPr>
      <w:r>
        <w:rPr/>
        <w:t>Berikut</w:t>
      </w:r>
      <w:r>
        <w:rPr>
          <w:spacing w:val="-15"/>
        </w:rPr>
        <w:t> </w:t>
      </w:r>
      <w:r>
        <w:rPr/>
        <w:t>ini</w:t>
      </w:r>
      <w:r>
        <w:rPr>
          <w:spacing w:val="-15"/>
        </w:rPr>
        <w:t> </w:t>
      </w:r>
      <w:r>
        <w:rPr/>
        <w:t>adalah</w:t>
      </w:r>
      <w:r>
        <w:rPr>
          <w:spacing w:val="-15"/>
        </w:rPr>
        <w:t> </w:t>
      </w:r>
      <w:r>
        <w:rPr/>
        <w:t>contoh-contoh</w:t>
      </w:r>
      <w:r>
        <w:rPr>
          <w:spacing w:val="-15"/>
        </w:rPr>
        <w:t> </w:t>
      </w:r>
      <w:r>
        <w:rPr/>
        <w:t>praktik</w:t>
      </w:r>
      <w:r>
        <w:rPr>
          <w:spacing w:val="-15"/>
        </w:rPr>
        <w:t> </w:t>
      </w:r>
      <w:r>
        <w:rPr/>
        <w:t>komersial</w:t>
      </w:r>
      <w:r>
        <w:rPr>
          <w:spacing w:val="-15"/>
        </w:rPr>
        <w:t> </w:t>
      </w:r>
      <w:r>
        <w:rPr/>
        <w:t>dalam</w:t>
      </w:r>
      <w:r>
        <w:rPr>
          <w:spacing w:val="-15"/>
        </w:rPr>
        <w:t> </w:t>
      </w:r>
      <w:r>
        <w:rPr/>
        <w:t>saham Syariah yang bertentangan dengan prinsip-prinsip Syariah:</w:t>
      </w:r>
      <w:hyperlink w:history="true" w:anchor="_bookmark79">
        <w:r>
          <w:rPr>
            <w:vertAlign w:val="superscript"/>
          </w:rPr>
          <w:t>53</w:t>
        </w:r>
      </w:hyperlink>
    </w:p>
    <w:p>
      <w:pPr>
        <w:pStyle w:val="ListParagraph"/>
        <w:numPr>
          <w:ilvl w:val="1"/>
          <w:numId w:val="20"/>
        </w:numPr>
        <w:tabs>
          <w:tab w:pos="3624" w:val="left" w:leader="none"/>
        </w:tabs>
        <w:spacing w:line="360" w:lineRule="auto" w:before="161" w:after="0"/>
        <w:ind w:left="3624" w:right="164" w:hanging="360"/>
        <w:jc w:val="both"/>
        <w:rPr>
          <w:sz w:val="24"/>
        </w:rPr>
      </w:pPr>
      <w:r>
        <w:rPr>
          <w:sz w:val="24"/>
        </w:rPr>
        <w:t>Bisnis yang berhubungan dengan perjudian </w:t>
      </w:r>
      <w:r>
        <w:rPr>
          <w:sz w:val="24"/>
        </w:rPr>
        <w:t>(maisir), yaitu sektor perjudian atau bisnis yang terlibat dalam operasi perjudian.</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3"/>
        <w:rPr>
          <w:sz w:val="20"/>
        </w:rPr>
      </w:pPr>
      <w:r>
        <w:rPr>
          <w:sz w:val="20"/>
        </w:rPr>
        <mc:AlternateContent>
          <mc:Choice Requires="wps">
            <w:drawing>
              <wp:anchor distT="0" distB="0" distL="0" distR="0" allowOverlap="1" layoutInCell="1" locked="0" behindDoc="1" simplePos="0" relativeHeight="487604224">
                <wp:simplePos x="0" y="0"/>
                <wp:positionH relativeFrom="page">
                  <wp:posOffset>914704</wp:posOffset>
                </wp:positionH>
                <wp:positionV relativeFrom="paragraph">
                  <wp:posOffset>220743</wp:posOffset>
                </wp:positionV>
                <wp:extent cx="1829435" cy="9525"/>
                <wp:effectExtent l="0" t="0" r="0" b="0"/>
                <wp:wrapTopAndBottom/>
                <wp:docPr id="269" name="Graphic 269"/>
                <wp:cNvGraphicFramePr>
                  <a:graphicFrameLocks/>
                </wp:cNvGraphicFramePr>
                <a:graphic>
                  <a:graphicData uri="http://schemas.microsoft.com/office/word/2010/wordprocessingShape">
                    <wps:wsp>
                      <wps:cNvPr id="269" name="Graphic 269"/>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7.381397pt;width:144.020pt;height:.71997pt;mso-position-horizontal-relative:page;mso-position-vertical-relative:paragraph;z-index:-15712256;mso-wrap-distance-left:0;mso-wrap-distance-right:0" id="docshape241" filled="true" fillcolor="#000000" stroked="false">
                <v:fill type="solid"/>
                <w10:wrap type="topAndBottom"/>
              </v:rect>
            </w:pict>
          </mc:Fallback>
        </mc:AlternateContent>
      </w:r>
    </w:p>
    <w:p>
      <w:pPr>
        <w:spacing w:before="99"/>
        <w:ind w:left="23" w:right="159" w:firstLine="719"/>
        <w:jc w:val="left"/>
        <w:rPr>
          <w:sz w:val="20"/>
        </w:rPr>
      </w:pPr>
      <w:bookmarkStart w:name="_bookmark78" w:id="79"/>
      <w:bookmarkEnd w:id="79"/>
      <w:r>
        <w:rPr/>
      </w:r>
      <w:r>
        <w:rPr>
          <w:sz w:val="20"/>
          <w:vertAlign w:val="superscript"/>
        </w:rPr>
        <w:t>52</w:t>
      </w:r>
      <w:r>
        <w:rPr>
          <w:sz w:val="20"/>
          <w:vertAlign w:val="baseline"/>
        </w:rPr>
        <w:t> Dahlia Bonang and Abdul Hadi Sukmana, </w:t>
      </w:r>
      <w:r>
        <w:rPr>
          <w:i/>
          <w:sz w:val="20"/>
          <w:vertAlign w:val="baseline"/>
        </w:rPr>
        <w:t>Manajemen Keuangan Dan Investasi Syariah </w:t>
      </w:r>
      <w:r>
        <w:rPr>
          <w:sz w:val="20"/>
          <w:vertAlign w:val="baseline"/>
        </w:rPr>
        <w:t>(Mataram: Sanabil, 2020).</w:t>
      </w:r>
    </w:p>
    <w:p>
      <w:pPr>
        <w:spacing w:before="0"/>
        <w:ind w:left="23" w:right="0" w:firstLine="719"/>
        <w:jc w:val="left"/>
        <w:rPr>
          <w:sz w:val="20"/>
        </w:rPr>
      </w:pPr>
      <w:bookmarkStart w:name="_bookmark79" w:id="80"/>
      <w:bookmarkEnd w:id="80"/>
      <w:r>
        <w:rPr/>
      </w:r>
      <w:r>
        <w:rPr>
          <w:sz w:val="20"/>
          <w:vertAlign w:val="superscript"/>
        </w:rPr>
        <w:t>53</w:t>
      </w:r>
      <w:r>
        <w:rPr>
          <w:sz w:val="20"/>
          <w:vertAlign w:val="baseline"/>
        </w:rPr>
        <w:t> Ali Geno Berutu, </w:t>
      </w:r>
      <w:r>
        <w:rPr>
          <w:i/>
          <w:sz w:val="20"/>
          <w:vertAlign w:val="baseline"/>
        </w:rPr>
        <w:t>Pasar Modal Syariah Di Indonesia (Konsep Dan Produknya </w:t>
      </w:r>
      <w:r>
        <w:rPr>
          <w:sz w:val="20"/>
          <w:vertAlign w:val="baseline"/>
        </w:rPr>
        <w:t>(Salatiga: Lembaga</w:t>
      </w:r>
      <w:r>
        <w:rPr>
          <w:spacing w:val="40"/>
          <w:sz w:val="20"/>
          <w:vertAlign w:val="baseline"/>
        </w:rPr>
        <w:t> </w:t>
      </w:r>
      <w:r>
        <w:rPr>
          <w:sz w:val="20"/>
          <w:vertAlign w:val="baseline"/>
        </w:rPr>
        <w:t>Penelitian dan Pengabdian kepada Masyarakat (LP2M) IAIN Salatiga, 2020).</w:t>
      </w:r>
    </w:p>
    <w:p>
      <w:pPr>
        <w:spacing w:after="0"/>
        <w:jc w:val="left"/>
        <w:rPr>
          <w:sz w:val="20"/>
        </w:rPr>
        <w:sectPr>
          <w:pgSz w:w="11910" w:h="16840"/>
          <w:pgMar w:header="0" w:footer="1000" w:top="1360" w:bottom="1200" w:left="1417" w:right="1275"/>
        </w:sectPr>
      </w:pPr>
    </w:p>
    <w:p>
      <w:pPr>
        <w:pStyle w:val="ListParagraph"/>
        <w:numPr>
          <w:ilvl w:val="1"/>
          <w:numId w:val="20"/>
        </w:numPr>
        <w:tabs>
          <w:tab w:pos="3624" w:val="left" w:leader="none"/>
        </w:tabs>
        <w:spacing w:line="360" w:lineRule="auto" w:before="60" w:after="0"/>
        <w:ind w:left="3624" w:right="160" w:hanging="360"/>
        <w:jc w:val="both"/>
        <w:rPr>
          <w:sz w:val="24"/>
        </w:rPr>
      </w:pPr>
      <w:r>
        <w:rPr>
          <w:sz w:val="24"/>
        </w:rPr>
        <w:t>Bisnis yang menyediakan jasa keuangan ribawi, seperti bank tradisional, </w:t>
      </w:r>
      <w:r>
        <w:rPr>
          <w:i/>
          <w:sz w:val="24"/>
        </w:rPr>
        <w:t>financial technology </w:t>
      </w:r>
      <w:r>
        <w:rPr>
          <w:sz w:val="24"/>
        </w:rPr>
        <w:t>(fintek) tradisional, dan leasing tradisional.</w:t>
      </w:r>
    </w:p>
    <w:p>
      <w:pPr>
        <w:pStyle w:val="ListParagraph"/>
        <w:numPr>
          <w:ilvl w:val="1"/>
          <w:numId w:val="20"/>
        </w:numPr>
        <w:tabs>
          <w:tab w:pos="3624" w:val="left" w:leader="none"/>
        </w:tabs>
        <w:spacing w:line="360" w:lineRule="auto" w:before="0" w:after="0"/>
        <w:ind w:left="3624" w:right="164" w:hanging="360"/>
        <w:jc w:val="both"/>
        <w:rPr>
          <w:sz w:val="24"/>
        </w:rPr>
      </w:pPr>
      <w:r>
        <w:rPr>
          <w:sz w:val="24"/>
        </w:rPr>
        <w:t>Gharar, yaitu akad jual beli yang tidak memiliki kepastian mengenai kualitas, kuantitas, dan </w:t>
      </w:r>
      <w:r>
        <w:rPr>
          <w:sz w:val="24"/>
        </w:rPr>
        <w:t>waktu penyerahan objek akad.</w:t>
      </w:r>
    </w:p>
    <w:p>
      <w:pPr>
        <w:pStyle w:val="ListParagraph"/>
        <w:numPr>
          <w:ilvl w:val="1"/>
          <w:numId w:val="20"/>
        </w:numPr>
        <w:tabs>
          <w:tab w:pos="3624" w:val="left" w:leader="none"/>
        </w:tabs>
        <w:spacing w:line="360" w:lineRule="auto" w:before="1" w:after="0"/>
        <w:ind w:left="3624" w:right="165" w:hanging="360"/>
        <w:jc w:val="both"/>
        <w:rPr>
          <w:sz w:val="24"/>
        </w:rPr>
      </w:pPr>
      <w:r>
        <w:rPr>
          <w:sz w:val="24"/>
        </w:rPr>
        <w:t>Perusahaan yang memproduksi, menjual, </w:t>
      </w:r>
      <w:r>
        <w:rPr>
          <w:sz w:val="24"/>
        </w:rPr>
        <w:t>dan/atau memasok produk-produk berikut:</w:t>
      </w:r>
    </w:p>
    <w:p>
      <w:pPr>
        <w:pStyle w:val="ListParagraph"/>
        <w:numPr>
          <w:ilvl w:val="2"/>
          <w:numId w:val="20"/>
        </w:numPr>
        <w:tabs>
          <w:tab w:pos="4343" w:val="left" w:leader="none"/>
        </w:tabs>
        <w:spacing w:line="240" w:lineRule="auto" w:before="0" w:after="0"/>
        <w:ind w:left="4343" w:right="0" w:hanging="359"/>
        <w:jc w:val="both"/>
        <w:rPr>
          <w:sz w:val="24"/>
        </w:rPr>
      </w:pPr>
      <w:r>
        <w:rPr>
          <w:sz w:val="24"/>
        </w:rPr>
        <w:t>Produk</w:t>
      </w:r>
      <w:r>
        <w:rPr>
          <w:spacing w:val="-2"/>
          <w:sz w:val="24"/>
        </w:rPr>
        <w:t> </w:t>
      </w:r>
      <w:r>
        <w:rPr>
          <w:sz w:val="24"/>
        </w:rPr>
        <w:t>yang</w:t>
      </w:r>
      <w:r>
        <w:rPr>
          <w:spacing w:val="1"/>
          <w:sz w:val="24"/>
        </w:rPr>
        <w:t> </w:t>
      </w:r>
      <w:r>
        <w:rPr>
          <w:sz w:val="24"/>
        </w:rPr>
        <w:t>mengandung</w:t>
      </w:r>
      <w:r>
        <w:rPr>
          <w:spacing w:val="1"/>
          <w:sz w:val="24"/>
        </w:rPr>
        <w:t> </w:t>
      </w:r>
      <w:r>
        <w:rPr>
          <w:sz w:val="24"/>
        </w:rPr>
        <w:t>bahan</w:t>
      </w:r>
      <w:r>
        <w:rPr>
          <w:spacing w:val="1"/>
          <w:sz w:val="24"/>
        </w:rPr>
        <w:t> </w:t>
      </w:r>
      <w:r>
        <w:rPr>
          <w:sz w:val="24"/>
        </w:rPr>
        <w:t>yang</w:t>
      </w:r>
      <w:r>
        <w:rPr>
          <w:spacing w:val="1"/>
          <w:sz w:val="24"/>
        </w:rPr>
        <w:t> </w:t>
      </w:r>
      <w:r>
        <w:rPr>
          <w:sz w:val="24"/>
        </w:rPr>
        <w:t>haram</w:t>
      </w:r>
      <w:r>
        <w:rPr>
          <w:spacing w:val="2"/>
          <w:sz w:val="24"/>
        </w:rPr>
        <w:t> </w:t>
      </w:r>
      <w:r>
        <w:rPr>
          <w:spacing w:val="-4"/>
          <w:sz w:val="24"/>
        </w:rPr>
        <w:t>(li-</w:t>
      </w:r>
    </w:p>
    <w:p>
      <w:pPr>
        <w:pStyle w:val="BodyText"/>
        <w:spacing w:before="138"/>
        <w:ind w:left="4344"/>
        <w:jc w:val="both"/>
      </w:pPr>
      <w:r>
        <w:rPr/>
        <w:t>dzatīhi),</w:t>
      </w:r>
      <w:r>
        <w:rPr>
          <w:spacing w:val="-2"/>
        </w:rPr>
        <w:t> </w:t>
      </w:r>
      <w:r>
        <w:rPr/>
        <w:t>seperti</w:t>
      </w:r>
      <w:r>
        <w:rPr>
          <w:spacing w:val="-1"/>
        </w:rPr>
        <w:t> </w:t>
      </w:r>
      <w:r>
        <w:rPr/>
        <w:t>minuman</w:t>
      </w:r>
      <w:r>
        <w:rPr>
          <w:spacing w:val="-2"/>
        </w:rPr>
        <w:t> </w:t>
      </w:r>
      <w:r>
        <w:rPr/>
        <w:t>keras</w:t>
      </w:r>
      <w:r>
        <w:rPr>
          <w:spacing w:val="-2"/>
        </w:rPr>
        <w:t> </w:t>
      </w:r>
      <w:r>
        <w:rPr/>
        <w:t>dan</w:t>
      </w:r>
      <w:r>
        <w:rPr>
          <w:spacing w:val="-1"/>
        </w:rPr>
        <w:t> </w:t>
      </w:r>
      <w:r>
        <w:rPr>
          <w:spacing w:val="-2"/>
        </w:rPr>
        <w:t>babi.</w:t>
      </w:r>
    </w:p>
    <w:p>
      <w:pPr>
        <w:pStyle w:val="ListParagraph"/>
        <w:numPr>
          <w:ilvl w:val="2"/>
          <w:numId w:val="20"/>
        </w:numPr>
        <w:tabs>
          <w:tab w:pos="4344" w:val="left" w:leader="none"/>
        </w:tabs>
        <w:spacing w:line="360" w:lineRule="auto" w:before="139" w:after="0"/>
        <w:ind w:left="4344" w:right="163" w:hanging="360"/>
        <w:jc w:val="both"/>
        <w:rPr>
          <w:sz w:val="24"/>
        </w:rPr>
      </w:pPr>
      <w:r>
        <w:rPr>
          <w:sz w:val="24"/>
        </w:rPr>
        <w:t>Produk</w:t>
      </w:r>
      <w:r>
        <w:rPr>
          <w:spacing w:val="-2"/>
          <w:sz w:val="24"/>
        </w:rPr>
        <w:t> </w:t>
      </w:r>
      <w:r>
        <w:rPr>
          <w:sz w:val="24"/>
        </w:rPr>
        <w:t>yang</w:t>
      </w:r>
      <w:r>
        <w:rPr>
          <w:spacing w:val="-1"/>
          <w:sz w:val="24"/>
        </w:rPr>
        <w:t> </w:t>
      </w:r>
      <w:r>
        <w:rPr>
          <w:sz w:val="24"/>
        </w:rPr>
        <w:t>secara</w:t>
      </w:r>
      <w:r>
        <w:rPr>
          <w:spacing w:val="-3"/>
          <w:sz w:val="24"/>
        </w:rPr>
        <w:t> </w:t>
      </w:r>
      <w:r>
        <w:rPr>
          <w:sz w:val="24"/>
        </w:rPr>
        <w:t>zatnya</w:t>
      </w:r>
      <w:r>
        <w:rPr>
          <w:spacing w:val="-1"/>
          <w:sz w:val="24"/>
        </w:rPr>
        <w:t> </w:t>
      </w:r>
      <w:r>
        <w:rPr>
          <w:sz w:val="24"/>
        </w:rPr>
        <w:t>tidak</w:t>
      </w:r>
      <w:r>
        <w:rPr>
          <w:spacing w:val="-1"/>
          <w:sz w:val="24"/>
        </w:rPr>
        <w:t> </w:t>
      </w:r>
      <w:r>
        <w:rPr>
          <w:sz w:val="24"/>
        </w:rPr>
        <w:t>haram (li-ghairi dzatīhi), seperti rumah potong hewan </w:t>
      </w:r>
      <w:r>
        <w:rPr>
          <w:sz w:val="24"/>
        </w:rPr>
        <w:t>sapi, kambing, dan ayam yang tata cara penyembelihannya tidak sesuai dengan syariat </w:t>
      </w:r>
      <w:r>
        <w:rPr>
          <w:spacing w:val="-2"/>
          <w:sz w:val="24"/>
        </w:rPr>
        <w:t>Islam.</w:t>
      </w:r>
    </w:p>
    <w:p>
      <w:pPr>
        <w:pStyle w:val="ListParagraph"/>
        <w:numPr>
          <w:ilvl w:val="2"/>
          <w:numId w:val="20"/>
        </w:numPr>
        <w:tabs>
          <w:tab w:pos="4344" w:val="left" w:leader="none"/>
        </w:tabs>
        <w:spacing w:line="360" w:lineRule="auto" w:before="0" w:after="0"/>
        <w:ind w:left="4344" w:right="165" w:hanging="360"/>
        <w:jc w:val="both"/>
        <w:rPr>
          <w:sz w:val="24"/>
        </w:rPr>
      </w:pPr>
      <w:r>
        <w:rPr>
          <w:sz w:val="24"/>
        </w:rPr>
        <w:t>Produk yang berpotensi merusak moral masyarakat, seperti usaha yang menjual </w:t>
      </w:r>
      <w:r>
        <w:rPr>
          <w:sz w:val="24"/>
        </w:rPr>
        <w:t>rokok dan pornografi.</w:t>
      </w:r>
    </w:p>
    <w:p>
      <w:pPr>
        <w:pStyle w:val="Heading2"/>
        <w:numPr>
          <w:ilvl w:val="2"/>
          <w:numId w:val="12"/>
        </w:numPr>
        <w:tabs>
          <w:tab w:pos="1643" w:val="left" w:leader="none"/>
        </w:tabs>
        <w:spacing w:line="240" w:lineRule="auto" w:before="159" w:after="0"/>
        <w:ind w:left="1643" w:right="0" w:hanging="540"/>
        <w:jc w:val="both"/>
      </w:pPr>
      <w:bookmarkStart w:name="_bookmark80" w:id="81"/>
      <w:bookmarkEnd w:id="81"/>
      <w:r>
        <w:rPr>
          <w:b w:val="0"/>
        </w:rPr>
      </w:r>
      <w:r>
        <w:rPr/>
        <w:t>Indeks</w:t>
      </w:r>
      <w:r>
        <w:rPr>
          <w:spacing w:val="-4"/>
        </w:rPr>
        <w:t> </w:t>
      </w:r>
      <w:r>
        <w:rPr/>
        <w:t>Keyakinan</w:t>
      </w:r>
      <w:r>
        <w:rPr>
          <w:spacing w:val="-4"/>
        </w:rPr>
        <w:t> </w:t>
      </w:r>
      <w:r>
        <w:rPr>
          <w:spacing w:val="-2"/>
        </w:rPr>
        <w:t>Konsumen</w:t>
      </w:r>
    </w:p>
    <w:p>
      <w:pPr>
        <w:pStyle w:val="BodyText"/>
        <w:spacing w:before="24"/>
        <w:rPr>
          <w:b/>
        </w:rPr>
      </w:pPr>
    </w:p>
    <w:p>
      <w:pPr>
        <w:pStyle w:val="BodyText"/>
        <w:spacing w:line="360" w:lineRule="auto"/>
        <w:ind w:left="1823" w:right="160" w:firstLine="360"/>
        <w:jc w:val="both"/>
      </w:pPr>
      <w:r>
        <w:rPr/>
        <w:t>Indeks Keyakinan Konsumen (IKK) merupakan alat ukur yang digunakan untuk mengetahui tingkat konsumsi masyarakat suatu negara. Besarnya</w:t>
      </w:r>
      <w:r>
        <w:rPr>
          <w:spacing w:val="-3"/>
        </w:rPr>
        <w:t> </w:t>
      </w:r>
      <w:r>
        <w:rPr/>
        <w:t>kesejahteraan</w:t>
      </w:r>
      <w:r>
        <w:rPr>
          <w:spacing w:val="-1"/>
        </w:rPr>
        <w:t> </w:t>
      </w:r>
      <w:r>
        <w:rPr/>
        <w:t>yang</w:t>
      </w:r>
      <w:r>
        <w:rPr>
          <w:spacing w:val="-1"/>
        </w:rPr>
        <w:t> </w:t>
      </w:r>
      <w:r>
        <w:rPr/>
        <w:t>diperoleh</w:t>
      </w:r>
      <w:r>
        <w:rPr>
          <w:spacing w:val="-1"/>
        </w:rPr>
        <w:t> </w:t>
      </w:r>
      <w:r>
        <w:rPr/>
        <w:t>dapat diketahui jika telah</w:t>
      </w:r>
      <w:r>
        <w:rPr>
          <w:spacing w:val="-1"/>
        </w:rPr>
        <w:t> </w:t>
      </w:r>
      <w:r>
        <w:rPr/>
        <w:t>diperoleh nilai Indeks Keyakinan Konsumen (IKK). Hal ini dikarenakan Indeks Keyakinan Konsumen (IKK) yang mengukur pendapatan rata-rata masyarakat dalam rangka mendorong pertumbuhan ekonomi, tentu saja akan</w:t>
      </w:r>
      <w:r>
        <w:rPr>
          <w:spacing w:val="-5"/>
        </w:rPr>
        <w:t> </w:t>
      </w:r>
      <w:r>
        <w:rPr/>
        <w:t>mempengaruhi</w:t>
      </w:r>
      <w:r>
        <w:rPr>
          <w:spacing w:val="-5"/>
        </w:rPr>
        <w:t> </w:t>
      </w:r>
      <w:r>
        <w:rPr/>
        <w:t>kegiatan</w:t>
      </w:r>
      <w:r>
        <w:rPr>
          <w:spacing w:val="-5"/>
        </w:rPr>
        <w:t> </w:t>
      </w:r>
      <w:r>
        <w:rPr/>
        <w:t>konsumsi</w:t>
      </w:r>
      <w:r>
        <w:rPr>
          <w:spacing w:val="-5"/>
        </w:rPr>
        <w:t> </w:t>
      </w:r>
      <w:r>
        <w:rPr/>
        <w:t>masyarakat.</w:t>
      </w:r>
      <w:r>
        <w:rPr>
          <w:spacing w:val="-4"/>
        </w:rPr>
        <w:t> </w:t>
      </w:r>
      <w:r>
        <w:rPr/>
        <w:t>Salah</w:t>
      </w:r>
      <w:r>
        <w:rPr>
          <w:spacing w:val="-5"/>
        </w:rPr>
        <w:t> </w:t>
      </w:r>
      <w:r>
        <w:rPr/>
        <w:t>satu</w:t>
      </w:r>
      <w:r>
        <w:rPr>
          <w:spacing w:val="-5"/>
        </w:rPr>
        <w:t> </w:t>
      </w:r>
      <w:r>
        <w:rPr/>
        <w:t>media</w:t>
      </w:r>
      <w:r>
        <w:rPr>
          <w:spacing w:val="-5"/>
        </w:rPr>
        <w:t> </w:t>
      </w:r>
      <w:r>
        <w:rPr/>
        <w:t>yang dapat memberikan informasi mengenai survei konsumen yang digunakan untuk menilai dampak Indeks Keyakinan Konsumen (IKK) terhadap statistik kesejahteraan masyarakat yang berasal dari Indeks Ekspektasi Konsumen (IEK) dan Indeks Kondisi Ekonomi (IKE) adalah Bank Indonesia. Tolok ukur</w:t>
      </w:r>
      <w:r>
        <w:rPr>
          <w:spacing w:val="-1"/>
        </w:rPr>
        <w:t> </w:t>
      </w:r>
      <w:r>
        <w:rPr/>
        <w:t>untuk menentukan angka</w:t>
      </w:r>
      <w:r>
        <w:rPr>
          <w:spacing w:val="-1"/>
        </w:rPr>
        <w:t> </w:t>
      </w:r>
      <w:r>
        <w:rPr/>
        <w:t>konsumsi didasarkan pada pengamatan tingkat kehidupan masyarakat dalam suatu perekonomian.</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1823" w:right="160" w:firstLine="360"/>
        <w:jc w:val="both"/>
      </w:pPr>
      <w:r>
        <w:rPr/>
        <w:t>Salah satu metrik utama yang secara signifikan memengaruhi pergerakan mata uang suatu negara adalah indeks kepercayaan konsumen. Salah satu ukuran ekonomi adalah Indeks Keyakinan Konsumen (IKK). Indeks ini dimaksudkan untuk mengukur seberapa optimis atau pesimis konsumen terhadap kondisi ekonomi suatu negara. Banyak pihak mengawasi CCI, yang dapat memiliki efek menengah ke atas pada pergerakan mata uang suatu negara karena perubahan minat belanja konsumen</w:t>
      </w:r>
      <w:r>
        <w:rPr>
          <w:spacing w:val="-4"/>
        </w:rPr>
        <w:t> </w:t>
      </w:r>
      <w:r>
        <w:rPr/>
        <w:t>dapat</w:t>
      </w:r>
      <w:r>
        <w:rPr>
          <w:spacing w:val="-4"/>
        </w:rPr>
        <w:t> </w:t>
      </w:r>
      <w:r>
        <w:rPr/>
        <w:t>memiliki</w:t>
      </w:r>
      <w:r>
        <w:rPr>
          <w:spacing w:val="-4"/>
        </w:rPr>
        <w:t> </w:t>
      </w:r>
      <w:r>
        <w:rPr/>
        <w:t>efek</w:t>
      </w:r>
      <w:r>
        <w:rPr>
          <w:spacing w:val="-4"/>
        </w:rPr>
        <w:t> </w:t>
      </w:r>
      <w:r>
        <w:rPr/>
        <w:t>tidak</w:t>
      </w:r>
      <w:r>
        <w:rPr>
          <w:spacing w:val="-4"/>
        </w:rPr>
        <w:t> </w:t>
      </w:r>
      <w:r>
        <w:rPr/>
        <w:t>langsung</w:t>
      </w:r>
      <w:r>
        <w:rPr>
          <w:spacing w:val="-4"/>
        </w:rPr>
        <w:t> </w:t>
      </w:r>
      <w:r>
        <w:rPr/>
        <w:t>pada</w:t>
      </w:r>
      <w:r>
        <w:rPr>
          <w:spacing w:val="-5"/>
        </w:rPr>
        <w:t> </w:t>
      </w:r>
      <w:r>
        <w:rPr/>
        <w:t>aktivitas</w:t>
      </w:r>
      <w:r>
        <w:rPr>
          <w:spacing w:val="-5"/>
        </w:rPr>
        <w:t> </w:t>
      </w:r>
      <w:r>
        <w:rPr/>
        <w:t>komersial</w:t>
      </w:r>
      <w:r>
        <w:rPr>
          <w:spacing w:val="-4"/>
        </w:rPr>
        <w:t> </w:t>
      </w:r>
      <w:r>
        <w:rPr/>
        <w:t>dan industri</w:t>
      </w:r>
      <w:r>
        <w:rPr>
          <w:spacing w:val="-8"/>
        </w:rPr>
        <w:t> </w:t>
      </w:r>
      <w:r>
        <w:rPr/>
        <w:t>suatu</w:t>
      </w:r>
      <w:r>
        <w:rPr>
          <w:spacing w:val="-8"/>
        </w:rPr>
        <w:t> </w:t>
      </w:r>
      <w:r>
        <w:rPr/>
        <w:t>negara,</w:t>
      </w:r>
      <w:r>
        <w:rPr>
          <w:spacing w:val="-8"/>
        </w:rPr>
        <w:t> </w:t>
      </w:r>
      <w:r>
        <w:rPr/>
        <w:t>yang</w:t>
      </w:r>
      <w:r>
        <w:rPr>
          <w:spacing w:val="-8"/>
        </w:rPr>
        <w:t> </w:t>
      </w:r>
      <w:r>
        <w:rPr/>
        <w:t>pada</w:t>
      </w:r>
      <w:r>
        <w:rPr>
          <w:spacing w:val="-9"/>
        </w:rPr>
        <w:t> </w:t>
      </w:r>
      <w:r>
        <w:rPr/>
        <w:t>gilirannya</w:t>
      </w:r>
      <w:r>
        <w:rPr>
          <w:spacing w:val="-9"/>
        </w:rPr>
        <w:t> </w:t>
      </w:r>
      <w:r>
        <w:rPr/>
        <w:t>memengaruhi</w:t>
      </w:r>
      <w:r>
        <w:rPr>
          <w:spacing w:val="-8"/>
        </w:rPr>
        <w:t> </w:t>
      </w:r>
      <w:r>
        <w:rPr/>
        <w:t>laju</w:t>
      </w:r>
      <w:r>
        <w:rPr>
          <w:spacing w:val="-8"/>
        </w:rPr>
        <w:t> </w:t>
      </w:r>
      <w:r>
        <w:rPr/>
        <w:t>pertumbuhan ekonomi.</w:t>
      </w:r>
      <w:r>
        <w:rPr>
          <w:spacing w:val="-12"/>
        </w:rPr>
        <w:t> </w:t>
      </w:r>
      <w:r>
        <w:rPr/>
        <w:t>Konsumen</w:t>
      </w:r>
      <w:r>
        <w:rPr>
          <w:spacing w:val="-12"/>
        </w:rPr>
        <w:t> </w:t>
      </w:r>
      <w:r>
        <w:rPr/>
        <w:t>pada</w:t>
      </w:r>
      <w:r>
        <w:rPr>
          <w:spacing w:val="-13"/>
        </w:rPr>
        <w:t> </w:t>
      </w:r>
      <w:r>
        <w:rPr/>
        <w:t>akhirnya</w:t>
      </w:r>
      <w:r>
        <w:rPr>
          <w:spacing w:val="-13"/>
        </w:rPr>
        <w:t> </w:t>
      </w:r>
      <w:r>
        <w:rPr/>
        <w:t>meningkatkan</w:t>
      </w:r>
      <w:r>
        <w:rPr>
          <w:spacing w:val="-11"/>
        </w:rPr>
        <w:t> </w:t>
      </w:r>
      <w:r>
        <w:rPr/>
        <w:t>konsumsi</w:t>
      </w:r>
      <w:r>
        <w:rPr>
          <w:spacing w:val="-12"/>
        </w:rPr>
        <w:t> </w:t>
      </w:r>
      <w:r>
        <w:rPr/>
        <w:t>mereka</w:t>
      </w:r>
      <w:r>
        <w:rPr>
          <w:spacing w:val="-13"/>
        </w:rPr>
        <w:t> </w:t>
      </w:r>
      <w:r>
        <w:rPr/>
        <w:t>karena mereka memiliki waktu untuk beradaptasi dengan perubahan pendapatan. Hal ini juga menunjukkan bagaimana perilaku konsumen dipengaruhi oleh pendapatan yang diantisipasi di masa depan. Mengingat Indonesia adalah negara</w:t>
      </w:r>
      <w:r>
        <w:rPr>
          <w:spacing w:val="-13"/>
        </w:rPr>
        <w:t> </w:t>
      </w:r>
      <w:r>
        <w:rPr/>
        <w:t>yang</w:t>
      </w:r>
      <w:r>
        <w:rPr>
          <w:spacing w:val="-12"/>
        </w:rPr>
        <w:t> </w:t>
      </w:r>
      <w:r>
        <w:rPr/>
        <w:t>sedang</w:t>
      </w:r>
      <w:r>
        <w:rPr>
          <w:spacing w:val="-12"/>
        </w:rPr>
        <w:t> </w:t>
      </w:r>
      <w:r>
        <w:rPr/>
        <w:t>berkembang,</w:t>
      </w:r>
      <w:r>
        <w:rPr>
          <w:spacing w:val="-12"/>
        </w:rPr>
        <w:t> </w:t>
      </w:r>
      <w:r>
        <w:rPr/>
        <w:t>pertumbuhan</w:t>
      </w:r>
      <w:r>
        <w:rPr>
          <w:spacing w:val="-12"/>
        </w:rPr>
        <w:t> </w:t>
      </w:r>
      <w:r>
        <w:rPr/>
        <w:t>konsumsi</w:t>
      </w:r>
      <w:r>
        <w:rPr>
          <w:spacing w:val="-11"/>
        </w:rPr>
        <w:t> </w:t>
      </w:r>
      <w:r>
        <w:rPr/>
        <w:t>memainkan</w:t>
      </w:r>
      <w:r>
        <w:rPr>
          <w:spacing w:val="-12"/>
        </w:rPr>
        <w:t> </w:t>
      </w:r>
      <w:r>
        <w:rPr/>
        <w:t>peran yang signifikan, seperti yang ditunjukkan oleh data yang menunjukkan bahwa perubahan proporsi konsumsi berdampak pada perubahan dalam ekspansi ekonomi.</w:t>
      </w:r>
      <w:hyperlink w:history="true" w:anchor="_bookmark81">
        <w:r>
          <w:rPr>
            <w:vertAlign w:val="superscript"/>
          </w:rPr>
          <w:t>54</w:t>
        </w:r>
      </w:hyperlink>
    </w:p>
    <w:p>
      <w:pPr>
        <w:pStyle w:val="BodyText"/>
        <w:spacing w:line="360" w:lineRule="auto" w:before="1"/>
        <w:ind w:left="1823" w:right="161" w:firstLine="360"/>
        <w:jc w:val="both"/>
      </w:pPr>
      <w:r>
        <w:rPr/>
        <w:t>Jumlah produk mahal yang dibeli dalam 12 bulan terakhir atau kecenderungan</w:t>
      </w:r>
      <w:r>
        <w:rPr>
          <w:spacing w:val="-13"/>
        </w:rPr>
        <w:t> </w:t>
      </w:r>
      <w:r>
        <w:rPr/>
        <w:t>rumah</w:t>
      </w:r>
      <w:r>
        <w:rPr>
          <w:spacing w:val="-14"/>
        </w:rPr>
        <w:t> </w:t>
      </w:r>
      <w:r>
        <w:rPr/>
        <w:t>tangga</w:t>
      </w:r>
      <w:r>
        <w:rPr>
          <w:spacing w:val="-15"/>
        </w:rPr>
        <w:t> </w:t>
      </w:r>
      <w:r>
        <w:rPr/>
        <w:t>untuk</w:t>
      </w:r>
      <w:r>
        <w:rPr>
          <w:spacing w:val="-14"/>
        </w:rPr>
        <w:t> </w:t>
      </w:r>
      <w:r>
        <w:rPr/>
        <w:t>membeli</w:t>
      </w:r>
      <w:r>
        <w:rPr>
          <w:spacing w:val="-13"/>
        </w:rPr>
        <w:t> </w:t>
      </w:r>
      <w:r>
        <w:rPr/>
        <w:t>barang</w:t>
      </w:r>
      <w:r>
        <w:rPr>
          <w:spacing w:val="-14"/>
        </w:rPr>
        <w:t> </w:t>
      </w:r>
      <w:r>
        <w:rPr/>
        <w:t>mahal</w:t>
      </w:r>
      <w:r>
        <w:rPr>
          <w:spacing w:val="-14"/>
        </w:rPr>
        <w:t> </w:t>
      </w:r>
      <w:r>
        <w:rPr/>
        <w:t>adalah</w:t>
      </w:r>
      <w:r>
        <w:rPr>
          <w:spacing w:val="-15"/>
        </w:rPr>
        <w:t> </w:t>
      </w:r>
      <w:r>
        <w:rPr/>
        <w:t>indikator kepercayaan konsumen. Salah satu faktor terpenting yang memengaruhi iklim</w:t>
      </w:r>
      <w:r>
        <w:rPr>
          <w:spacing w:val="-9"/>
        </w:rPr>
        <w:t> </w:t>
      </w:r>
      <w:r>
        <w:rPr/>
        <w:t>ekonomi</w:t>
      </w:r>
      <w:r>
        <w:rPr>
          <w:spacing w:val="-9"/>
        </w:rPr>
        <w:t> </w:t>
      </w:r>
      <w:r>
        <w:rPr/>
        <w:t>dan</w:t>
      </w:r>
      <w:r>
        <w:rPr>
          <w:spacing w:val="-9"/>
        </w:rPr>
        <w:t> </w:t>
      </w:r>
      <w:r>
        <w:rPr/>
        <w:t>pilihan</w:t>
      </w:r>
      <w:r>
        <w:rPr>
          <w:spacing w:val="-9"/>
        </w:rPr>
        <w:t> </w:t>
      </w:r>
      <w:r>
        <w:rPr/>
        <w:t>konsumen</w:t>
      </w:r>
      <w:r>
        <w:rPr>
          <w:spacing w:val="-9"/>
        </w:rPr>
        <w:t> </w:t>
      </w:r>
      <w:r>
        <w:rPr/>
        <w:t>adalah</w:t>
      </w:r>
      <w:r>
        <w:rPr>
          <w:spacing w:val="-10"/>
        </w:rPr>
        <w:t> </w:t>
      </w:r>
      <w:r>
        <w:rPr/>
        <w:t>indeks</w:t>
      </w:r>
      <w:r>
        <w:rPr>
          <w:spacing w:val="-9"/>
        </w:rPr>
        <w:t> </w:t>
      </w:r>
      <w:r>
        <w:rPr/>
        <w:t>kepercayaan</w:t>
      </w:r>
      <w:r>
        <w:rPr>
          <w:spacing w:val="-9"/>
        </w:rPr>
        <w:t> </w:t>
      </w:r>
      <w:r>
        <w:rPr/>
        <w:t>konsumen (IKK).</w:t>
      </w:r>
      <w:r>
        <w:rPr>
          <w:spacing w:val="-15"/>
        </w:rPr>
        <w:t> </w:t>
      </w:r>
      <w:r>
        <w:rPr/>
        <w:t>Dalam</w:t>
      </w:r>
      <w:r>
        <w:rPr>
          <w:spacing w:val="-15"/>
        </w:rPr>
        <w:t> </w:t>
      </w:r>
      <w:r>
        <w:rPr/>
        <w:t>beberapa</w:t>
      </w:r>
      <w:r>
        <w:rPr>
          <w:spacing w:val="-15"/>
        </w:rPr>
        <w:t> </w:t>
      </w:r>
      <w:r>
        <w:rPr/>
        <w:t>kasus,</w:t>
      </w:r>
      <w:r>
        <w:rPr>
          <w:spacing w:val="-15"/>
        </w:rPr>
        <w:t> </w:t>
      </w:r>
      <w:r>
        <w:rPr/>
        <w:t>indeks</w:t>
      </w:r>
      <w:r>
        <w:rPr>
          <w:spacing w:val="-15"/>
        </w:rPr>
        <w:t> </w:t>
      </w:r>
      <w:r>
        <w:rPr/>
        <w:t>kepercayaan</w:t>
      </w:r>
      <w:r>
        <w:rPr>
          <w:spacing w:val="-15"/>
        </w:rPr>
        <w:t> </w:t>
      </w:r>
      <w:r>
        <w:rPr/>
        <w:t>konsumen</w:t>
      </w:r>
      <w:r>
        <w:rPr>
          <w:spacing w:val="-15"/>
        </w:rPr>
        <w:t> </w:t>
      </w:r>
      <w:r>
        <w:rPr/>
        <w:t>dapat</w:t>
      </w:r>
      <w:r>
        <w:rPr>
          <w:spacing w:val="-15"/>
        </w:rPr>
        <w:t> </w:t>
      </w:r>
      <w:r>
        <w:rPr/>
        <w:t>menjadi indikator konsumsi yang dapat diandalkan. Ketika variabel survei rumah tangga mengalami perubahan yang signifikan, kontribusi indikator kepercayaan terhadap penjelasan pengeluaran konsumsi meningkat, mungkin memberikan nilai prediksi yang lebih besar. Ketika memprediksi keadaan</w:t>
      </w:r>
      <w:r>
        <w:rPr>
          <w:spacing w:val="-2"/>
        </w:rPr>
        <w:t> </w:t>
      </w:r>
      <w:r>
        <w:rPr/>
        <w:t>ekonomi,</w:t>
      </w:r>
      <w:r>
        <w:rPr>
          <w:spacing w:val="-2"/>
        </w:rPr>
        <w:t> </w:t>
      </w:r>
      <w:r>
        <w:rPr/>
        <w:t>indeks</w:t>
      </w:r>
      <w:r>
        <w:rPr>
          <w:spacing w:val="-3"/>
        </w:rPr>
        <w:t> </w:t>
      </w:r>
      <w:r>
        <w:rPr/>
        <w:t>ini,</w:t>
      </w:r>
      <w:r>
        <w:rPr>
          <w:spacing w:val="-2"/>
        </w:rPr>
        <w:t> </w:t>
      </w:r>
      <w:r>
        <w:rPr/>
        <w:t>yang</w:t>
      </w:r>
      <w:r>
        <w:rPr>
          <w:spacing w:val="-2"/>
        </w:rPr>
        <w:t> </w:t>
      </w:r>
      <w:r>
        <w:rPr/>
        <w:t>mengukur</w:t>
      </w:r>
      <w:r>
        <w:rPr>
          <w:spacing w:val="-4"/>
        </w:rPr>
        <w:t> </w:t>
      </w:r>
      <w:r>
        <w:rPr/>
        <w:t>tingkat</w:t>
      </w:r>
      <w:r>
        <w:rPr>
          <w:spacing w:val="-2"/>
        </w:rPr>
        <w:t> </w:t>
      </w:r>
      <w:r>
        <w:rPr/>
        <w:t>optimisme</w:t>
      </w:r>
      <w:r>
        <w:rPr>
          <w:spacing w:val="-3"/>
        </w:rPr>
        <w:t> </w:t>
      </w:r>
      <w:r>
        <w:rPr/>
        <w:t>konsumen tentang kesehatan ekonomi secara keseluruhan, mungkin bisa menjadi alat yang</w:t>
      </w:r>
      <w:r>
        <w:rPr>
          <w:spacing w:val="3"/>
        </w:rPr>
        <w:t> </w:t>
      </w:r>
      <w:r>
        <w:rPr/>
        <w:t>berguna.</w:t>
      </w:r>
      <w:hyperlink w:history="true" w:anchor="_bookmark82">
        <w:r>
          <w:rPr>
            <w:vertAlign w:val="superscript"/>
          </w:rPr>
          <w:t>55</w:t>
        </w:r>
      </w:hyperlink>
      <w:r>
        <w:rPr>
          <w:spacing w:val="5"/>
          <w:vertAlign w:val="baseline"/>
        </w:rPr>
        <w:t> </w:t>
      </w:r>
      <w:r>
        <w:rPr>
          <w:vertAlign w:val="baseline"/>
        </w:rPr>
        <w:t>Jejak</w:t>
      </w:r>
      <w:r>
        <w:rPr>
          <w:spacing w:val="3"/>
          <w:vertAlign w:val="baseline"/>
        </w:rPr>
        <w:t> </w:t>
      </w:r>
      <w:r>
        <w:rPr>
          <w:vertAlign w:val="baseline"/>
        </w:rPr>
        <w:t>pendapat</w:t>
      </w:r>
      <w:r>
        <w:rPr>
          <w:spacing w:val="4"/>
          <w:vertAlign w:val="baseline"/>
        </w:rPr>
        <w:t> </w:t>
      </w:r>
      <w:r>
        <w:rPr>
          <w:vertAlign w:val="baseline"/>
        </w:rPr>
        <w:t>terhadap</w:t>
      </w:r>
      <w:r>
        <w:rPr>
          <w:spacing w:val="3"/>
          <w:vertAlign w:val="baseline"/>
        </w:rPr>
        <w:t> </w:t>
      </w:r>
      <w:r>
        <w:rPr>
          <w:vertAlign w:val="baseline"/>
        </w:rPr>
        <w:t>responden</w:t>
      </w:r>
      <w:r>
        <w:rPr>
          <w:spacing w:val="4"/>
          <w:vertAlign w:val="baseline"/>
        </w:rPr>
        <w:t> </w:t>
      </w:r>
      <w:r>
        <w:rPr>
          <w:vertAlign w:val="baseline"/>
        </w:rPr>
        <w:t>suatu</w:t>
      </w:r>
      <w:r>
        <w:rPr>
          <w:spacing w:val="4"/>
          <w:vertAlign w:val="baseline"/>
        </w:rPr>
        <w:t> </w:t>
      </w:r>
      <w:r>
        <w:rPr>
          <w:vertAlign w:val="baseline"/>
        </w:rPr>
        <w:t>negara</w:t>
      </w:r>
      <w:r>
        <w:rPr>
          <w:spacing w:val="1"/>
          <w:vertAlign w:val="baseline"/>
        </w:rPr>
        <w:t> </w:t>
      </w:r>
      <w:r>
        <w:rPr>
          <w:spacing w:val="-2"/>
          <w:vertAlign w:val="baseline"/>
        </w:rPr>
        <w:t>mengenai</w:t>
      </w:r>
    </w:p>
    <w:p>
      <w:pPr>
        <w:pStyle w:val="BodyText"/>
        <w:spacing w:before="206"/>
        <w:rPr>
          <w:sz w:val="20"/>
        </w:rPr>
      </w:pPr>
      <w:r>
        <w:rPr>
          <w:sz w:val="20"/>
        </w:rPr>
        <mc:AlternateContent>
          <mc:Choice Requires="wps">
            <w:drawing>
              <wp:anchor distT="0" distB="0" distL="0" distR="0" allowOverlap="1" layoutInCell="1" locked="0" behindDoc="1" simplePos="0" relativeHeight="487604736">
                <wp:simplePos x="0" y="0"/>
                <wp:positionH relativeFrom="page">
                  <wp:posOffset>914704</wp:posOffset>
                </wp:positionH>
                <wp:positionV relativeFrom="paragraph">
                  <wp:posOffset>292620</wp:posOffset>
                </wp:positionV>
                <wp:extent cx="1829435" cy="9525"/>
                <wp:effectExtent l="0" t="0" r="0" b="0"/>
                <wp:wrapTopAndBottom/>
                <wp:docPr id="270" name="Graphic 270"/>
                <wp:cNvGraphicFramePr>
                  <a:graphicFrameLocks/>
                </wp:cNvGraphicFramePr>
                <a:graphic>
                  <a:graphicData uri="http://schemas.microsoft.com/office/word/2010/wordprocessingShape">
                    <wps:wsp>
                      <wps:cNvPr id="270" name="Graphic 27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040947pt;width:144.020pt;height:.72003pt;mso-position-horizontal-relative:page;mso-position-vertical-relative:paragraph;z-index:-15711744;mso-wrap-distance-left:0;mso-wrap-distance-right:0" id="docshape242" filled="true" fillcolor="#000000" stroked="false">
                <v:fill type="solid"/>
                <w10:wrap type="topAndBottom"/>
              </v:rect>
            </w:pict>
          </mc:Fallback>
        </mc:AlternateContent>
      </w:r>
    </w:p>
    <w:p>
      <w:pPr>
        <w:spacing w:before="101"/>
        <w:ind w:left="23" w:right="165" w:firstLine="719"/>
        <w:jc w:val="both"/>
        <w:rPr>
          <w:sz w:val="20"/>
        </w:rPr>
      </w:pPr>
      <w:bookmarkStart w:name="_bookmark81" w:id="82"/>
      <w:bookmarkEnd w:id="82"/>
      <w:r>
        <w:rPr/>
      </w:r>
      <w:r>
        <w:rPr>
          <w:sz w:val="20"/>
          <w:vertAlign w:val="superscript"/>
        </w:rPr>
        <w:t>54</w:t>
      </w:r>
      <w:r>
        <w:rPr>
          <w:spacing w:val="-12"/>
          <w:sz w:val="20"/>
          <w:vertAlign w:val="baseline"/>
        </w:rPr>
        <w:t> </w:t>
      </w:r>
      <w:r>
        <w:rPr>
          <w:sz w:val="20"/>
          <w:vertAlign w:val="baseline"/>
        </w:rPr>
        <w:t>Ayu</w:t>
      </w:r>
      <w:r>
        <w:rPr>
          <w:spacing w:val="-11"/>
          <w:sz w:val="20"/>
          <w:vertAlign w:val="baseline"/>
        </w:rPr>
        <w:t> </w:t>
      </w:r>
      <w:r>
        <w:rPr>
          <w:sz w:val="20"/>
          <w:vertAlign w:val="baseline"/>
        </w:rPr>
        <w:t>Nursari</w:t>
      </w:r>
      <w:r>
        <w:rPr>
          <w:spacing w:val="-12"/>
          <w:sz w:val="20"/>
          <w:vertAlign w:val="baseline"/>
        </w:rPr>
        <w:t> </w:t>
      </w:r>
      <w:r>
        <w:rPr>
          <w:sz w:val="20"/>
          <w:vertAlign w:val="baseline"/>
        </w:rPr>
        <w:t>and</w:t>
      </w:r>
      <w:r>
        <w:rPr>
          <w:spacing w:val="-11"/>
          <w:sz w:val="20"/>
          <w:vertAlign w:val="baseline"/>
        </w:rPr>
        <w:t> </w:t>
      </w:r>
      <w:r>
        <w:rPr>
          <w:sz w:val="20"/>
          <w:vertAlign w:val="baseline"/>
        </w:rPr>
        <w:t>Ahmad</w:t>
      </w:r>
      <w:r>
        <w:rPr>
          <w:spacing w:val="-11"/>
          <w:sz w:val="20"/>
          <w:vertAlign w:val="baseline"/>
        </w:rPr>
        <w:t> </w:t>
      </w:r>
      <w:r>
        <w:rPr>
          <w:sz w:val="20"/>
          <w:vertAlign w:val="baseline"/>
        </w:rPr>
        <w:t>Dhea</w:t>
      </w:r>
      <w:r>
        <w:rPr>
          <w:spacing w:val="-12"/>
          <w:sz w:val="20"/>
          <w:vertAlign w:val="baseline"/>
        </w:rPr>
        <w:t> </w:t>
      </w:r>
      <w:r>
        <w:rPr>
          <w:sz w:val="20"/>
          <w:vertAlign w:val="baseline"/>
        </w:rPr>
        <w:t>Pratama,</w:t>
      </w:r>
      <w:r>
        <w:rPr>
          <w:spacing w:val="-11"/>
          <w:sz w:val="20"/>
          <w:vertAlign w:val="baseline"/>
        </w:rPr>
        <w:t> </w:t>
      </w:r>
      <w:r>
        <w:rPr>
          <w:sz w:val="20"/>
          <w:vertAlign w:val="baseline"/>
        </w:rPr>
        <w:t>‘Bagaimanakah</w:t>
      </w:r>
      <w:r>
        <w:rPr>
          <w:spacing w:val="-11"/>
          <w:sz w:val="20"/>
          <w:vertAlign w:val="baseline"/>
        </w:rPr>
        <w:t> </w:t>
      </w:r>
      <w:r>
        <w:rPr>
          <w:sz w:val="20"/>
          <w:vertAlign w:val="baseline"/>
        </w:rPr>
        <w:t>Kepercayaan</w:t>
      </w:r>
      <w:r>
        <w:rPr>
          <w:spacing w:val="-12"/>
          <w:sz w:val="20"/>
          <w:vertAlign w:val="baseline"/>
        </w:rPr>
        <w:t> </w:t>
      </w:r>
      <w:r>
        <w:rPr>
          <w:sz w:val="20"/>
          <w:vertAlign w:val="baseline"/>
        </w:rPr>
        <w:t>Konsumen,</w:t>
      </w:r>
      <w:r>
        <w:rPr>
          <w:spacing w:val="-12"/>
          <w:sz w:val="20"/>
          <w:vertAlign w:val="baseline"/>
        </w:rPr>
        <w:t> </w:t>
      </w:r>
      <w:r>
        <w:rPr>
          <w:sz w:val="20"/>
          <w:vertAlign w:val="baseline"/>
        </w:rPr>
        <w:t>Kepercayaan</w:t>
      </w:r>
      <w:r>
        <w:rPr>
          <w:spacing w:val="-11"/>
          <w:sz w:val="20"/>
          <w:vertAlign w:val="baseline"/>
        </w:rPr>
        <w:t> </w:t>
      </w:r>
      <w:r>
        <w:rPr>
          <w:sz w:val="20"/>
          <w:vertAlign w:val="baseline"/>
        </w:rPr>
        <w:t>Bisnis Dan Konsumsi Rumah Tangga Mempengaruhi Kestabilan Perekonomian Indonesia?’, </w:t>
      </w:r>
      <w:r>
        <w:rPr>
          <w:i/>
          <w:sz w:val="20"/>
          <w:vertAlign w:val="baseline"/>
        </w:rPr>
        <w:t>Owner: Riset &amp; Jurnsl Akuntansi</w:t>
      </w:r>
      <w:r>
        <w:rPr>
          <w:sz w:val="20"/>
          <w:vertAlign w:val="baseline"/>
        </w:rPr>
        <w:t>, 8.1 (2024), 902–15 &lt;https://doi.org/10.33395/owner.v8i1.1973&gt;.</w:t>
      </w:r>
    </w:p>
    <w:p>
      <w:pPr>
        <w:spacing w:line="229" w:lineRule="exact" w:before="0"/>
        <w:ind w:left="743" w:right="0" w:firstLine="0"/>
        <w:jc w:val="both"/>
        <w:rPr>
          <w:sz w:val="20"/>
        </w:rPr>
      </w:pPr>
      <w:bookmarkStart w:name="_bookmark82" w:id="83"/>
      <w:bookmarkEnd w:id="83"/>
      <w:r>
        <w:rPr/>
      </w:r>
      <w:r>
        <w:rPr>
          <w:sz w:val="20"/>
          <w:vertAlign w:val="superscript"/>
        </w:rPr>
        <w:t>55</w:t>
      </w:r>
      <w:r>
        <w:rPr>
          <w:spacing w:val="40"/>
          <w:sz w:val="20"/>
          <w:vertAlign w:val="baseline"/>
        </w:rPr>
        <w:t> </w:t>
      </w:r>
      <w:r>
        <w:rPr>
          <w:sz w:val="20"/>
          <w:vertAlign w:val="baseline"/>
        </w:rPr>
        <w:t>Dunyati</w:t>
      </w:r>
      <w:r>
        <w:rPr>
          <w:spacing w:val="38"/>
          <w:sz w:val="20"/>
          <w:vertAlign w:val="baseline"/>
        </w:rPr>
        <w:t> </w:t>
      </w:r>
      <w:r>
        <w:rPr>
          <w:sz w:val="20"/>
          <w:vertAlign w:val="baseline"/>
        </w:rPr>
        <w:t>Ilmiah</w:t>
      </w:r>
      <w:r>
        <w:rPr>
          <w:spacing w:val="38"/>
          <w:sz w:val="20"/>
          <w:vertAlign w:val="baseline"/>
        </w:rPr>
        <w:t> </w:t>
      </w:r>
      <w:r>
        <w:rPr>
          <w:sz w:val="20"/>
          <w:vertAlign w:val="baseline"/>
        </w:rPr>
        <w:t>and</w:t>
      </w:r>
      <w:r>
        <w:rPr>
          <w:spacing w:val="41"/>
          <w:sz w:val="20"/>
          <w:vertAlign w:val="baseline"/>
        </w:rPr>
        <w:t> </w:t>
      </w:r>
      <w:r>
        <w:rPr>
          <w:sz w:val="20"/>
          <w:vertAlign w:val="baseline"/>
        </w:rPr>
        <w:t>Muhammad</w:t>
      </w:r>
      <w:r>
        <w:rPr>
          <w:spacing w:val="41"/>
          <w:sz w:val="20"/>
          <w:vertAlign w:val="baseline"/>
        </w:rPr>
        <w:t> </w:t>
      </w:r>
      <w:r>
        <w:rPr>
          <w:sz w:val="20"/>
          <w:vertAlign w:val="baseline"/>
        </w:rPr>
        <w:t>Galih</w:t>
      </w:r>
      <w:r>
        <w:rPr>
          <w:spacing w:val="39"/>
          <w:sz w:val="20"/>
          <w:vertAlign w:val="baseline"/>
        </w:rPr>
        <w:t> </w:t>
      </w:r>
      <w:r>
        <w:rPr>
          <w:sz w:val="20"/>
          <w:vertAlign w:val="baseline"/>
        </w:rPr>
        <w:t>Wonoseto,</w:t>
      </w:r>
      <w:r>
        <w:rPr>
          <w:spacing w:val="38"/>
          <w:sz w:val="20"/>
          <w:vertAlign w:val="baseline"/>
        </w:rPr>
        <w:t> </w:t>
      </w:r>
      <w:r>
        <w:rPr>
          <w:sz w:val="20"/>
          <w:vertAlign w:val="baseline"/>
        </w:rPr>
        <w:t>‘Consumer</w:t>
      </w:r>
      <w:r>
        <w:rPr>
          <w:spacing w:val="41"/>
          <w:sz w:val="20"/>
          <w:vertAlign w:val="baseline"/>
        </w:rPr>
        <w:t> </w:t>
      </w:r>
      <w:r>
        <w:rPr>
          <w:sz w:val="20"/>
          <w:vertAlign w:val="baseline"/>
        </w:rPr>
        <w:t>Confidence</w:t>
      </w:r>
      <w:r>
        <w:rPr>
          <w:spacing w:val="39"/>
          <w:sz w:val="20"/>
          <w:vertAlign w:val="baseline"/>
        </w:rPr>
        <w:t> </w:t>
      </w:r>
      <w:r>
        <w:rPr>
          <w:sz w:val="20"/>
          <w:vertAlign w:val="baseline"/>
        </w:rPr>
        <w:t>Index</w:t>
      </w:r>
      <w:r>
        <w:rPr>
          <w:spacing w:val="39"/>
          <w:sz w:val="20"/>
          <w:vertAlign w:val="baseline"/>
        </w:rPr>
        <w:t> </w:t>
      </w:r>
      <w:r>
        <w:rPr>
          <w:sz w:val="20"/>
          <w:vertAlign w:val="baseline"/>
        </w:rPr>
        <w:t>in</w:t>
      </w:r>
      <w:r>
        <w:rPr>
          <w:spacing w:val="39"/>
          <w:sz w:val="20"/>
          <w:vertAlign w:val="baseline"/>
        </w:rPr>
        <w:t> </w:t>
      </w:r>
      <w:r>
        <w:rPr>
          <w:spacing w:val="-2"/>
          <w:sz w:val="20"/>
          <w:vertAlign w:val="baseline"/>
        </w:rPr>
        <w:t>Coronavirus</w:t>
      </w:r>
    </w:p>
    <w:p>
      <w:pPr>
        <w:tabs>
          <w:tab w:pos="956" w:val="left" w:leader="none"/>
          <w:tab w:pos="2163" w:val="left" w:leader="none"/>
          <w:tab w:pos="2872" w:val="left" w:leader="none"/>
          <w:tab w:pos="3718" w:val="left" w:leader="none"/>
          <w:tab w:pos="4555" w:val="left" w:leader="none"/>
          <w:tab w:pos="5577" w:val="left" w:leader="none"/>
          <w:tab w:pos="6236" w:val="left" w:leader="none"/>
          <w:tab w:pos="7091" w:val="left" w:leader="none"/>
          <w:tab w:pos="7655" w:val="left" w:leader="none"/>
          <w:tab w:pos="8551" w:val="left" w:leader="none"/>
        </w:tabs>
        <w:spacing w:before="0"/>
        <w:ind w:left="23" w:right="0" w:firstLine="0"/>
        <w:jc w:val="left"/>
        <w:rPr>
          <w:sz w:val="20"/>
        </w:rPr>
      </w:pPr>
      <w:r>
        <w:rPr>
          <w:spacing w:val="-2"/>
          <w:sz w:val="20"/>
        </w:rPr>
        <w:t>Disease</w:t>
      </w:r>
      <w:r>
        <w:rPr>
          <w:sz w:val="20"/>
        </w:rPr>
        <w:tab/>
      </w:r>
      <w:r>
        <w:rPr>
          <w:spacing w:val="-2"/>
          <w:sz w:val="20"/>
        </w:rPr>
        <w:t>(Covid-</w:t>
      </w:r>
      <w:r>
        <w:rPr>
          <w:spacing w:val="-5"/>
          <w:sz w:val="20"/>
        </w:rPr>
        <w:t>19)</w:t>
      </w:r>
      <w:r>
        <w:rPr>
          <w:sz w:val="20"/>
        </w:rPr>
        <w:tab/>
      </w:r>
      <w:r>
        <w:rPr>
          <w:spacing w:val="-2"/>
          <w:sz w:val="20"/>
        </w:rPr>
        <w:t>Era’,</w:t>
      </w:r>
      <w:r>
        <w:rPr>
          <w:sz w:val="20"/>
        </w:rPr>
        <w:tab/>
      </w:r>
      <w:r>
        <w:rPr>
          <w:i/>
          <w:spacing w:val="-2"/>
          <w:sz w:val="20"/>
        </w:rPr>
        <w:t>EkBis:</w:t>
      </w:r>
      <w:r>
        <w:rPr>
          <w:i/>
          <w:sz w:val="20"/>
        </w:rPr>
        <w:tab/>
      </w:r>
      <w:r>
        <w:rPr>
          <w:i/>
          <w:spacing w:val="-2"/>
          <w:sz w:val="20"/>
        </w:rPr>
        <w:t>Jurnal</w:t>
      </w:r>
      <w:r>
        <w:rPr>
          <w:i/>
          <w:sz w:val="20"/>
        </w:rPr>
        <w:tab/>
      </w:r>
      <w:r>
        <w:rPr>
          <w:i/>
          <w:spacing w:val="-2"/>
          <w:sz w:val="20"/>
        </w:rPr>
        <w:t>Ekonomi</w:t>
      </w:r>
      <w:r>
        <w:rPr>
          <w:i/>
          <w:sz w:val="20"/>
        </w:rPr>
        <w:tab/>
      </w:r>
      <w:r>
        <w:rPr>
          <w:i/>
          <w:spacing w:val="-5"/>
          <w:sz w:val="20"/>
        </w:rPr>
        <w:t>Dan</w:t>
      </w:r>
      <w:r>
        <w:rPr>
          <w:i/>
          <w:sz w:val="20"/>
        </w:rPr>
        <w:tab/>
      </w:r>
      <w:r>
        <w:rPr>
          <w:i/>
          <w:spacing w:val="-2"/>
          <w:sz w:val="20"/>
        </w:rPr>
        <w:t>Bisnis</w:t>
      </w:r>
      <w:r>
        <w:rPr>
          <w:spacing w:val="-2"/>
          <w:sz w:val="20"/>
        </w:rPr>
        <w:t>,</w:t>
      </w:r>
      <w:r>
        <w:rPr>
          <w:sz w:val="20"/>
        </w:rPr>
        <w:tab/>
      </w:r>
      <w:r>
        <w:rPr>
          <w:spacing w:val="-5"/>
          <w:sz w:val="20"/>
        </w:rPr>
        <w:t>5.1</w:t>
      </w:r>
      <w:r>
        <w:rPr>
          <w:sz w:val="20"/>
        </w:rPr>
        <w:tab/>
      </w:r>
      <w:r>
        <w:rPr>
          <w:spacing w:val="-2"/>
          <w:sz w:val="20"/>
        </w:rPr>
        <w:t>(2021),</w:t>
      </w:r>
      <w:r>
        <w:rPr>
          <w:sz w:val="20"/>
        </w:rPr>
        <w:tab/>
      </w:r>
      <w:r>
        <w:rPr>
          <w:spacing w:val="-2"/>
          <w:sz w:val="20"/>
        </w:rPr>
        <w:t>13–23</w:t>
      </w:r>
    </w:p>
    <w:p>
      <w:pPr>
        <w:spacing w:before="1"/>
        <w:ind w:left="23" w:right="0" w:firstLine="0"/>
        <w:jc w:val="left"/>
        <w:rPr>
          <w:sz w:val="20"/>
        </w:rPr>
      </w:pPr>
      <w:r>
        <w:rPr>
          <w:spacing w:val="-2"/>
          <w:sz w:val="20"/>
        </w:rPr>
        <w:t>&lt;https://doi.org/10.14421/EkBis.2021.5.1.1271&gt;.</w:t>
      </w:r>
    </w:p>
    <w:p>
      <w:pPr>
        <w:spacing w:after="0"/>
        <w:jc w:val="left"/>
        <w:rPr>
          <w:sz w:val="20"/>
        </w:rPr>
        <w:sectPr>
          <w:pgSz w:w="11910" w:h="16840"/>
          <w:pgMar w:header="0" w:footer="1000" w:top="1360" w:bottom="1200" w:left="1417" w:right="1275"/>
        </w:sectPr>
      </w:pPr>
    </w:p>
    <w:p>
      <w:pPr>
        <w:pStyle w:val="BodyText"/>
        <w:spacing w:line="360" w:lineRule="auto" w:before="60"/>
        <w:ind w:left="1823" w:right="162"/>
        <w:jc w:val="both"/>
      </w:pPr>
      <w:r>
        <w:rPr/>
        <w:t>ekspektasi bisnis digunakan untuk menghitung indeks kepercayaan bisnis secara umum; indikator-indikator ini termasuk di antara kelompok teratas, yang memungkinkan pembentukan dan identifikasi situasi krisis dalam sistem keuangan. Sistem elemen sosio-ekonomi digunakan untuk meningkatkan indeks kepercayaan bisnis. Indikator-indikator ini harus memiliki</w:t>
      </w:r>
      <w:r>
        <w:rPr>
          <w:spacing w:val="-4"/>
        </w:rPr>
        <w:t> </w:t>
      </w:r>
      <w:r>
        <w:rPr/>
        <w:t>koefisien</w:t>
      </w:r>
      <w:r>
        <w:rPr>
          <w:spacing w:val="-4"/>
        </w:rPr>
        <w:t> </w:t>
      </w:r>
      <w:r>
        <w:rPr/>
        <w:t>korelasi</w:t>
      </w:r>
      <w:r>
        <w:rPr>
          <w:spacing w:val="-4"/>
        </w:rPr>
        <w:t> </w:t>
      </w:r>
      <w:r>
        <w:rPr/>
        <w:t>absolut</w:t>
      </w:r>
      <w:r>
        <w:rPr>
          <w:spacing w:val="-4"/>
        </w:rPr>
        <w:t> </w:t>
      </w:r>
      <w:r>
        <w:rPr/>
        <w:t>yang</w:t>
      </w:r>
      <w:r>
        <w:rPr>
          <w:spacing w:val="-4"/>
        </w:rPr>
        <w:t> </w:t>
      </w:r>
      <w:r>
        <w:rPr/>
        <w:t>tinggi</w:t>
      </w:r>
      <w:r>
        <w:rPr>
          <w:spacing w:val="-4"/>
        </w:rPr>
        <w:t> </w:t>
      </w:r>
      <w:r>
        <w:rPr/>
        <w:t>dengan</w:t>
      </w:r>
      <w:r>
        <w:rPr>
          <w:spacing w:val="-4"/>
        </w:rPr>
        <w:t> </w:t>
      </w:r>
      <w:r>
        <w:rPr/>
        <w:t>indeks</w:t>
      </w:r>
      <w:r>
        <w:rPr>
          <w:spacing w:val="-5"/>
        </w:rPr>
        <w:t> </w:t>
      </w:r>
      <w:r>
        <w:rPr/>
        <w:t>kepercayaan bisnis. Ketika mengembangkan investasi untuk ekonomi suatu negara, indeks kepercayaan bisnis dapat digunakan sebagai panduan.</w:t>
      </w:r>
    </w:p>
    <w:p>
      <w:pPr>
        <w:pStyle w:val="BodyText"/>
        <w:spacing w:line="360" w:lineRule="auto" w:before="1"/>
        <w:ind w:left="1823" w:right="166" w:firstLine="360"/>
        <w:jc w:val="both"/>
      </w:pPr>
      <w:r>
        <w:rPr/>
        <w:t>Pertanyaan kuesioner Survei Konsumen dikelompokkan ke dalam </w:t>
      </w:r>
      <w:r>
        <w:rPr/>
        <w:t>4 kelompok, yaitu:</w:t>
      </w:r>
    </w:p>
    <w:p>
      <w:pPr>
        <w:pStyle w:val="ListParagraph"/>
        <w:numPr>
          <w:ilvl w:val="0"/>
          <w:numId w:val="21"/>
        </w:numPr>
        <w:tabs>
          <w:tab w:pos="2903" w:val="left" w:leader="none"/>
        </w:tabs>
        <w:spacing w:line="240" w:lineRule="auto" w:before="1" w:after="0"/>
        <w:ind w:left="2903" w:right="0" w:hanging="359"/>
        <w:jc w:val="both"/>
        <w:rPr>
          <w:sz w:val="24"/>
        </w:rPr>
      </w:pPr>
      <w:r>
        <w:rPr>
          <w:sz w:val="24"/>
        </w:rPr>
        <w:t>Informasi</w:t>
      </w:r>
      <w:r>
        <w:rPr>
          <w:spacing w:val="-2"/>
          <w:sz w:val="24"/>
        </w:rPr>
        <w:t> </w:t>
      </w:r>
      <w:r>
        <w:rPr>
          <w:sz w:val="24"/>
        </w:rPr>
        <w:t>umum</w:t>
      </w:r>
      <w:r>
        <w:rPr>
          <w:spacing w:val="-2"/>
          <w:sz w:val="24"/>
        </w:rPr>
        <w:t> </w:t>
      </w:r>
      <w:r>
        <w:rPr>
          <w:sz w:val="24"/>
        </w:rPr>
        <w:t>mengenai</w:t>
      </w:r>
      <w:r>
        <w:rPr>
          <w:spacing w:val="-2"/>
          <w:sz w:val="24"/>
        </w:rPr>
        <w:t> </w:t>
      </w:r>
      <w:r>
        <w:rPr>
          <w:sz w:val="24"/>
        </w:rPr>
        <w:t>karakteristik</w:t>
      </w:r>
      <w:r>
        <w:rPr>
          <w:spacing w:val="-1"/>
          <w:sz w:val="24"/>
        </w:rPr>
        <w:t> </w:t>
      </w:r>
      <w:r>
        <w:rPr>
          <w:spacing w:val="-2"/>
          <w:sz w:val="24"/>
        </w:rPr>
        <w:t>responden.</w:t>
      </w:r>
    </w:p>
    <w:p>
      <w:pPr>
        <w:pStyle w:val="ListParagraph"/>
        <w:numPr>
          <w:ilvl w:val="0"/>
          <w:numId w:val="21"/>
        </w:numPr>
        <w:tabs>
          <w:tab w:pos="2903" w:val="left" w:leader="none"/>
        </w:tabs>
        <w:spacing w:line="240" w:lineRule="auto" w:before="137" w:after="0"/>
        <w:ind w:left="2903" w:right="0" w:hanging="359"/>
        <w:jc w:val="both"/>
        <w:rPr>
          <w:sz w:val="24"/>
        </w:rPr>
      </w:pPr>
      <w:r>
        <w:rPr>
          <w:sz w:val="24"/>
        </w:rPr>
        <w:t>Keyakinan</w:t>
      </w:r>
      <w:r>
        <w:rPr>
          <w:spacing w:val="-3"/>
          <w:sz w:val="24"/>
        </w:rPr>
        <w:t> </w:t>
      </w:r>
      <w:r>
        <w:rPr>
          <w:spacing w:val="-2"/>
          <w:sz w:val="24"/>
        </w:rPr>
        <w:t>konsumen.</w:t>
      </w:r>
    </w:p>
    <w:p>
      <w:pPr>
        <w:pStyle w:val="ListParagraph"/>
        <w:numPr>
          <w:ilvl w:val="0"/>
          <w:numId w:val="21"/>
        </w:numPr>
        <w:tabs>
          <w:tab w:pos="2903" w:val="left" w:leader="none"/>
        </w:tabs>
        <w:spacing w:line="240" w:lineRule="auto" w:before="139" w:after="0"/>
        <w:ind w:left="2903" w:right="0" w:hanging="359"/>
        <w:jc w:val="both"/>
        <w:rPr>
          <w:sz w:val="24"/>
        </w:rPr>
      </w:pPr>
      <w:r>
        <w:rPr>
          <w:sz w:val="24"/>
        </w:rPr>
        <w:t>Stabilitas</w:t>
      </w:r>
      <w:r>
        <w:rPr>
          <w:spacing w:val="-4"/>
          <w:sz w:val="24"/>
        </w:rPr>
        <w:t> </w:t>
      </w:r>
      <w:r>
        <w:rPr>
          <w:sz w:val="24"/>
        </w:rPr>
        <w:t>keuangan</w:t>
      </w:r>
      <w:r>
        <w:rPr>
          <w:spacing w:val="-3"/>
          <w:sz w:val="24"/>
        </w:rPr>
        <w:t> </w:t>
      </w:r>
      <w:r>
        <w:rPr>
          <w:spacing w:val="-2"/>
          <w:sz w:val="24"/>
        </w:rPr>
        <w:t>konsumen.</w:t>
      </w:r>
    </w:p>
    <w:p>
      <w:pPr>
        <w:pStyle w:val="ListParagraph"/>
        <w:numPr>
          <w:ilvl w:val="0"/>
          <w:numId w:val="21"/>
        </w:numPr>
        <w:tabs>
          <w:tab w:pos="2903" w:val="left" w:leader="none"/>
        </w:tabs>
        <w:spacing w:line="240" w:lineRule="auto" w:before="137" w:after="0"/>
        <w:ind w:left="2903" w:right="0" w:hanging="359"/>
        <w:jc w:val="both"/>
        <w:rPr>
          <w:sz w:val="24"/>
        </w:rPr>
      </w:pPr>
      <w:r>
        <w:rPr>
          <w:sz w:val="24"/>
        </w:rPr>
        <w:t>Perkiraan</w:t>
      </w:r>
      <w:r>
        <w:rPr>
          <w:spacing w:val="-4"/>
          <w:sz w:val="24"/>
        </w:rPr>
        <w:t> </w:t>
      </w:r>
      <w:r>
        <w:rPr>
          <w:spacing w:val="-2"/>
          <w:sz w:val="24"/>
        </w:rPr>
        <w:t>inflasi</w:t>
      </w:r>
    </w:p>
    <w:p>
      <w:pPr>
        <w:pStyle w:val="BodyText"/>
        <w:spacing w:before="21"/>
      </w:pPr>
    </w:p>
    <w:p>
      <w:pPr>
        <w:pStyle w:val="BodyText"/>
        <w:spacing w:line="360" w:lineRule="auto"/>
        <w:ind w:left="2544" w:right="162" w:firstLine="360"/>
        <w:jc w:val="both"/>
      </w:pPr>
      <w:r>
        <w:rPr/>
        <w:t>Secara</w:t>
      </w:r>
      <w:r>
        <w:rPr>
          <w:spacing w:val="-11"/>
        </w:rPr>
        <w:t> </w:t>
      </w:r>
      <w:r>
        <w:rPr/>
        <w:t>khusus,</w:t>
      </w:r>
      <w:r>
        <w:rPr>
          <w:spacing w:val="-9"/>
        </w:rPr>
        <w:t> </w:t>
      </w:r>
      <w:r>
        <w:rPr/>
        <w:t>ada</w:t>
      </w:r>
      <w:r>
        <w:rPr>
          <w:spacing w:val="-10"/>
        </w:rPr>
        <w:t> </w:t>
      </w:r>
      <w:r>
        <w:rPr/>
        <w:t>tiga</w:t>
      </w:r>
      <w:r>
        <w:rPr>
          <w:spacing w:val="-10"/>
        </w:rPr>
        <w:t> </w:t>
      </w:r>
      <w:r>
        <w:rPr/>
        <w:t>indeks</w:t>
      </w:r>
      <w:r>
        <w:rPr>
          <w:spacing w:val="-10"/>
        </w:rPr>
        <w:t> </w:t>
      </w:r>
      <w:r>
        <w:rPr/>
        <w:t>yang</w:t>
      </w:r>
      <w:r>
        <w:rPr>
          <w:spacing w:val="-9"/>
        </w:rPr>
        <w:t> </w:t>
      </w:r>
      <w:r>
        <w:rPr/>
        <w:t>akan</w:t>
      </w:r>
      <w:r>
        <w:rPr>
          <w:spacing w:val="-9"/>
        </w:rPr>
        <w:t> </w:t>
      </w:r>
      <w:r>
        <w:rPr/>
        <w:t>dibuat</w:t>
      </w:r>
      <w:r>
        <w:rPr>
          <w:spacing w:val="-9"/>
        </w:rPr>
        <w:t> </w:t>
      </w:r>
      <w:r>
        <w:rPr/>
        <w:t>dari</w:t>
      </w:r>
      <w:r>
        <w:rPr>
          <w:spacing w:val="-9"/>
        </w:rPr>
        <w:t> </w:t>
      </w:r>
      <w:r>
        <w:rPr/>
        <w:t>data</w:t>
      </w:r>
      <w:r>
        <w:rPr>
          <w:spacing w:val="-10"/>
        </w:rPr>
        <w:t> </w:t>
      </w:r>
      <w:r>
        <w:rPr/>
        <w:t>Survei </w:t>
      </w:r>
      <w:r>
        <w:rPr>
          <w:spacing w:val="-2"/>
        </w:rPr>
        <w:t>Konsumen:</w:t>
      </w:r>
    </w:p>
    <w:p>
      <w:pPr>
        <w:pStyle w:val="ListParagraph"/>
        <w:numPr>
          <w:ilvl w:val="1"/>
          <w:numId w:val="21"/>
        </w:numPr>
        <w:tabs>
          <w:tab w:pos="3624" w:val="left" w:leader="none"/>
        </w:tabs>
        <w:spacing w:line="360" w:lineRule="auto" w:before="161" w:after="0"/>
        <w:ind w:left="3624" w:right="162" w:hanging="360"/>
        <w:jc w:val="both"/>
        <w:rPr>
          <w:sz w:val="24"/>
        </w:rPr>
      </w:pPr>
      <w:r>
        <w:rPr>
          <w:sz w:val="24"/>
        </w:rPr>
        <w:t>Indeks</w:t>
      </w:r>
      <w:r>
        <w:rPr>
          <w:spacing w:val="-10"/>
          <w:sz w:val="24"/>
        </w:rPr>
        <w:t> </w:t>
      </w:r>
      <w:r>
        <w:rPr>
          <w:sz w:val="24"/>
        </w:rPr>
        <w:t>Kondisi</w:t>
      </w:r>
      <w:r>
        <w:rPr>
          <w:spacing w:val="-9"/>
          <w:sz w:val="24"/>
        </w:rPr>
        <w:t> </w:t>
      </w:r>
      <w:r>
        <w:rPr>
          <w:sz w:val="24"/>
        </w:rPr>
        <w:t>Ekonomi</w:t>
      </w:r>
      <w:r>
        <w:rPr>
          <w:spacing w:val="-11"/>
          <w:sz w:val="24"/>
        </w:rPr>
        <w:t> </w:t>
      </w:r>
      <w:r>
        <w:rPr>
          <w:sz w:val="24"/>
        </w:rPr>
        <w:t>Saat</w:t>
      </w:r>
      <w:r>
        <w:rPr>
          <w:spacing w:val="-9"/>
          <w:sz w:val="24"/>
        </w:rPr>
        <w:t> </w:t>
      </w:r>
      <w:r>
        <w:rPr>
          <w:sz w:val="24"/>
        </w:rPr>
        <w:t>Ini,</w:t>
      </w:r>
      <w:r>
        <w:rPr>
          <w:spacing w:val="-9"/>
          <w:sz w:val="24"/>
        </w:rPr>
        <w:t> </w:t>
      </w:r>
      <w:r>
        <w:rPr>
          <w:sz w:val="24"/>
        </w:rPr>
        <w:t>yang</w:t>
      </w:r>
      <w:r>
        <w:rPr>
          <w:spacing w:val="-10"/>
          <w:sz w:val="24"/>
        </w:rPr>
        <w:t> </w:t>
      </w:r>
      <w:r>
        <w:rPr>
          <w:sz w:val="24"/>
        </w:rPr>
        <w:t>membandingkan kondisi ekonomi enam bulan yang lalu dan mencakup kepercayaan konsumen mengenai pendapatan saat ini, ketepatan pembelian barang tahan lama, dan ketersediaan lapangan kerja.</w:t>
      </w:r>
    </w:p>
    <w:p>
      <w:pPr>
        <w:pStyle w:val="ListParagraph"/>
        <w:numPr>
          <w:ilvl w:val="1"/>
          <w:numId w:val="21"/>
        </w:numPr>
        <w:tabs>
          <w:tab w:pos="3624" w:val="left" w:leader="none"/>
        </w:tabs>
        <w:spacing w:line="360" w:lineRule="auto" w:before="2" w:after="0"/>
        <w:ind w:left="3624" w:right="162" w:hanging="360"/>
        <w:jc w:val="both"/>
        <w:rPr>
          <w:sz w:val="24"/>
        </w:rPr>
      </w:pPr>
      <w:r>
        <w:rPr>
          <w:sz w:val="24"/>
        </w:rPr>
        <w:t>Indeks Ekspektasi Konsumen mengukur optimisme konsumen</w:t>
      </w:r>
      <w:r>
        <w:rPr>
          <w:spacing w:val="-9"/>
          <w:sz w:val="24"/>
        </w:rPr>
        <w:t> </w:t>
      </w:r>
      <w:r>
        <w:rPr>
          <w:sz w:val="24"/>
        </w:rPr>
        <w:t>terhadap</w:t>
      </w:r>
      <w:r>
        <w:rPr>
          <w:spacing w:val="-9"/>
          <w:sz w:val="24"/>
        </w:rPr>
        <w:t> </w:t>
      </w:r>
      <w:r>
        <w:rPr>
          <w:sz w:val="24"/>
        </w:rPr>
        <w:t>kondisi</w:t>
      </w:r>
      <w:r>
        <w:rPr>
          <w:spacing w:val="-8"/>
          <w:sz w:val="24"/>
        </w:rPr>
        <w:t> </w:t>
      </w:r>
      <w:r>
        <w:rPr>
          <w:sz w:val="24"/>
        </w:rPr>
        <w:t>ekonomi</w:t>
      </w:r>
      <w:r>
        <w:rPr>
          <w:spacing w:val="-8"/>
          <w:sz w:val="24"/>
        </w:rPr>
        <w:t> </w:t>
      </w:r>
      <w:r>
        <w:rPr>
          <w:sz w:val="24"/>
        </w:rPr>
        <w:t>selama</w:t>
      </w:r>
      <w:r>
        <w:rPr>
          <w:spacing w:val="-10"/>
          <w:sz w:val="24"/>
        </w:rPr>
        <w:t> </w:t>
      </w:r>
      <w:r>
        <w:rPr>
          <w:sz w:val="24"/>
        </w:rPr>
        <w:t>enam</w:t>
      </w:r>
      <w:r>
        <w:rPr>
          <w:spacing w:val="-6"/>
          <w:sz w:val="24"/>
        </w:rPr>
        <w:t> </w:t>
      </w:r>
      <w:r>
        <w:rPr>
          <w:sz w:val="24"/>
        </w:rPr>
        <w:t>bulan ke depan, termasuk ekspektasi terhadap pendapatan, kondisi</w:t>
      </w:r>
      <w:r>
        <w:rPr>
          <w:spacing w:val="-11"/>
          <w:sz w:val="24"/>
        </w:rPr>
        <w:t> </w:t>
      </w:r>
      <w:r>
        <w:rPr>
          <w:sz w:val="24"/>
        </w:rPr>
        <w:t>bisnis</w:t>
      </w:r>
      <w:r>
        <w:rPr>
          <w:spacing w:val="-8"/>
          <w:sz w:val="24"/>
        </w:rPr>
        <w:t> </w:t>
      </w:r>
      <w:r>
        <w:rPr>
          <w:sz w:val="24"/>
        </w:rPr>
        <w:t>secara</w:t>
      </w:r>
      <w:r>
        <w:rPr>
          <w:spacing w:val="-9"/>
          <w:sz w:val="24"/>
        </w:rPr>
        <w:t> </w:t>
      </w:r>
      <w:r>
        <w:rPr>
          <w:sz w:val="24"/>
        </w:rPr>
        <w:t>keseluruhan,</w:t>
      </w:r>
      <w:r>
        <w:rPr>
          <w:spacing w:val="-9"/>
          <w:sz w:val="24"/>
        </w:rPr>
        <w:t> </w:t>
      </w:r>
      <w:r>
        <w:rPr>
          <w:sz w:val="24"/>
        </w:rPr>
        <w:t>dan</w:t>
      </w:r>
      <w:r>
        <w:rPr>
          <w:spacing w:val="-10"/>
          <w:sz w:val="24"/>
        </w:rPr>
        <w:t> </w:t>
      </w:r>
      <w:r>
        <w:rPr>
          <w:sz w:val="24"/>
        </w:rPr>
        <w:t>kesempatan</w:t>
      </w:r>
      <w:r>
        <w:rPr>
          <w:spacing w:val="-6"/>
          <w:sz w:val="24"/>
        </w:rPr>
        <w:t> </w:t>
      </w:r>
      <w:r>
        <w:rPr>
          <w:spacing w:val="-2"/>
          <w:sz w:val="24"/>
        </w:rPr>
        <w:t>kerja.</w:t>
      </w:r>
    </w:p>
    <w:p>
      <w:pPr>
        <w:pStyle w:val="ListParagraph"/>
        <w:numPr>
          <w:ilvl w:val="1"/>
          <w:numId w:val="21"/>
        </w:numPr>
        <w:tabs>
          <w:tab w:pos="3624" w:val="left" w:leader="none"/>
        </w:tabs>
        <w:spacing w:line="360" w:lineRule="auto" w:before="0" w:after="0"/>
        <w:ind w:left="3624" w:right="162" w:hanging="360"/>
        <w:jc w:val="both"/>
        <w:rPr>
          <w:sz w:val="24"/>
        </w:rPr>
      </w:pPr>
      <w:r>
        <w:rPr>
          <w:sz w:val="24"/>
        </w:rPr>
        <w:t>Indeks Keyakinan Konsumen dihitung dengan merata- ratakan Indeks Ekspektasi Konsumen dengan Indeks Kondisi Ekonomi Saat Ini.</w:t>
      </w:r>
    </w:p>
    <w:p>
      <w:pPr>
        <w:pStyle w:val="BodyText"/>
        <w:spacing w:line="360" w:lineRule="auto" w:before="160"/>
        <w:ind w:left="3264" w:right="167"/>
        <w:jc w:val="both"/>
      </w:pPr>
      <w:r>
        <w:rPr/>
        <w:t>Berikut ini adalah beberapa contoh pertanyaan survei </w:t>
      </w:r>
      <w:r>
        <w:rPr/>
        <w:t>yang dapat digunakan sebagai panduan:</w:t>
      </w:r>
    </w:p>
    <w:p>
      <w:pPr>
        <w:pStyle w:val="ListParagraph"/>
        <w:numPr>
          <w:ilvl w:val="2"/>
          <w:numId w:val="21"/>
        </w:numPr>
        <w:tabs>
          <w:tab w:pos="3984" w:val="left" w:leader="none"/>
        </w:tabs>
        <w:spacing w:line="360" w:lineRule="auto" w:before="159" w:after="0"/>
        <w:ind w:left="3984" w:right="164" w:hanging="360"/>
        <w:jc w:val="both"/>
        <w:rPr>
          <w:sz w:val="24"/>
        </w:rPr>
      </w:pPr>
      <w:r>
        <w:rPr>
          <w:sz w:val="24"/>
        </w:rPr>
        <w:t>Bagaimana kondisi keuangan sektor rumah tangga selama 12 bulan atau tahun terakhir?</w:t>
      </w:r>
    </w:p>
    <w:p>
      <w:pPr>
        <w:pStyle w:val="ListParagraph"/>
        <w:spacing w:after="0" w:line="360" w:lineRule="auto"/>
        <w:jc w:val="both"/>
        <w:rPr>
          <w:sz w:val="24"/>
        </w:rPr>
        <w:sectPr>
          <w:pgSz w:w="11910" w:h="16840"/>
          <w:pgMar w:header="0" w:footer="1000" w:top="1360" w:bottom="1200" w:left="1417" w:right="1275"/>
        </w:sectPr>
      </w:pPr>
    </w:p>
    <w:p>
      <w:pPr>
        <w:pStyle w:val="ListParagraph"/>
        <w:numPr>
          <w:ilvl w:val="2"/>
          <w:numId w:val="21"/>
        </w:numPr>
        <w:tabs>
          <w:tab w:pos="3984" w:val="left" w:leader="none"/>
        </w:tabs>
        <w:spacing w:line="360" w:lineRule="auto" w:before="60" w:after="0"/>
        <w:ind w:left="3984" w:right="162" w:hanging="360"/>
        <w:jc w:val="both"/>
        <w:rPr>
          <w:sz w:val="24"/>
        </w:rPr>
      </w:pPr>
      <w:r>
        <w:rPr>
          <w:sz w:val="24"/>
        </w:rPr>
        <w:t>Bagaimana</w:t>
      </w:r>
      <w:r>
        <w:rPr>
          <w:spacing w:val="-12"/>
          <w:sz w:val="24"/>
        </w:rPr>
        <w:t> </w:t>
      </w:r>
      <w:r>
        <w:rPr>
          <w:sz w:val="24"/>
        </w:rPr>
        <w:t>proyeksi</w:t>
      </w:r>
      <w:r>
        <w:rPr>
          <w:spacing w:val="-12"/>
          <w:sz w:val="24"/>
        </w:rPr>
        <w:t> </w:t>
      </w:r>
      <w:r>
        <w:rPr>
          <w:sz w:val="24"/>
        </w:rPr>
        <w:t>kondisi</w:t>
      </w:r>
      <w:r>
        <w:rPr>
          <w:spacing w:val="-11"/>
          <w:sz w:val="24"/>
        </w:rPr>
        <w:t> </w:t>
      </w:r>
      <w:r>
        <w:rPr>
          <w:sz w:val="24"/>
        </w:rPr>
        <w:t>keuangan</w:t>
      </w:r>
      <w:r>
        <w:rPr>
          <w:spacing w:val="-10"/>
          <w:sz w:val="24"/>
        </w:rPr>
        <w:t> </w:t>
      </w:r>
      <w:r>
        <w:rPr>
          <w:sz w:val="24"/>
        </w:rPr>
        <w:t>rumah</w:t>
      </w:r>
      <w:r>
        <w:rPr>
          <w:spacing w:val="-12"/>
          <w:sz w:val="24"/>
        </w:rPr>
        <w:t> </w:t>
      </w:r>
      <w:r>
        <w:rPr>
          <w:sz w:val="24"/>
        </w:rPr>
        <w:t>tangga dan potensi perubahan kondisi tersebut di tahun </w:t>
      </w:r>
      <w:r>
        <w:rPr>
          <w:spacing w:val="-2"/>
          <w:sz w:val="24"/>
        </w:rPr>
        <w:t>mendatang?</w:t>
      </w:r>
    </w:p>
    <w:p>
      <w:pPr>
        <w:pStyle w:val="ListParagraph"/>
        <w:numPr>
          <w:ilvl w:val="2"/>
          <w:numId w:val="21"/>
        </w:numPr>
        <w:tabs>
          <w:tab w:pos="3984" w:val="left" w:leader="none"/>
        </w:tabs>
        <w:spacing w:line="360" w:lineRule="auto" w:before="0" w:after="0"/>
        <w:ind w:left="3984" w:right="164" w:hanging="360"/>
        <w:jc w:val="both"/>
        <w:rPr>
          <w:sz w:val="24"/>
        </w:rPr>
      </w:pPr>
      <w:r>
        <w:rPr>
          <w:sz w:val="24"/>
        </w:rPr>
        <w:t>Apa saja perkembangan yang diantisipasi dalam ekonomi domestik selama tahun mendatang?</w:t>
      </w:r>
    </w:p>
    <w:p>
      <w:pPr>
        <w:pStyle w:val="ListParagraph"/>
        <w:numPr>
          <w:ilvl w:val="2"/>
          <w:numId w:val="21"/>
        </w:numPr>
        <w:tabs>
          <w:tab w:pos="3984" w:val="left" w:leader="none"/>
        </w:tabs>
        <w:spacing w:line="360" w:lineRule="auto" w:before="0" w:after="0"/>
        <w:ind w:left="3984" w:right="164" w:hanging="360"/>
        <w:jc w:val="both"/>
        <w:rPr>
          <w:sz w:val="24"/>
        </w:rPr>
      </w:pPr>
      <w:r>
        <w:rPr>
          <w:sz w:val="24"/>
        </w:rPr>
        <w:t>Dengan kondisi ekonomi saat ini, apakah sekarang waktu yang tepat untuk membelanjakan uang </w:t>
      </w:r>
      <w:r>
        <w:rPr>
          <w:sz w:val="24"/>
        </w:rPr>
        <w:t>untuk barang-barang</w:t>
      </w:r>
      <w:r>
        <w:rPr>
          <w:spacing w:val="-1"/>
          <w:sz w:val="24"/>
        </w:rPr>
        <w:t> </w:t>
      </w:r>
      <w:r>
        <w:rPr>
          <w:sz w:val="24"/>
        </w:rPr>
        <w:t>seperti elektronik atau</w:t>
      </w:r>
      <w:r>
        <w:rPr>
          <w:spacing w:val="-1"/>
          <w:sz w:val="24"/>
        </w:rPr>
        <w:t> </w:t>
      </w:r>
      <w:r>
        <w:rPr>
          <w:sz w:val="24"/>
        </w:rPr>
        <w:t>perabot rumah </w:t>
      </w:r>
      <w:r>
        <w:rPr>
          <w:spacing w:val="-2"/>
          <w:sz w:val="24"/>
        </w:rPr>
        <w:t>tangga?</w:t>
      </w:r>
    </w:p>
    <w:p>
      <w:pPr>
        <w:pStyle w:val="BodyText"/>
        <w:spacing w:line="360" w:lineRule="auto" w:before="161"/>
        <w:ind w:left="3624" w:right="162" w:firstLine="360"/>
        <w:jc w:val="both"/>
      </w:pPr>
      <w:r>
        <w:rPr/>
        <w:t>Meskipun</w:t>
      </w:r>
      <w:r>
        <w:rPr>
          <w:spacing w:val="-15"/>
        </w:rPr>
        <w:t> </w:t>
      </w:r>
      <w:r>
        <w:rPr/>
        <w:t>demikian,</w:t>
      </w:r>
      <w:r>
        <w:rPr>
          <w:spacing w:val="-15"/>
        </w:rPr>
        <w:t> </w:t>
      </w:r>
      <w:r>
        <w:rPr/>
        <w:t>pertanyaan-pertanyaan</w:t>
      </w:r>
      <w:r>
        <w:rPr>
          <w:spacing w:val="-15"/>
        </w:rPr>
        <w:t> </w:t>
      </w:r>
      <w:r>
        <w:rPr/>
        <w:t>ini</w:t>
      </w:r>
      <w:r>
        <w:rPr>
          <w:spacing w:val="-15"/>
        </w:rPr>
        <w:t> </w:t>
      </w:r>
      <w:r>
        <w:rPr/>
        <w:t>dapat menjadi rangkuman dasar saat mengevaluasi </w:t>
      </w:r>
      <w:r>
        <w:rPr/>
        <w:t>tingkat kepercayaan pelanggan melalui teknik kuantitatif.</w:t>
      </w:r>
    </w:p>
    <w:p>
      <w:pPr>
        <w:pStyle w:val="Heading2"/>
        <w:numPr>
          <w:ilvl w:val="2"/>
          <w:numId w:val="12"/>
        </w:numPr>
        <w:tabs>
          <w:tab w:pos="1643" w:val="left" w:leader="none"/>
        </w:tabs>
        <w:spacing w:line="240" w:lineRule="auto" w:before="160" w:after="0"/>
        <w:ind w:left="1643" w:right="0" w:hanging="540"/>
        <w:jc w:val="left"/>
      </w:pPr>
      <w:bookmarkStart w:name="_bookmark83" w:id="84"/>
      <w:bookmarkEnd w:id="84"/>
      <w:r>
        <w:rPr>
          <w:b w:val="0"/>
        </w:rPr>
      </w:r>
      <w:r>
        <w:rPr/>
        <w:t>Nilai </w:t>
      </w:r>
      <w:r>
        <w:rPr>
          <w:spacing w:val="-2"/>
        </w:rPr>
        <w:t>Tukar</w:t>
      </w:r>
    </w:p>
    <w:p>
      <w:pPr>
        <w:pStyle w:val="BodyText"/>
        <w:spacing w:before="22"/>
        <w:rPr>
          <w:b/>
        </w:rPr>
      </w:pPr>
    </w:p>
    <w:p>
      <w:pPr>
        <w:pStyle w:val="BodyText"/>
        <w:spacing w:line="360" w:lineRule="auto"/>
        <w:ind w:left="1823" w:right="162" w:firstLine="360"/>
        <w:jc w:val="both"/>
      </w:pPr>
      <w:r>
        <w:rPr/>
        <w:t>Perbandingan nilai atau harga mata uang dua negara dapat digunakan untuk menjelaskan nilai tukar, yang juga dikenal sebagai nilai tukar mata uang, yang merupakan catatan harga pasar mata uang asing dalam harga mata uang domestik, khususnya harga mata uang domestik dan mata uang asing. Penurunan nilai mata uang negara asal terhadap mata uang asing menyebabkan barang-barang ekspor menjadi lebih murah. Permintaan ekspor suatu negara pada akhirnya dapat meningkat sebagai akibat dari keadaan</w:t>
      </w:r>
      <w:r>
        <w:rPr>
          <w:spacing w:val="-6"/>
        </w:rPr>
        <w:t> </w:t>
      </w:r>
      <w:r>
        <w:rPr/>
        <w:t>ini.</w:t>
      </w:r>
      <w:hyperlink w:history="true" w:anchor="_bookmark84">
        <w:r>
          <w:rPr>
            <w:vertAlign w:val="superscript"/>
          </w:rPr>
          <w:t>56</w:t>
        </w:r>
      </w:hyperlink>
      <w:r>
        <w:rPr>
          <w:spacing w:val="-5"/>
          <w:vertAlign w:val="baseline"/>
        </w:rPr>
        <w:t> </w:t>
      </w:r>
      <w:r>
        <w:rPr>
          <w:vertAlign w:val="baseline"/>
        </w:rPr>
        <w:t>Lebih</w:t>
      </w:r>
      <w:r>
        <w:rPr>
          <w:spacing w:val="-5"/>
          <w:vertAlign w:val="baseline"/>
        </w:rPr>
        <w:t> </w:t>
      </w:r>
      <w:r>
        <w:rPr>
          <w:vertAlign w:val="baseline"/>
        </w:rPr>
        <w:t>jauh,</w:t>
      </w:r>
      <w:r>
        <w:rPr>
          <w:spacing w:val="-3"/>
          <w:vertAlign w:val="baseline"/>
        </w:rPr>
        <w:t> </w:t>
      </w:r>
      <w:r>
        <w:rPr>
          <w:vertAlign w:val="baseline"/>
        </w:rPr>
        <w:t>mencari</w:t>
      </w:r>
      <w:r>
        <w:rPr>
          <w:spacing w:val="-6"/>
          <w:vertAlign w:val="baseline"/>
        </w:rPr>
        <w:t> </w:t>
      </w:r>
      <w:r>
        <w:rPr>
          <w:vertAlign w:val="baseline"/>
        </w:rPr>
        <w:t>tahu</w:t>
      </w:r>
      <w:r>
        <w:rPr>
          <w:spacing w:val="-6"/>
          <w:vertAlign w:val="baseline"/>
        </w:rPr>
        <w:t> </w:t>
      </w:r>
      <w:r>
        <w:rPr>
          <w:vertAlign w:val="baseline"/>
        </w:rPr>
        <w:t>berapa</w:t>
      </w:r>
      <w:r>
        <w:rPr>
          <w:spacing w:val="-5"/>
          <w:vertAlign w:val="baseline"/>
        </w:rPr>
        <w:t> </w:t>
      </w:r>
      <w:r>
        <w:rPr>
          <w:vertAlign w:val="baseline"/>
        </w:rPr>
        <w:t>banyak</w:t>
      </w:r>
      <w:r>
        <w:rPr>
          <w:spacing w:val="-6"/>
          <w:vertAlign w:val="baseline"/>
        </w:rPr>
        <w:t> </w:t>
      </w:r>
      <w:r>
        <w:rPr>
          <w:vertAlign w:val="baseline"/>
        </w:rPr>
        <w:t>unit</w:t>
      </w:r>
      <w:r>
        <w:rPr>
          <w:spacing w:val="-5"/>
          <w:vertAlign w:val="baseline"/>
        </w:rPr>
        <w:t> </w:t>
      </w:r>
      <w:r>
        <w:rPr>
          <w:vertAlign w:val="baseline"/>
        </w:rPr>
        <w:t>mata</w:t>
      </w:r>
      <w:r>
        <w:rPr>
          <w:spacing w:val="-7"/>
          <w:vertAlign w:val="baseline"/>
        </w:rPr>
        <w:t> </w:t>
      </w:r>
      <w:r>
        <w:rPr>
          <w:vertAlign w:val="baseline"/>
        </w:rPr>
        <w:t>uang</w:t>
      </w:r>
      <w:r>
        <w:rPr>
          <w:spacing w:val="-6"/>
          <w:vertAlign w:val="baseline"/>
        </w:rPr>
        <w:t> </w:t>
      </w:r>
      <w:r>
        <w:rPr>
          <w:vertAlign w:val="baseline"/>
        </w:rPr>
        <w:t>yang dapat dibeli dengan satu unit mata uang lain adalah cara lain untuk </w:t>
      </w:r>
      <w:r>
        <w:rPr>
          <w:spacing w:val="-2"/>
          <w:vertAlign w:val="baseline"/>
        </w:rPr>
        <w:t>memahami</w:t>
      </w:r>
      <w:r>
        <w:rPr>
          <w:spacing w:val="-3"/>
          <w:vertAlign w:val="baseline"/>
        </w:rPr>
        <w:t> </w:t>
      </w:r>
      <w:r>
        <w:rPr>
          <w:spacing w:val="-2"/>
          <w:vertAlign w:val="baseline"/>
        </w:rPr>
        <w:t>nilai</w:t>
      </w:r>
      <w:r>
        <w:rPr>
          <w:spacing w:val="-3"/>
          <w:vertAlign w:val="baseline"/>
        </w:rPr>
        <w:t> </w:t>
      </w:r>
      <w:r>
        <w:rPr>
          <w:spacing w:val="-2"/>
          <w:vertAlign w:val="baseline"/>
        </w:rPr>
        <w:t>tukar.</w:t>
      </w:r>
      <w:r>
        <w:rPr>
          <w:spacing w:val="-4"/>
          <w:vertAlign w:val="baseline"/>
        </w:rPr>
        <w:t> </w:t>
      </w:r>
      <w:r>
        <w:rPr>
          <w:spacing w:val="-2"/>
          <w:vertAlign w:val="baseline"/>
        </w:rPr>
        <w:t>Dalam</w:t>
      </w:r>
      <w:r>
        <w:rPr>
          <w:spacing w:val="-4"/>
          <w:vertAlign w:val="baseline"/>
        </w:rPr>
        <w:t> </w:t>
      </w:r>
      <w:r>
        <w:rPr>
          <w:spacing w:val="-2"/>
          <w:vertAlign w:val="baseline"/>
        </w:rPr>
        <w:t>hal</w:t>
      </w:r>
      <w:r>
        <w:rPr>
          <w:spacing w:val="-3"/>
          <w:vertAlign w:val="baseline"/>
        </w:rPr>
        <w:t> </w:t>
      </w:r>
      <w:r>
        <w:rPr>
          <w:spacing w:val="-2"/>
          <w:vertAlign w:val="baseline"/>
        </w:rPr>
        <w:t>melakukan</w:t>
      </w:r>
      <w:r>
        <w:rPr>
          <w:spacing w:val="-4"/>
          <w:vertAlign w:val="baseline"/>
        </w:rPr>
        <w:t> </w:t>
      </w:r>
      <w:r>
        <w:rPr>
          <w:spacing w:val="-2"/>
          <w:vertAlign w:val="baseline"/>
        </w:rPr>
        <w:t>perdagangan</w:t>
      </w:r>
      <w:r>
        <w:rPr>
          <w:spacing w:val="-4"/>
          <w:vertAlign w:val="baseline"/>
        </w:rPr>
        <w:t> </w:t>
      </w:r>
      <w:r>
        <w:rPr>
          <w:spacing w:val="-2"/>
          <w:vertAlign w:val="baseline"/>
        </w:rPr>
        <w:t>antarnegara,</w:t>
      </w:r>
      <w:r>
        <w:rPr>
          <w:spacing w:val="-4"/>
          <w:vertAlign w:val="baseline"/>
        </w:rPr>
        <w:t> </w:t>
      </w:r>
      <w:r>
        <w:rPr>
          <w:spacing w:val="-2"/>
          <w:vertAlign w:val="baseline"/>
        </w:rPr>
        <w:t>nilai </w:t>
      </w:r>
      <w:r>
        <w:rPr>
          <w:vertAlign w:val="baseline"/>
        </w:rPr>
        <w:t>tukar</w:t>
      </w:r>
      <w:r>
        <w:rPr>
          <w:spacing w:val="-9"/>
          <w:vertAlign w:val="baseline"/>
        </w:rPr>
        <w:t> </w:t>
      </w:r>
      <w:r>
        <w:rPr>
          <w:vertAlign w:val="baseline"/>
        </w:rPr>
        <w:t>adalah</w:t>
      </w:r>
      <w:r>
        <w:rPr>
          <w:spacing w:val="-9"/>
          <w:vertAlign w:val="baseline"/>
        </w:rPr>
        <w:t> </w:t>
      </w:r>
      <w:r>
        <w:rPr>
          <w:vertAlign w:val="baseline"/>
        </w:rPr>
        <w:t>jumlah</w:t>
      </w:r>
      <w:r>
        <w:rPr>
          <w:spacing w:val="-9"/>
          <w:vertAlign w:val="baseline"/>
        </w:rPr>
        <w:t> </w:t>
      </w:r>
      <w:r>
        <w:rPr>
          <w:vertAlign w:val="baseline"/>
        </w:rPr>
        <w:t>uang</w:t>
      </w:r>
      <w:r>
        <w:rPr>
          <w:spacing w:val="-6"/>
          <w:vertAlign w:val="baseline"/>
        </w:rPr>
        <w:t> </w:t>
      </w:r>
      <w:r>
        <w:rPr>
          <w:vertAlign w:val="baseline"/>
        </w:rPr>
        <w:t>dari</w:t>
      </w:r>
      <w:r>
        <w:rPr>
          <w:spacing w:val="-8"/>
          <w:vertAlign w:val="baseline"/>
        </w:rPr>
        <w:t> </w:t>
      </w:r>
      <w:r>
        <w:rPr>
          <w:vertAlign w:val="baseline"/>
        </w:rPr>
        <w:t>satu</w:t>
      </w:r>
      <w:r>
        <w:rPr>
          <w:spacing w:val="-8"/>
          <w:vertAlign w:val="baseline"/>
        </w:rPr>
        <w:t> </w:t>
      </w:r>
      <w:r>
        <w:rPr>
          <w:vertAlign w:val="baseline"/>
        </w:rPr>
        <w:t>negara</w:t>
      </w:r>
      <w:r>
        <w:rPr>
          <w:spacing w:val="-8"/>
          <w:vertAlign w:val="baseline"/>
        </w:rPr>
        <w:t> </w:t>
      </w:r>
      <w:r>
        <w:rPr>
          <w:vertAlign w:val="baseline"/>
        </w:rPr>
        <w:t>yang</w:t>
      </w:r>
      <w:r>
        <w:rPr>
          <w:spacing w:val="-6"/>
          <w:vertAlign w:val="baseline"/>
        </w:rPr>
        <w:t> </w:t>
      </w:r>
      <w:r>
        <w:rPr>
          <w:vertAlign w:val="baseline"/>
        </w:rPr>
        <w:t>dapat</w:t>
      </w:r>
      <w:r>
        <w:rPr>
          <w:spacing w:val="-8"/>
          <w:vertAlign w:val="baseline"/>
        </w:rPr>
        <w:t> </w:t>
      </w:r>
      <w:r>
        <w:rPr>
          <w:vertAlign w:val="baseline"/>
        </w:rPr>
        <w:t>dipertukarkan</w:t>
      </w:r>
      <w:r>
        <w:rPr>
          <w:spacing w:val="-8"/>
          <w:vertAlign w:val="baseline"/>
        </w:rPr>
        <w:t> </w:t>
      </w:r>
      <w:r>
        <w:rPr>
          <w:vertAlign w:val="baseline"/>
        </w:rPr>
        <w:t>dengan negara lain; permintaan dan penawaran mata uang negara tersebut memengaruhi nilai tukar. Sejak 14 Agustus 1997, Indonesia telah menerapkan sistem nilai tukar mengambang bebas. Dengan adanya mekanisme</w:t>
      </w:r>
      <w:r>
        <w:rPr>
          <w:spacing w:val="34"/>
          <w:vertAlign w:val="baseline"/>
        </w:rPr>
        <w:t> </w:t>
      </w:r>
      <w:r>
        <w:rPr>
          <w:vertAlign w:val="baseline"/>
        </w:rPr>
        <w:t>ini,</w:t>
      </w:r>
      <w:r>
        <w:rPr>
          <w:spacing w:val="38"/>
          <w:vertAlign w:val="baseline"/>
        </w:rPr>
        <w:t> </w:t>
      </w:r>
      <w:r>
        <w:rPr>
          <w:vertAlign w:val="baseline"/>
        </w:rPr>
        <w:t>pasar</w:t>
      </w:r>
      <w:r>
        <w:rPr>
          <w:spacing w:val="37"/>
          <w:vertAlign w:val="baseline"/>
        </w:rPr>
        <w:t> </w:t>
      </w:r>
      <w:r>
        <w:rPr>
          <w:vertAlign w:val="baseline"/>
        </w:rPr>
        <w:t>menentukan</w:t>
      </w:r>
      <w:r>
        <w:rPr>
          <w:spacing w:val="37"/>
          <w:vertAlign w:val="baseline"/>
        </w:rPr>
        <w:t> </w:t>
      </w:r>
      <w:r>
        <w:rPr>
          <w:vertAlign w:val="baseline"/>
        </w:rPr>
        <w:t>nilai</w:t>
      </w:r>
      <w:r>
        <w:rPr>
          <w:spacing w:val="37"/>
          <w:vertAlign w:val="baseline"/>
        </w:rPr>
        <w:t> </w:t>
      </w:r>
      <w:r>
        <w:rPr>
          <w:vertAlign w:val="baseline"/>
        </w:rPr>
        <w:t>tukar</w:t>
      </w:r>
      <w:r>
        <w:rPr>
          <w:spacing w:val="39"/>
          <w:vertAlign w:val="baseline"/>
        </w:rPr>
        <w:t> </w:t>
      </w:r>
      <w:r>
        <w:rPr>
          <w:vertAlign w:val="baseline"/>
        </w:rPr>
        <w:t>rupiah</w:t>
      </w:r>
      <w:r>
        <w:rPr>
          <w:spacing w:val="38"/>
          <w:vertAlign w:val="baseline"/>
        </w:rPr>
        <w:t> </w:t>
      </w:r>
      <w:r>
        <w:rPr>
          <w:vertAlign w:val="baseline"/>
        </w:rPr>
        <w:t>secara</w:t>
      </w:r>
      <w:r>
        <w:rPr>
          <w:spacing w:val="36"/>
          <w:vertAlign w:val="baseline"/>
        </w:rPr>
        <w:t> </w:t>
      </w:r>
      <w:r>
        <w:rPr>
          <w:spacing w:val="-2"/>
          <w:vertAlign w:val="baseline"/>
        </w:rPr>
        <w:t>keseluruhan,</w:t>
      </w:r>
    </w:p>
    <w:p>
      <w:pPr>
        <w:pStyle w:val="BodyText"/>
        <w:rPr>
          <w:sz w:val="20"/>
        </w:rPr>
      </w:pPr>
    </w:p>
    <w:p>
      <w:pPr>
        <w:pStyle w:val="BodyText"/>
        <w:rPr>
          <w:sz w:val="20"/>
        </w:rPr>
      </w:pPr>
    </w:p>
    <w:p>
      <w:pPr>
        <w:pStyle w:val="BodyText"/>
        <w:rPr>
          <w:sz w:val="20"/>
        </w:rPr>
      </w:pPr>
    </w:p>
    <w:p>
      <w:pPr>
        <w:pStyle w:val="BodyText"/>
        <w:spacing w:before="139"/>
        <w:rPr>
          <w:sz w:val="20"/>
        </w:rPr>
      </w:pPr>
      <w:r>
        <w:rPr>
          <w:sz w:val="20"/>
        </w:rPr>
        <mc:AlternateContent>
          <mc:Choice Requires="wps">
            <w:drawing>
              <wp:anchor distT="0" distB="0" distL="0" distR="0" allowOverlap="1" layoutInCell="1" locked="0" behindDoc="1" simplePos="0" relativeHeight="487605248">
                <wp:simplePos x="0" y="0"/>
                <wp:positionH relativeFrom="page">
                  <wp:posOffset>914704</wp:posOffset>
                </wp:positionH>
                <wp:positionV relativeFrom="paragraph">
                  <wp:posOffset>249970</wp:posOffset>
                </wp:positionV>
                <wp:extent cx="1829435" cy="9525"/>
                <wp:effectExtent l="0" t="0" r="0" b="0"/>
                <wp:wrapTopAndBottom/>
                <wp:docPr id="271" name="Graphic 271"/>
                <wp:cNvGraphicFramePr>
                  <a:graphicFrameLocks/>
                </wp:cNvGraphicFramePr>
                <a:graphic>
                  <a:graphicData uri="http://schemas.microsoft.com/office/word/2010/wordprocessingShape">
                    <wps:wsp>
                      <wps:cNvPr id="271" name="Graphic 27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682705pt;width:144.020pt;height:.72003pt;mso-position-horizontal-relative:page;mso-position-vertical-relative:paragraph;z-index:-15711232;mso-wrap-distance-left:0;mso-wrap-distance-right:0" id="docshape243" filled="true" fillcolor="#000000" stroked="false">
                <v:fill type="solid"/>
                <w10:wrap type="topAndBottom"/>
              </v:rect>
            </w:pict>
          </mc:Fallback>
        </mc:AlternateContent>
      </w:r>
    </w:p>
    <w:p>
      <w:pPr>
        <w:tabs>
          <w:tab w:pos="1387" w:val="left" w:leader="none"/>
          <w:tab w:pos="1862" w:val="left" w:leader="none"/>
          <w:tab w:pos="3074" w:val="left" w:leader="none"/>
          <w:tab w:pos="4272" w:val="left" w:leader="none"/>
          <w:tab w:pos="5109" w:val="left" w:leader="none"/>
          <w:tab w:pos="5795" w:val="left" w:leader="none"/>
          <w:tab w:pos="6878" w:val="left" w:leader="none"/>
          <w:tab w:pos="7546" w:val="left" w:leader="none"/>
          <w:tab w:pos="8450" w:val="left" w:leader="none"/>
        </w:tabs>
        <w:spacing w:before="101"/>
        <w:ind w:left="23" w:right="160" w:firstLine="719"/>
        <w:jc w:val="left"/>
        <w:rPr>
          <w:sz w:val="20"/>
        </w:rPr>
      </w:pPr>
      <w:bookmarkStart w:name="_bookmark84" w:id="85"/>
      <w:bookmarkEnd w:id="85"/>
      <w:r>
        <w:rPr/>
      </w:r>
      <w:r>
        <w:rPr>
          <w:sz w:val="20"/>
          <w:vertAlign w:val="superscript"/>
        </w:rPr>
        <w:t>56</w:t>
      </w:r>
      <w:r>
        <w:rPr>
          <w:spacing w:val="-13"/>
          <w:sz w:val="20"/>
          <w:vertAlign w:val="baseline"/>
        </w:rPr>
        <w:t> </w:t>
      </w:r>
      <w:r>
        <w:rPr>
          <w:sz w:val="20"/>
          <w:vertAlign w:val="baseline"/>
        </w:rPr>
        <w:t>Mashilal</w:t>
      </w:r>
      <w:r>
        <w:rPr>
          <w:spacing w:val="-12"/>
          <w:sz w:val="20"/>
          <w:vertAlign w:val="baseline"/>
        </w:rPr>
        <w:t> </w:t>
      </w:r>
      <w:r>
        <w:rPr>
          <w:sz w:val="20"/>
          <w:vertAlign w:val="baseline"/>
        </w:rPr>
        <w:t>and</w:t>
      </w:r>
      <w:r>
        <w:rPr>
          <w:spacing w:val="-11"/>
          <w:sz w:val="20"/>
          <w:vertAlign w:val="baseline"/>
        </w:rPr>
        <w:t> </w:t>
      </w:r>
      <w:r>
        <w:rPr>
          <w:sz w:val="20"/>
          <w:vertAlign w:val="baseline"/>
        </w:rPr>
        <w:t>Rakhmat</w:t>
      </w:r>
      <w:r>
        <w:rPr>
          <w:spacing w:val="-11"/>
          <w:sz w:val="20"/>
          <w:vertAlign w:val="baseline"/>
        </w:rPr>
        <w:t> </w:t>
      </w:r>
      <w:r>
        <w:rPr>
          <w:sz w:val="20"/>
          <w:vertAlign w:val="baseline"/>
        </w:rPr>
        <w:t>Dwi</w:t>
      </w:r>
      <w:r>
        <w:rPr>
          <w:spacing w:val="-11"/>
          <w:sz w:val="20"/>
          <w:vertAlign w:val="baseline"/>
        </w:rPr>
        <w:t> </w:t>
      </w:r>
      <w:r>
        <w:rPr>
          <w:sz w:val="20"/>
          <w:vertAlign w:val="baseline"/>
        </w:rPr>
        <w:t>Pambudi,</w:t>
      </w:r>
      <w:r>
        <w:rPr>
          <w:spacing w:val="-11"/>
          <w:sz w:val="20"/>
          <w:vertAlign w:val="baseline"/>
        </w:rPr>
        <w:t> </w:t>
      </w:r>
      <w:r>
        <w:rPr>
          <w:sz w:val="20"/>
          <w:vertAlign w:val="baseline"/>
        </w:rPr>
        <w:t>‘Depreciation</w:t>
      </w:r>
      <w:r>
        <w:rPr>
          <w:spacing w:val="-11"/>
          <w:sz w:val="20"/>
          <w:vertAlign w:val="baseline"/>
        </w:rPr>
        <w:t> </w:t>
      </w:r>
      <w:r>
        <w:rPr>
          <w:sz w:val="20"/>
          <w:vertAlign w:val="baseline"/>
        </w:rPr>
        <w:t>and</w:t>
      </w:r>
      <w:r>
        <w:rPr>
          <w:spacing w:val="-11"/>
          <w:sz w:val="20"/>
          <w:vertAlign w:val="baseline"/>
        </w:rPr>
        <w:t> </w:t>
      </w:r>
      <w:r>
        <w:rPr>
          <w:sz w:val="20"/>
          <w:vertAlign w:val="baseline"/>
        </w:rPr>
        <w:t>Trade</w:t>
      </w:r>
      <w:r>
        <w:rPr>
          <w:spacing w:val="-11"/>
          <w:sz w:val="20"/>
          <w:vertAlign w:val="baseline"/>
        </w:rPr>
        <w:t> </w:t>
      </w:r>
      <w:r>
        <w:rPr>
          <w:sz w:val="20"/>
          <w:vertAlign w:val="baseline"/>
        </w:rPr>
        <w:t>Balance:</w:t>
      </w:r>
      <w:r>
        <w:rPr>
          <w:spacing w:val="-12"/>
          <w:sz w:val="20"/>
          <w:vertAlign w:val="baseline"/>
        </w:rPr>
        <w:t> </w:t>
      </w:r>
      <w:r>
        <w:rPr>
          <w:sz w:val="20"/>
          <w:vertAlign w:val="baseline"/>
        </w:rPr>
        <w:t>An</w:t>
      </w:r>
      <w:r>
        <w:rPr>
          <w:spacing w:val="-10"/>
          <w:sz w:val="20"/>
          <w:vertAlign w:val="baseline"/>
        </w:rPr>
        <w:t> </w:t>
      </w:r>
      <w:r>
        <w:rPr>
          <w:sz w:val="20"/>
          <w:vertAlign w:val="baseline"/>
        </w:rPr>
        <w:t>Exploration</w:t>
      </w:r>
      <w:r>
        <w:rPr>
          <w:spacing w:val="-13"/>
          <w:sz w:val="20"/>
          <w:vertAlign w:val="baseline"/>
        </w:rPr>
        <w:t> </w:t>
      </w:r>
      <w:r>
        <w:rPr>
          <w:sz w:val="20"/>
          <w:vertAlign w:val="baseline"/>
        </w:rPr>
        <w:t>of</w:t>
      </w:r>
      <w:r>
        <w:rPr>
          <w:spacing w:val="-12"/>
          <w:sz w:val="20"/>
          <w:vertAlign w:val="baseline"/>
        </w:rPr>
        <w:t> </w:t>
      </w:r>
      <w:r>
        <w:rPr>
          <w:sz w:val="20"/>
          <w:vertAlign w:val="baseline"/>
        </w:rPr>
        <w:t>the</w:t>
      </w:r>
      <w:r>
        <w:rPr>
          <w:spacing w:val="-11"/>
          <w:sz w:val="20"/>
          <w:vertAlign w:val="baseline"/>
        </w:rPr>
        <w:t> </w:t>
      </w:r>
      <w:r>
        <w:rPr>
          <w:sz w:val="20"/>
          <w:vertAlign w:val="baseline"/>
        </w:rPr>
        <w:t>J-Curve </w:t>
      </w:r>
      <w:r>
        <w:rPr>
          <w:spacing w:val="-2"/>
          <w:sz w:val="20"/>
          <w:vertAlign w:val="baseline"/>
        </w:rPr>
        <w:t>Phenomenon</w:t>
      </w:r>
      <w:r>
        <w:rPr>
          <w:sz w:val="20"/>
          <w:vertAlign w:val="baseline"/>
        </w:rPr>
        <w:tab/>
      </w:r>
      <w:r>
        <w:rPr>
          <w:spacing w:val="-5"/>
          <w:sz w:val="20"/>
          <w:vertAlign w:val="baseline"/>
        </w:rPr>
        <w:t>in</w:t>
      </w:r>
      <w:r>
        <w:rPr>
          <w:sz w:val="20"/>
          <w:vertAlign w:val="baseline"/>
        </w:rPr>
        <w:tab/>
      </w:r>
      <w:r>
        <w:rPr>
          <w:spacing w:val="-2"/>
          <w:sz w:val="20"/>
          <w:vertAlign w:val="baseline"/>
        </w:rPr>
        <w:t>Indonesia’,</w:t>
      </w:r>
      <w:r>
        <w:rPr>
          <w:sz w:val="20"/>
          <w:vertAlign w:val="baseline"/>
        </w:rPr>
        <w:tab/>
      </w:r>
      <w:r>
        <w:rPr>
          <w:i/>
          <w:spacing w:val="-2"/>
          <w:sz w:val="20"/>
          <w:vertAlign w:val="baseline"/>
        </w:rPr>
        <w:t>Signifikan:</w:t>
      </w:r>
      <w:r>
        <w:rPr>
          <w:i/>
          <w:sz w:val="20"/>
          <w:vertAlign w:val="baseline"/>
        </w:rPr>
        <w:tab/>
      </w:r>
      <w:r>
        <w:rPr>
          <w:i/>
          <w:spacing w:val="-2"/>
          <w:sz w:val="20"/>
          <w:vertAlign w:val="baseline"/>
        </w:rPr>
        <w:t>Jurnal</w:t>
      </w:r>
      <w:r>
        <w:rPr>
          <w:i/>
          <w:sz w:val="20"/>
          <w:vertAlign w:val="baseline"/>
        </w:rPr>
        <w:tab/>
      </w:r>
      <w:r>
        <w:rPr>
          <w:i/>
          <w:spacing w:val="-4"/>
          <w:sz w:val="20"/>
          <w:vertAlign w:val="baseline"/>
        </w:rPr>
        <w:t>Ilmu</w:t>
      </w:r>
      <w:r>
        <w:rPr>
          <w:i/>
          <w:sz w:val="20"/>
          <w:vertAlign w:val="baseline"/>
        </w:rPr>
        <w:tab/>
      </w:r>
      <w:r>
        <w:rPr>
          <w:i/>
          <w:spacing w:val="-2"/>
          <w:sz w:val="20"/>
          <w:vertAlign w:val="baseline"/>
        </w:rPr>
        <w:t>Ekonomi</w:t>
      </w:r>
      <w:r>
        <w:rPr>
          <w:spacing w:val="-2"/>
          <w:sz w:val="20"/>
          <w:vertAlign w:val="baseline"/>
        </w:rPr>
        <w:t>,</w:t>
      </w:r>
      <w:r>
        <w:rPr>
          <w:sz w:val="20"/>
          <w:vertAlign w:val="baseline"/>
        </w:rPr>
        <w:tab/>
      </w:r>
      <w:r>
        <w:rPr>
          <w:spacing w:val="-4"/>
          <w:sz w:val="20"/>
          <w:vertAlign w:val="baseline"/>
        </w:rPr>
        <w:t>13.1</w:t>
      </w:r>
      <w:r>
        <w:rPr>
          <w:sz w:val="20"/>
          <w:vertAlign w:val="baseline"/>
        </w:rPr>
        <w:tab/>
      </w:r>
      <w:r>
        <w:rPr>
          <w:spacing w:val="-2"/>
          <w:sz w:val="20"/>
          <w:vertAlign w:val="baseline"/>
        </w:rPr>
        <w:t>(2024),</w:t>
      </w:r>
      <w:r>
        <w:rPr>
          <w:sz w:val="20"/>
          <w:vertAlign w:val="baseline"/>
        </w:rPr>
        <w:tab/>
      </w:r>
      <w:r>
        <w:rPr>
          <w:spacing w:val="-2"/>
          <w:sz w:val="20"/>
          <w:vertAlign w:val="baseline"/>
        </w:rPr>
        <w:t>143–56</w:t>
      </w:r>
    </w:p>
    <w:p>
      <w:pPr>
        <w:spacing w:before="1"/>
        <w:ind w:left="23" w:right="0" w:firstLine="0"/>
        <w:jc w:val="left"/>
        <w:rPr>
          <w:sz w:val="20"/>
        </w:rPr>
      </w:pPr>
      <w:r>
        <w:rPr>
          <w:spacing w:val="-2"/>
          <w:sz w:val="20"/>
        </w:rPr>
        <w:t>&lt;https://doi.org/10.15408/sjie.v13i1.40972&gt;.</w:t>
      </w:r>
    </w:p>
    <w:p>
      <w:pPr>
        <w:spacing w:after="0"/>
        <w:jc w:val="left"/>
        <w:rPr>
          <w:sz w:val="20"/>
        </w:rPr>
        <w:sectPr>
          <w:pgSz w:w="11910" w:h="16840"/>
          <w:pgMar w:header="0" w:footer="1000" w:top="1360" w:bottom="1200" w:left="1417" w:right="1275"/>
        </w:sectPr>
      </w:pPr>
    </w:p>
    <w:p>
      <w:pPr>
        <w:pStyle w:val="BodyText"/>
        <w:spacing w:line="360" w:lineRule="auto" w:before="60"/>
        <w:ind w:left="1823" w:right="168"/>
        <w:jc w:val="both"/>
      </w:pPr>
      <w:r>
        <w:rPr/>
        <w:t>sehingga nilai tukar yang berlaku secara akurat mencerminkan kekuatan penawaran dan permintaan</w:t>
      </w:r>
      <w:hyperlink w:history="true" w:anchor="_bookmark85">
        <w:r>
          <w:rPr/>
          <w:t>.</w:t>
        </w:r>
        <w:r>
          <w:rPr>
            <w:vertAlign w:val="superscript"/>
          </w:rPr>
          <w:t>57</w:t>
        </w:r>
      </w:hyperlink>
    </w:p>
    <w:p>
      <w:pPr>
        <w:pStyle w:val="BodyText"/>
        <w:spacing w:line="360" w:lineRule="auto" w:before="1"/>
        <w:ind w:left="1823" w:right="160" w:firstLine="360"/>
        <w:jc w:val="both"/>
      </w:pPr>
      <w:r>
        <w:rPr/>
        <w:t>Sejak 14 Agustus 1997, Indonesia telah menerapkan nilai tukar mengambang</w:t>
      </w:r>
      <w:r>
        <w:rPr>
          <w:spacing w:val="-12"/>
        </w:rPr>
        <w:t> </w:t>
      </w:r>
      <w:r>
        <w:rPr/>
        <w:t>bebas,</w:t>
      </w:r>
      <w:r>
        <w:rPr>
          <w:spacing w:val="-11"/>
        </w:rPr>
        <w:t> </w:t>
      </w:r>
      <w:r>
        <w:rPr/>
        <w:t>yang</w:t>
      </w:r>
      <w:r>
        <w:rPr>
          <w:spacing w:val="-12"/>
        </w:rPr>
        <w:t> </w:t>
      </w:r>
      <w:r>
        <w:rPr/>
        <w:t>berarti</w:t>
      </w:r>
      <w:r>
        <w:rPr>
          <w:spacing w:val="-11"/>
        </w:rPr>
        <w:t> </w:t>
      </w:r>
      <w:r>
        <w:rPr/>
        <w:t>bahwa</w:t>
      </w:r>
      <w:r>
        <w:rPr>
          <w:spacing w:val="-13"/>
        </w:rPr>
        <w:t> </w:t>
      </w:r>
      <w:r>
        <w:rPr/>
        <w:t>perubahan</w:t>
      </w:r>
      <w:r>
        <w:rPr>
          <w:spacing w:val="-12"/>
        </w:rPr>
        <w:t> </w:t>
      </w:r>
      <w:r>
        <w:rPr/>
        <w:t>nilai</w:t>
      </w:r>
      <w:r>
        <w:rPr>
          <w:spacing w:val="-11"/>
        </w:rPr>
        <w:t> </w:t>
      </w:r>
      <w:r>
        <w:rPr/>
        <w:t>Rupiah</w:t>
      </w:r>
      <w:r>
        <w:rPr>
          <w:spacing w:val="-12"/>
        </w:rPr>
        <w:t> </w:t>
      </w:r>
      <w:r>
        <w:rPr/>
        <w:t>berdampak pada penawaran dan permintaan tanpa adanya kontrol pemerintah. Di negara-negara</w:t>
      </w:r>
      <w:r>
        <w:rPr>
          <w:spacing w:val="-15"/>
        </w:rPr>
        <w:t> </w:t>
      </w:r>
      <w:r>
        <w:rPr/>
        <w:t>dengan</w:t>
      </w:r>
      <w:r>
        <w:rPr>
          <w:spacing w:val="-15"/>
        </w:rPr>
        <w:t> </w:t>
      </w:r>
      <w:r>
        <w:rPr/>
        <w:t>sistem</w:t>
      </w:r>
      <w:r>
        <w:rPr>
          <w:spacing w:val="-15"/>
        </w:rPr>
        <w:t> </w:t>
      </w:r>
      <w:r>
        <w:rPr/>
        <w:t>nilai</w:t>
      </w:r>
      <w:r>
        <w:rPr>
          <w:spacing w:val="-15"/>
        </w:rPr>
        <w:t> </w:t>
      </w:r>
      <w:r>
        <w:rPr/>
        <w:t>tukar</w:t>
      </w:r>
      <w:r>
        <w:rPr>
          <w:spacing w:val="-15"/>
        </w:rPr>
        <w:t> </w:t>
      </w:r>
      <w:r>
        <w:rPr/>
        <w:t>tetap,</w:t>
      </w:r>
      <w:r>
        <w:rPr>
          <w:spacing w:val="-15"/>
        </w:rPr>
        <w:t> </w:t>
      </w:r>
      <w:r>
        <w:rPr/>
        <w:t>pemerintah</w:t>
      </w:r>
      <w:r>
        <w:rPr>
          <w:spacing w:val="-15"/>
        </w:rPr>
        <w:t> </w:t>
      </w:r>
      <w:r>
        <w:rPr/>
        <w:t>(otoritas</w:t>
      </w:r>
      <w:r>
        <w:rPr>
          <w:spacing w:val="-15"/>
        </w:rPr>
        <w:t> </w:t>
      </w:r>
      <w:r>
        <w:rPr/>
        <w:t>moneter) menetapkan</w:t>
      </w:r>
      <w:r>
        <w:rPr>
          <w:spacing w:val="-15"/>
        </w:rPr>
        <w:t> </w:t>
      </w:r>
      <w:r>
        <w:rPr/>
        <w:t>nilai</w:t>
      </w:r>
      <w:r>
        <w:rPr>
          <w:spacing w:val="-15"/>
        </w:rPr>
        <w:t> </w:t>
      </w:r>
      <w:r>
        <w:rPr/>
        <w:t>tukar;</w:t>
      </w:r>
      <w:r>
        <w:rPr>
          <w:spacing w:val="-15"/>
        </w:rPr>
        <w:t> </w:t>
      </w:r>
      <w:r>
        <w:rPr/>
        <w:t>di</w:t>
      </w:r>
      <w:r>
        <w:rPr>
          <w:spacing w:val="-15"/>
        </w:rPr>
        <w:t> </w:t>
      </w:r>
      <w:r>
        <w:rPr/>
        <w:t>negara-negara</w:t>
      </w:r>
      <w:r>
        <w:rPr>
          <w:spacing w:val="-15"/>
        </w:rPr>
        <w:t> </w:t>
      </w:r>
      <w:r>
        <w:rPr/>
        <w:t>dengan</w:t>
      </w:r>
      <w:r>
        <w:rPr>
          <w:spacing w:val="-15"/>
        </w:rPr>
        <w:t> </w:t>
      </w:r>
      <w:r>
        <w:rPr/>
        <w:t>sistem</w:t>
      </w:r>
      <w:r>
        <w:rPr>
          <w:spacing w:val="-15"/>
        </w:rPr>
        <w:t> </w:t>
      </w:r>
      <w:r>
        <w:rPr/>
        <w:t>nilai</w:t>
      </w:r>
      <w:r>
        <w:rPr>
          <w:spacing w:val="-15"/>
        </w:rPr>
        <w:t> </w:t>
      </w:r>
      <w:r>
        <w:rPr/>
        <w:t>tukar</w:t>
      </w:r>
      <w:r>
        <w:rPr>
          <w:spacing w:val="-15"/>
        </w:rPr>
        <w:t> </w:t>
      </w:r>
      <w:r>
        <w:rPr/>
        <w:t>fleksibel, kebijakan pemerintah dan kekuatan pasar yang berinteraksi (bank umum, perusahaan multinasional, perusahaan manajemen aset, perusahaan asuransi, bank valuta asing, dan bank sentral) menentukan nilai tukar.</w:t>
      </w:r>
    </w:p>
    <w:p>
      <w:pPr>
        <w:pStyle w:val="BodyText"/>
        <w:spacing w:line="360" w:lineRule="auto" w:before="1"/>
        <w:ind w:left="1823" w:right="159" w:firstLine="360"/>
        <w:jc w:val="both"/>
      </w:pPr>
      <w:r>
        <w:rPr/>
        <w:t>Selisih antara nilai mata uang suatu negara dengan mata uang negara lain</w:t>
      </w:r>
      <w:r>
        <w:rPr>
          <w:spacing w:val="-15"/>
        </w:rPr>
        <w:t> </w:t>
      </w:r>
      <w:r>
        <w:rPr/>
        <w:t>disebut</w:t>
      </w:r>
      <w:r>
        <w:rPr>
          <w:spacing w:val="-15"/>
        </w:rPr>
        <w:t> </w:t>
      </w:r>
      <w:r>
        <w:rPr/>
        <w:t>dengan</w:t>
      </w:r>
      <w:r>
        <w:rPr>
          <w:spacing w:val="-15"/>
        </w:rPr>
        <w:t> </w:t>
      </w:r>
      <w:r>
        <w:rPr/>
        <w:t>nilai</w:t>
      </w:r>
      <w:r>
        <w:rPr>
          <w:spacing w:val="-15"/>
        </w:rPr>
        <w:t> </w:t>
      </w:r>
      <w:r>
        <w:rPr/>
        <w:t>tukar</w:t>
      </w:r>
      <w:r>
        <w:rPr>
          <w:spacing w:val="-15"/>
        </w:rPr>
        <w:t> </w:t>
      </w:r>
      <w:r>
        <w:rPr/>
        <w:t>rupiah.</w:t>
      </w:r>
      <w:r>
        <w:rPr>
          <w:spacing w:val="19"/>
        </w:rPr>
        <w:t> </w:t>
      </w:r>
      <w:r>
        <w:rPr/>
        <w:t>Nilai</w:t>
      </w:r>
      <w:r>
        <w:rPr>
          <w:spacing w:val="-15"/>
        </w:rPr>
        <w:t> </w:t>
      </w:r>
      <w:r>
        <w:rPr/>
        <w:t>(apresiasi)</w:t>
      </w:r>
      <w:r>
        <w:rPr>
          <w:spacing w:val="-15"/>
        </w:rPr>
        <w:t> </w:t>
      </w:r>
      <w:r>
        <w:rPr/>
        <w:t>rupiah</w:t>
      </w:r>
      <w:r>
        <w:rPr>
          <w:spacing w:val="-15"/>
        </w:rPr>
        <w:t> </w:t>
      </w:r>
      <w:r>
        <w:rPr/>
        <w:t>akan</w:t>
      </w:r>
      <w:r>
        <w:rPr>
          <w:spacing w:val="-15"/>
        </w:rPr>
        <w:t> </w:t>
      </w:r>
      <w:r>
        <w:rPr/>
        <w:t>menguat terhadap dollar Amerika Serikat apabila nilai tukar yang dikeluarkan lebih kecil dari jumlah dollar Amerika Serikat dibandingkan dengan jumlah rupiah</w:t>
      </w:r>
      <w:r>
        <w:rPr>
          <w:spacing w:val="-15"/>
        </w:rPr>
        <w:t> </w:t>
      </w:r>
      <w:r>
        <w:rPr/>
        <w:t>yang</w:t>
      </w:r>
      <w:r>
        <w:rPr>
          <w:spacing w:val="-15"/>
        </w:rPr>
        <w:t> </w:t>
      </w:r>
      <w:r>
        <w:rPr/>
        <w:t>dikeluarkan</w:t>
      </w:r>
      <w:r>
        <w:rPr>
          <w:spacing w:val="-15"/>
        </w:rPr>
        <w:t> </w:t>
      </w:r>
      <w:r>
        <w:rPr/>
        <w:t>pada</w:t>
      </w:r>
      <w:r>
        <w:rPr>
          <w:spacing w:val="-15"/>
        </w:rPr>
        <w:t> </w:t>
      </w:r>
      <w:r>
        <w:rPr/>
        <w:t>periode</w:t>
      </w:r>
      <w:r>
        <w:rPr>
          <w:spacing w:val="-15"/>
        </w:rPr>
        <w:t> </w:t>
      </w:r>
      <w:r>
        <w:rPr/>
        <w:t>sebelumnya</w:t>
      </w:r>
      <w:r>
        <w:rPr>
          <w:spacing w:val="-15"/>
        </w:rPr>
        <w:t> </w:t>
      </w:r>
      <w:r>
        <w:rPr/>
        <w:t>untuk</w:t>
      </w:r>
      <w:r>
        <w:rPr>
          <w:spacing w:val="-15"/>
        </w:rPr>
        <w:t> </w:t>
      </w:r>
      <w:r>
        <w:rPr/>
        <w:t>memperoleh</w:t>
      </w:r>
      <w:r>
        <w:rPr>
          <w:spacing w:val="-15"/>
        </w:rPr>
        <w:t> </w:t>
      </w:r>
      <w:r>
        <w:rPr/>
        <w:t>dollar Amerika Serikat, begitu pula sebaliknya. Dalam skenario ini, emiten yang terdampak negatif oleh kenaikan dolar akan mengalami penurunan harga saham, dan sebaliknya, emiten yang terdampak negatif oleh kenaikan nilai tukar dolar AS akan mengalami kenaikan harga saham. Kenaikan tajam dolar AS terhadap rupiah Indonesia telah menyebabkan ketidakstabilan di pasar saham emiten dengan utang dolar AS selama penawaran produk emiten; emiten menjual secara lokal, tetapi emiten yang memiliki pangsa pasar ekspor akan diuntungkan oleh apresiasi nilai tukar USD.</w:t>
      </w:r>
    </w:p>
    <w:p>
      <w:pPr>
        <w:pStyle w:val="BodyText"/>
        <w:spacing w:line="276" w:lineRule="exact"/>
        <w:ind w:left="2183"/>
        <w:jc w:val="both"/>
      </w:pPr>
      <w:r>
        <w:rPr/>
        <w:t>Faktor-faktor</w:t>
      </w:r>
      <w:r>
        <w:rPr>
          <w:spacing w:val="-4"/>
        </w:rPr>
        <w:t> </w:t>
      </w:r>
      <w:r>
        <w:rPr/>
        <w:t>yang</w:t>
      </w:r>
      <w:r>
        <w:rPr>
          <w:spacing w:val="-1"/>
        </w:rPr>
        <w:t> </w:t>
      </w:r>
      <w:r>
        <w:rPr/>
        <w:t>Mempengaruhi</w:t>
      </w:r>
      <w:r>
        <w:rPr>
          <w:spacing w:val="-1"/>
        </w:rPr>
        <w:t> </w:t>
      </w:r>
      <w:r>
        <w:rPr/>
        <w:t>Perubahan</w:t>
      </w:r>
      <w:r>
        <w:rPr>
          <w:spacing w:val="-1"/>
        </w:rPr>
        <w:t> </w:t>
      </w:r>
      <w:r>
        <w:rPr/>
        <w:t>Nilai</w:t>
      </w:r>
      <w:r>
        <w:rPr>
          <w:spacing w:val="-1"/>
        </w:rPr>
        <w:t> </w:t>
      </w:r>
      <w:r>
        <w:rPr>
          <w:spacing w:val="-2"/>
        </w:rPr>
        <w:t>Tukar:</w:t>
      </w:r>
    </w:p>
    <w:p>
      <w:pPr>
        <w:pStyle w:val="ListParagraph"/>
        <w:numPr>
          <w:ilvl w:val="3"/>
          <w:numId w:val="12"/>
        </w:numPr>
        <w:tabs>
          <w:tab w:pos="2543" w:val="left" w:leader="none"/>
        </w:tabs>
        <w:spacing w:line="240" w:lineRule="auto" w:before="139" w:after="0"/>
        <w:ind w:left="2543" w:right="0" w:hanging="360"/>
        <w:jc w:val="left"/>
        <w:rPr>
          <w:sz w:val="24"/>
        </w:rPr>
      </w:pPr>
      <w:r>
        <w:rPr>
          <w:sz w:val="24"/>
        </w:rPr>
        <w:t>Faktor</w:t>
      </w:r>
      <w:r>
        <w:rPr>
          <w:spacing w:val="-5"/>
          <w:sz w:val="24"/>
        </w:rPr>
        <w:t> </w:t>
      </w:r>
      <w:r>
        <w:rPr>
          <w:spacing w:val="-2"/>
          <w:sz w:val="24"/>
        </w:rPr>
        <w:t>Utama</w:t>
      </w:r>
    </w:p>
    <w:p>
      <w:pPr>
        <w:pStyle w:val="ListParagraph"/>
        <w:numPr>
          <w:ilvl w:val="4"/>
          <w:numId w:val="12"/>
        </w:numPr>
        <w:tabs>
          <w:tab w:pos="2903" w:val="left" w:leader="none"/>
        </w:tabs>
        <w:spacing w:line="240" w:lineRule="auto" w:before="137" w:after="0"/>
        <w:ind w:left="2903" w:right="0" w:hanging="359"/>
        <w:jc w:val="left"/>
        <w:rPr>
          <w:sz w:val="24"/>
        </w:rPr>
      </w:pPr>
      <w:r>
        <w:rPr>
          <w:spacing w:val="-2"/>
          <w:sz w:val="24"/>
        </w:rPr>
        <w:t>Inflasi</w:t>
      </w:r>
    </w:p>
    <w:p>
      <w:pPr>
        <w:pStyle w:val="ListParagraph"/>
        <w:numPr>
          <w:ilvl w:val="4"/>
          <w:numId w:val="12"/>
        </w:numPr>
        <w:tabs>
          <w:tab w:pos="2903" w:val="left" w:leader="none"/>
        </w:tabs>
        <w:spacing w:line="240" w:lineRule="auto" w:before="139" w:after="0"/>
        <w:ind w:left="2903" w:right="0" w:hanging="359"/>
        <w:jc w:val="left"/>
        <w:rPr>
          <w:sz w:val="24"/>
        </w:rPr>
      </w:pPr>
      <w:r>
        <w:rPr>
          <w:sz w:val="24"/>
        </w:rPr>
        <w:t>Suku </w:t>
      </w:r>
      <w:r>
        <w:rPr>
          <w:spacing w:val="-2"/>
          <w:sz w:val="24"/>
        </w:rPr>
        <w:t>bunga</w:t>
      </w:r>
    </w:p>
    <w:p>
      <w:pPr>
        <w:pStyle w:val="ListParagraph"/>
        <w:numPr>
          <w:ilvl w:val="4"/>
          <w:numId w:val="12"/>
        </w:numPr>
        <w:tabs>
          <w:tab w:pos="2903" w:val="left" w:leader="none"/>
        </w:tabs>
        <w:spacing w:line="240" w:lineRule="auto" w:before="137" w:after="0"/>
        <w:ind w:left="2903" w:right="0" w:hanging="359"/>
        <w:jc w:val="left"/>
        <w:rPr>
          <w:sz w:val="24"/>
        </w:rPr>
      </w:pPr>
      <w:r>
        <w:rPr>
          <w:sz w:val="24"/>
        </w:rPr>
        <w:t>Kesenjangan kekayaan</w:t>
      </w:r>
      <w:r>
        <w:rPr>
          <w:spacing w:val="-2"/>
          <w:sz w:val="24"/>
        </w:rPr>
        <w:t> </w:t>
      </w:r>
      <w:r>
        <w:rPr>
          <w:sz w:val="24"/>
        </w:rPr>
        <w:t>relatif</w:t>
      </w:r>
      <w:r>
        <w:rPr>
          <w:spacing w:val="-2"/>
          <w:sz w:val="24"/>
        </w:rPr>
        <w:t> </w:t>
      </w:r>
      <w:r>
        <w:rPr>
          <w:sz w:val="24"/>
        </w:rPr>
        <w:t>antar</w:t>
      </w:r>
      <w:r>
        <w:rPr>
          <w:spacing w:val="-3"/>
          <w:sz w:val="24"/>
        </w:rPr>
        <w:t> </w:t>
      </w:r>
      <w:r>
        <w:rPr>
          <w:spacing w:val="-2"/>
          <w:sz w:val="24"/>
        </w:rPr>
        <w:t>negara</w:t>
      </w:r>
    </w:p>
    <w:p>
      <w:pPr>
        <w:pStyle w:val="ListParagraph"/>
        <w:numPr>
          <w:ilvl w:val="4"/>
          <w:numId w:val="12"/>
        </w:numPr>
        <w:tabs>
          <w:tab w:pos="2903" w:val="left" w:leader="none"/>
        </w:tabs>
        <w:spacing w:line="240" w:lineRule="auto" w:before="140" w:after="0"/>
        <w:ind w:left="2903" w:right="0" w:hanging="359"/>
        <w:jc w:val="left"/>
        <w:rPr>
          <w:sz w:val="24"/>
        </w:rPr>
      </w:pPr>
      <w:r>
        <w:rPr>
          <w:sz w:val="24"/>
        </w:rPr>
        <w:t>Ekspektasi</w:t>
      </w:r>
      <w:r>
        <w:rPr>
          <w:spacing w:val="-2"/>
          <w:sz w:val="24"/>
        </w:rPr>
        <w:t> pasar</w:t>
      </w:r>
    </w:p>
    <w:p>
      <w:pPr>
        <w:pStyle w:val="ListParagraph"/>
        <w:numPr>
          <w:ilvl w:val="4"/>
          <w:numId w:val="12"/>
        </w:numPr>
        <w:tabs>
          <w:tab w:pos="2903" w:val="left" w:leader="none"/>
        </w:tabs>
        <w:spacing w:line="240" w:lineRule="auto" w:before="137" w:after="0"/>
        <w:ind w:left="2903" w:right="0" w:hanging="359"/>
        <w:jc w:val="left"/>
        <w:rPr>
          <w:sz w:val="24"/>
        </w:rPr>
      </w:pPr>
      <w:r>
        <w:rPr>
          <w:sz w:val="24"/>
        </w:rPr>
        <w:t>Tindakan</w:t>
      </w:r>
      <w:r>
        <w:rPr>
          <w:spacing w:val="-2"/>
          <w:sz w:val="24"/>
        </w:rPr>
        <w:t> </w:t>
      </w:r>
      <w:r>
        <w:rPr>
          <w:sz w:val="24"/>
        </w:rPr>
        <w:t>bank</w:t>
      </w:r>
      <w:r>
        <w:rPr>
          <w:spacing w:val="-2"/>
          <w:sz w:val="24"/>
        </w:rPr>
        <w:t> sentral</w:t>
      </w:r>
    </w:p>
    <w:p>
      <w:pPr>
        <w:pStyle w:val="BodyText"/>
        <w:rPr>
          <w:sz w:val="20"/>
        </w:rPr>
      </w:pPr>
    </w:p>
    <w:p>
      <w:pPr>
        <w:pStyle w:val="BodyText"/>
        <w:rPr>
          <w:sz w:val="20"/>
        </w:rPr>
      </w:pPr>
    </w:p>
    <w:p>
      <w:pPr>
        <w:pStyle w:val="BodyText"/>
        <w:spacing w:before="157"/>
        <w:rPr>
          <w:sz w:val="20"/>
        </w:rPr>
      </w:pPr>
      <w:r>
        <w:rPr>
          <w:sz w:val="20"/>
        </w:rPr>
        <mc:AlternateContent>
          <mc:Choice Requires="wps">
            <w:drawing>
              <wp:anchor distT="0" distB="0" distL="0" distR="0" allowOverlap="1" layoutInCell="1" locked="0" behindDoc="1" simplePos="0" relativeHeight="487605760">
                <wp:simplePos x="0" y="0"/>
                <wp:positionH relativeFrom="page">
                  <wp:posOffset>914704</wp:posOffset>
                </wp:positionH>
                <wp:positionV relativeFrom="paragraph">
                  <wp:posOffset>261590</wp:posOffset>
                </wp:positionV>
                <wp:extent cx="1829435" cy="9525"/>
                <wp:effectExtent l="0" t="0" r="0" b="0"/>
                <wp:wrapTopAndBottom/>
                <wp:docPr id="272" name="Graphic 272"/>
                <wp:cNvGraphicFramePr>
                  <a:graphicFrameLocks/>
                </wp:cNvGraphicFramePr>
                <a:graphic>
                  <a:graphicData uri="http://schemas.microsoft.com/office/word/2010/wordprocessingShape">
                    <wps:wsp>
                      <wps:cNvPr id="272" name="Graphic 272"/>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597677pt;width:144.020pt;height:.72003pt;mso-position-horizontal-relative:page;mso-position-vertical-relative:paragraph;z-index:-15710720;mso-wrap-distance-left:0;mso-wrap-distance-right:0" id="docshape244" filled="true" fillcolor="#000000" stroked="false">
                <v:fill type="solid"/>
                <w10:wrap type="topAndBottom"/>
              </v:rect>
            </w:pict>
          </mc:Fallback>
        </mc:AlternateContent>
      </w:r>
    </w:p>
    <w:p>
      <w:pPr>
        <w:spacing w:before="101"/>
        <w:ind w:left="23" w:right="160" w:firstLine="719"/>
        <w:jc w:val="both"/>
        <w:rPr>
          <w:sz w:val="20"/>
        </w:rPr>
      </w:pPr>
      <w:bookmarkStart w:name="_bookmark85" w:id="86"/>
      <w:bookmarkEnd w:id="86"/>
      <w:r>
        <w:rPr/>
      </w:r>
      <w:r>
        <w:rPr>
          <w:sz w:val="20"/>
          <w:vertAlign w:val="superscript"/>
        </w:rPr>
        <w:t>57</w:t>
      </w:r>
      <w:r>
        <w:rPr>
          <w:sz w:val="20"/>
          <w:vertAlign w:val="baseline"/>
        </w:rPr>
        <w:t> Mukhlisul Muzahid and others, ‘Analisa Pengaruh Nilai Tukar, Inflasi, Suku Bunga Dan Sertifikat Bank Indonesia Syariah Terhadap Indeks Saham Syariah Indonesia’, </w:t>
      </w:r>
      <w:r>
        <w:rPr>
          <w:i/>
          <w:sz w:val="20"/>
          <w:vertAlign w:val="baseline"/>
        </w:rPr>
        <w:t>Ekonis: Jurnal Ekonomi Dan Bisnis</w:t>
      </w:r>
      <w:r>
        <w:rPr>
          <w:sz w:val="20"/>
          <w:vertAlign w:val="baseline"/>
        </w:rPr>
        <w:t>, 24.2 (2023) &lt;https://doi.org/10.30811/ekonis.v24i2.3637&gt;.</w:t>
      </w:r>
    </w:p>
    <w:p>
      <w:pPr>
        <w:spacing w:after="0"/>
        <w:jc w:val="both"/>
        <w:rPr>
          <w:sz w:val="20"/>
        </w:rPr>
        <w:sectPr>
          <w:pgSz w:w="11910" w:h="16840"/>
          <w:pgMar w:header="0" w:footer="1000" w:top="1360" w:bottom="1200" w:left="1417" w:right="1275"/>
        </w:sectPr>
      </w:pPr>
    </w:p>
    <w:p>
      <w:pPr>
        <w:pStyle w:val="ListParagraph"/>
        <w:numPr>
          <w:ilvl w:val="3"/>
          <w:numId w:val="12"/>
        </w:numPr>
        <w:tabs>
          <w:tab w:pos="2543" w:val="left" w:leader="none"/>
        </w:tabs>
        <w:spacing w:line="240" w:lineRule="auto" w:before="60" w:after="0"/>
        <w:ind w:left="2543" w:right="0" w:hanging="360"/>
        <w:jc w:val="both"/>
        <w:rPr>
          <w:sz w:val="24"/>
        </w:rPr>
      </w:pPr>
      <w:r>
        <w:rPr>
          <w:sz w:val="24"/>
        </w:rPr>
        <w:t>Aspek</w:t>
      </w:r>
      <w:r>
        <w:rPr>
          <w:spacing w:val="-2"/>
          <w:sz w:val="24"/>
        </w:rPr>
        <w:t> Teknis</w:t>
      </w:r>
    </w:p>
    <w:p>
      <w:pPr>
        <w:pStyle w:val="BodyText"/>
        <w:spacing w:line="360" w:lineRule="auto" w:before="138"/>
        <w:ind w:left="2544" w:right="162" w:firstLine="360"/>
        <w:jc w:val="both"/>
      </w:pPr>
      <w:r>
        <w:rPr/>
        <w:t>Aspek teknis ini terkait dengan penawaran dan permintaan valuta asing pada saat tertentu. Jika penawaran tetap sama tetapi permintaan tinggi, nilai tukar mata uang asing akan naik, dan </w:t>
      </w:r>
      <w:r>
        <w:rPr>
          <w:spacing w:val="-2"/>
        </w:rPr>
        <w:t>sebaliknya.</w:t>
      </w:r>
    </w:p>
    <w:p>
      <w:pPr>
        <w:pStyle w:val="ListParagraph"/>
        <w:numPr>
          <w:ilvl w:val="3"/>
          <w:numId w:val="12"/>
        </w:numPr>
        <w:tabs>
          <w:tab w:pos="2543" w:val="left" w:leader="none"/>
        </w:tabs>
        <w:spacing w:line="240" w:lineRule="auto" w:before="0" w:after="0"/>
        <w:ind w:left="2543" w:right="0" w:hanging="360"/>
        <w:jc w:val="both"/>
        <w:rPr>
          <w:sz w:val="24"/>
        </w:rPr>
      </w:pPr>
      <w:r>
        <w:rPr>
          <w:sz w:val="24"/>
        </w:rPr>
        <w:t>Sentimen</w:t>
      </w:r>
      <w:r>
        <w:rPr>
          <w:spacing w:val="-1"/>
          <w:sz w:val="24"/>
        </w:rPr>
        <w:t> </w:t>
      </w:r>
      <w:r>
        <w:rPr>
          <w:spacing w:val="-4"/>
          <w:sz w:val="24"/>
        </w:rPr>
        <w:t>Pasar</w:t>
      </w:r>
    </w:p>
    <w:p>
      <w:pPr>
        <w:pStyle w:val="BodyText"/>
        <w:tabs>
          <w:tab w:pos="3628" w:val="left" w:leader="none"/>
          <w:tab w:pos="4727" w:val="left" w:leader="none"/>
          <w:tab w:pos="5648" w:val="left" w:leader="none"/>
          <w:tab w:pos="6746" w:val="left" w:leader="none"/>
          <w:tab w:pos="8112" w:val="left" w:leader="none"/>
        </w:tabs>
        <w:spacing w:line="360" w:lineRule="auto" w:before="139"/>
        <w:ind w:left="2544" w:right="159" w:firstLine="360"/>
        <w:jc w:val="right"/>
      </w:pPr>
      <w:r>
        <w:rPr/>
        <w:t>Sentimen pasar ini terutama disebabkan oleh rumor atau berita politik</w:t>
      </w:r>
      <w:r>
        <w:rPr>
          <w:spacing w:val="35"/>
        </w:rPr>
        <w:t> </w:t>
      </w:r>
      <w:r>
        <w:rPr/>
        <w:t>yang</w:t>
      </w:r>
      <w:r>
        <w:rPr>
          <w:spacing w:val="35"/>
        </w:rPr>
        <w:t> </w:t>
      </w:r>
      <w:r>
        <w:rPr/>
        <w:t>tidak</w:t>
      </w:r>
      <w:r>
        <w:rPr>
          <w:spacing w:val="35"/>
        </w:rPr>
        <w:t> </w:t>
      </w:r>
      <w:r>
        <w:rPr/>
        <w:t>terkait,</w:t>
      </w:r>
      <w:r>
        <w:rPr>
          <w:spacing w:val="36"/>
        </w:rPr>
        <w:t> </w:t>
      </w:r>
      <w:r>
        <w:rPr/>
        <w:t>yang</w:t>
      </w:r>
      <w:r>
        <w:rPr>
          <w:spacing w:val="35"/>
        </w:rPr>
        <w:t> </w:t>
      </w:r>
      <w:r>
        <w:rPr/>
        <w:t>berpotensi</w:t>
      </w:r>
      <w:r>
        <w:rPr>
          <w:spacing w:val="36"/>
        </w:rPr>
        <w:t> </w:t>
      </w:r>
      <w:r>
        <w:rPr/>
        <w:t>menciptakan</w:t>
      </w:r>
      <w:r>
        <w:rPr>
          <w:spacing w:val="35"/>
        </w:rPr>
        <w:t> </w:t>
      </w:r>
      <w:r>
        <w:rPr/>
        <w:t>kenaikan atau</w:t>
      </w:r>
      <w:r>
        <w:rPr>
          <w:spacing w:val="-15"/>
        </w:rPr>
        <w:t> </w:t>
      </w:r>
      <w:r>
        <w:rPr/>
        <w:t>penurunan</w:t>
      </w:r>
      <w:r>
        <w:rPr>
          <w:spacing w:val="-15"/>
        </w:rPr>
        <w:t> </w:t>
      </w:r>
      <w:r>
        <w:rPr/>
        <w:t>dramatis</w:t>
      </w:r>
      <w:r>
        <w:rPr>
          <w:spacing w:val="-15"/>
        </w:rPr>
        <w:t> </w:t>
      </w:r>
      <w:r>
        <w:rPr/>
        <w:t>dalam</w:t>
      </w:r>
      <w:r>
        <w:rPr>
          <w:spacing w:val="-15"/>
        </w:rPr>
        <w:t> </w:t>
      </w:r>
      <w:r>
        <w:rPr/>
        <w:t>jangka</w:t>
      </w:r>
      <w:r>
        <w:rPr>
          <w:spacing w:val="-15"/>
        </w:rPr>
        <w:t> </w:t>
      </w:r>
      <w:r>
        <w:rPr/>
        <w:t>pendek</w:t>
      </w:r>
      <w:r>
        <w:rPr>
          <w:spacing w:val="-15"/>
        </w:rPr>
        <w:t> </w:t>
      </w:r>
      <w:r>
        <w:rPr/>
        <w:t>pada</w:t>
      </w:r>
      <w:r>
        <w:rPr>
          <w:spacing w:val="-15"/>
        </w:rPr>
        <w:t> </w:t>
      </w:r>
      <w:r>
        <w:rPr/>
        <w:t>harga</w:t>
      </w:r>
      <w:r>
        <w:rPr>
          <w:spacing w:val="-15"/>
        </w:rPr>
        <w:t> </w:t>
      </w:r>
      <w:r>
        <w:rPr/>
        <w:t>mata</w:t>
      </w:r>
      <w:r>
        <w:rPr>
          <w:spacing w:val="-15"/>
        </w:rPr>
        <w:t> </w:t>
      </w:r>
      <w:r>
        <w:rPr/>
        <w:t>uang asing.</w:t>
      </w:r>
      <w:r>
        <w:rPr>
          <w:spacing w:val="-9"/>
        </w:rPr>
        <w:t> </w:t>
      </w:r>
      <w:r>
        <w:rPr/>
        <w:t>Jika</w:t>
      </w:r>
      <w:r>
        <w:rPr>
          <w:spacing w:val="-9"/>
        </w:rPr>
        <w:t> </w:t>
      </w:r>
      <w:r>
        <w:rPr/>
        <w:t>berita</w:t>
      </w:r>
      <w:r>
        <w:rPr>
          <w:spacing w:val="-10"/>
        </w:rPr>
        <w:t> </w:t>
      </w:r>
      <w:r>
        <w:rPr/>
        <w:t>atau</w:t>
      </w:r>
      <w:r>
        <w:rPr>
          <w:spacing w:val="-10"/>
        </w:rPr>
        <w:t> </w:t>
      </w:r>
      <w:r>
        <w:rPr/>
        <w:t>rumor</w:t>
      </w:r>
      <w:r>
        <w:rPr>
          <w:spacing w:val="-10"/>
        </w:rPr>
        <w:t> </w:t>
      </w:r>
      <w:r>
        <w:rPr/>
        <w:t>tersebut</w:t>
      </w:r>
      <w:r>
        <w:rPr>
          <w:spacing w:val="-9"/>
        </w:rPr>
        <w:t> </w:t>
      </w:r>
      <w:r>
        <w:rPr/>
        <w:t>mereda,</w:t>
      </w:r>
      <w:r>
        <w:rPr>
          <w:spacing w:val="-9"/>
        </w:rPr>
        <w:t> </w:t>
      </w:r>
      <w:r>
        <w:rPr/>
        <w:t>nilai</w:t>
      </w:r>
      <w:r>
        <w:rPr>
          <w:spacing w:val="-9"/>
        </w:rPr>
        <w:t> </w:t>
      </w:r>
      <w:r>
        <w:rPr/>
        <w:t>tukar</w:t>
      </w:r>
      <w:r>
        <w:rPr>
          <w:spacing w:val="-10"/>
        </w:rPr>
        <w:t> </w:t>
      </w:r>
      <w:r>
        <w:rPr/>
        <w:t>akan</w:t>
      </w:r>
      <w:r>
        <w:rPr>
          <w:spacing w:val="-9"/>
        </w:rPr>
        <w:t> </w:t>
      </w:r>
      <w:r>
        <w:rPr/>
        <w:t>stabil. Pilihan</w:t>
      </w:r>
      <w:r>
        <w:rPr>
          <w:spacing w:val="80"/>
        </w:rPr>
        <w:t> </w:t>
      </w:r>
      <w:r>
        <w:rPr/>
        <w:t>sistem</w:t>
      </w:r>
      <w:r>
        <w:rPr>
          <w:spacing w:val="80"/>
        </w:rPr>
        <w:t> </w:t>
      </w:r>
      <w:r>
        <w:rPr/>
        <w:t>nilai</w:t>
      </w:r>
      <w:r>
        <w:rPr>
          <w:spacing w:val="80"/>
        </w:rPr>
        <w:t> </w:t>
      </w:r>
      <w:r>
        <w:rPr/>
        <w:t>tukar</w:t>
      </w:r>
      <w:r>
        <w:rPr>
          <w:spacing w:val="80"/>
        </w:rPr>
        <w:t> </w:t>
      </w:r>
      <w:r>
        <w:rPr/>
        <w:t>sebagian</w:t>
      </w:r>
      <w:r>
        <w:rPr>
          <w:spacing w:val="80"/>
        </w:rPr>
        <w:t> </w:t>
      </w:r>
      <w:r>
        <w:rPr/>
        <w:t>besar</w:t>
      </w:r>
      <w:r>
        <w:rPr>
          <w:spacing w:val="80"/>
        </w:rPr>
        <w:t> </w:t>
      </w:r>
      <w:r>
        <w:rPr/>
        <w:t>ditentukan</w:t>
      </w:r>
      <w:r>
        <w:rPr>
          <w:spacing w:val="80"/>
        </w:rPr>
        <w:t> </w:t>
      </w:r>
      <w:r>
        <w:rPr/>
        <w:t>oleh sejumlah</w:t>
      </w:r>
      <w:r>
        <w:rPr>
          <w:spacing w:val="40"/>
        </w:rPr>
        <w:t> </w:t>
      </w:r>
      <w:r>
        <w:rPr/>
        <w:t>faktor,</w:t>
      </w:r>
      <w:r>
        <w:rPr>
          <w:spacing w:val="40"/>
        </w:rPr>
        <w:t> </w:t>
      </w:r>
      <w:r>
        <w:rPr/>
        <w:t>seperti</w:t>
      </w:r>
      <w:r>
        <w:rPr>
          <w:spacing w:val="40"/>
        </w:rPr>
        <w:t> </w:t>
      </w:r>
      <w:r>
        <w:rPr/>
        <w:t>seberapa</w:t>
      </w:r>
      <w:r>
        <w:rPr>
          <w:spacing w:val="40"/>
        </w:rPr>
        <w:t> </w:t>
      </w:r>
      <w:r>
        <w:rPr/>
        <w:t>terbuka</w:t>
      </w:r>
      <w:r>
        <w:rPr>
          <w:spacing w:val="40"/>
        </w:rPr>
        <w:t> </w:t>
      </w:r>
      <w:r>
        <w:rPr/>
        <w:t>ekonomi</w:t>
      </w:r>
      <w:r>
        <w:rPr>
          <w:spacing w:val="40"/>
        </w:rPr>
        <w:t> </w:t>
      </w:r>
      <w:r>
        <w:rPr/>
        <w:t>suatu</w:t>
      </w:r>
      <w:r>
        <w:rPr>
          <w:spacing w:val="40"/>
        </w:rPr>
        <w:t> </w:t>
      </w:r>
      <w:r>
        <w:rPr/>
        <w:t>negara </w:t>
      </w:r>
      <w:r>
        <w:rPr>
          <w:spacing w:val="-2"/>
        </w:rPr>
        <w:t>terhadap</w:t>
      </w:r>
      <w:r>
        <w:rPr/>
        <w:tab/>
      </w:r>
      <w:r>
        <w:rPr>
          <w:spacing w:val="-2"/>
        </w:rPr>
        <w:t>ekonomi</w:t>
      </w:r>
      <w:r>
        <w:rPr/>
        <w:tab/>
      </w:r>
      <w:r>
        <w:rPr>
          <w:spacing w:val="-2"/>
        </w:rPr>
        <w:t>global,</w:t>
      </w:r>
      <w:r>
        <w:rPr/>
        <w:tab/>
      </w:r>
      <w:r>
        <w:rPr>
          <w:spacing w:val="-2"/>
        </w:rPr>
        <w:t>seberapa</w:t>
      </w:r>
      <w:r>
        <w:rPr/>
        <w:tab/>
      </w:r>
      <w:r>
        <w:rPr>
          <w:spacing w:val="-2"/>
        </w:rPr>
        <w:t>independen</w:t>
      </w:r>
      <w:r>
        <w:rPr/>
        <w:tab/>
      </w:r>
      <w:r>
        <w:rPr>
          <w:spacing w:val="-2"/>
        </w:rPr>
        <w:t>kebijakan </w:t>
      </w:r>
      <w:r>
        <w:rPr/>
        <w:t>ekonominya,</w:t>
      </w:r>
      <w:r>
        <w:rPr>
          <w:spacing w:val="-15"/>
        </w:rPr>
        <w:t> </w:t>
      </w:r>
      <w:r>
        <w:rPr/>
        <w:t>dan</w:t>
      </w:r>
      <w:r>
        <w:rPr>
          <w:spacing w:val="-15"/>
        </w:rPr>
        <w:t> </w:t>
      </w:r>
      <w:r>
        <w:rPr/>
        <w:t>aktivitas</w:t>
      </w:r>
      <w:r>
        <w:rPr>
          <w:spacing w:val="-15"/>
        </w:rPr>
        <w:t> </w:t>
      </w:r>
      <w:r>
        <w:rPr/>
        <w:t>ekonomi</w:t>
      </w:r>
      <w:r>
        <w:rPr>
          <w:spacing w:val="-13"/>
        </w:rPr>
        <w:t> </w:t>
      </w:r>
      <w:r>
        <w:rPr/>
        <w:t>nasional.</w:t>
      </w:r>
      <w:r>
        <w:rPr>
          <w:spacing w:val="-15"/>
        </w:rPr>
        <w:t> </w:t>
      </w:r>
      <w:r>
        <w:rPr/>
        <w:t>Secara</w:t>
      </w:r>
      <w:r>
        <w:rPr>
          <w:spacing w:val="-15"/>
        </w:rPr>
        <w:t> </w:t>
      </w:r>
      <w:r>
        <w:rPr/>
        <w:t>umum,</w:t>
      </w:r>
      <w:r>
        <w:rPr>
          <w:spacing w:val="-15"/>
        </w:rPr>
        <w:t> </w:t>
      </w:r>
      <w:r>
        <w:rPr/>
        <w:t>ada</w:t>
      </w:r>
      <w:r>
        <w:rPr>
          <w:spacing w:val="-15"/>
        </w:rPr>
        <w:t> </w:t>
      </w:r>
      <w:r>
        <w:rPr/>
        <w:t>tiga kategori</w:t>
      </w:r>
      <w:r>
        <w:rPr>
          <w:spacing w:val="-1"/>
        </w:rPr>
        <w:t> </w:t>
      </w:r>
      <w:r>
        <w:rPr/>
        <w:t>yang</w:t>
      </w:r>
      <w:r>
        <w:rPr>
          <w:spacing w:val="-1"/>
        </w:rPr>
        <w:t> </w:t>
      </w:r>
      <w:r>
        <w:rPr/>
        <w:t>dapat dibagi</w:t>
      </w:r>
      <w:r>
        <w:rPr>
          <w:spacing w:val="-1"/>
        </w:rPr>
        <w:t> </w:t>
      </w:r>
      <w:r>
        <w:rPr/>
        <w:t>ke dalam</w:t>
      </w:r>
      <w:r>
        <w:rPr>
          <w:spacing w:val="-1"/>
        </w:rPr>
        <w:t> </w:t>
      </w:r>
      <w:r>
        <w:rPr/>
        <w:t>sistem penentuan</w:t>
      </w:r>
      <w:r>
        <w:rPr>
          <w:spacing w:val="-1"/>
        </w:rPr>
        <w:t> </w:t>
      </w:r>
      <w:r>
        <w:rPr/>
        <w:t>nilai </w:t>
      </w:r>
      <w:r>
        <w:rPr>
          <w:spacing w:val="-2"/>
        </w:rPr>
        <w:t>tukar:</w:t>
      </w:r>
      <w:hyperlink w:history="true" w:anchor="_bookmark86">
        <w:r>
          <w:rPr>
            <w:spacing w:val="-2"/>
            <w:vertAlign w:val="superscript"/>
          </w:rPr>
          <w:t>58</w:t>
        </w:r>
      </w:hyperlink>
    </w:p>
    <w:p>
      <w:pPr>
        <w:pStyle w:val="ListParagraph"/>
        <w:numPr>
          <w:ilvl w:val="4"/>
          <w:numId w:val="12"/>
        </w:numPr>
        <w:tabs>
          <w:tab w:pos="3623" w:val="left" w:leader="none"/>
        </w:tabs>
        <w:spacing w:line="276" w:lineRule="exact" w:before="0" w:after="0"/>
        <w:ind w:left="3623" w:right="0" w:hanging="359"/>
        <w:jc w:val="both"/>
        <w:rPr>
          <w:sz w:val="24"/>
        </w:rPr>
      </w:pPr>
      <w:r>
        <w:rPr>
          <w:sz w:val="24"/>
        </w:rPr>
        <w:t>Sistem</w:t>
      </w:r>
      <w:r>
        <w:rPr>
          <w:spacing w:val="-4"/>
          <w:sz w:val="24"/>
        </w:rPr>
        <w:t> </w:t>
      </w:r>
      <w:r>
        <w:rPr>
          <w:sz w:val="24"/>
        </w:rPr>
        <w:t>Kurs</w:t>
      </w:r>
      <w:r>
        <w:rPr>
          <w:spacing w:val="-2"/>
          <w:sz w:val="24"/>
        </w:rPr>
        <w:t> </w:t>
      </w:r>
      <w:r>
        <w:rPr>
          <w:sz w:val="24"/>
        </w:rPr>
        <w:t>Tetap</w:t>
      </w:r>
      <w:r>
        <w:rPr>
          <w:spacing w:val="-1"/>
          <w:sz w:val="24"/>
        </w:rPr>
        <w:t> </w:t>
      </w:r>
      <w:r>
        <w:rPr>
          <w:sz w:val="24"/>
        </w:rPr>
        <w:t>(</w:t>
      </w:r>
      <w:r>
        <w:rPr>
          <w:i/>
          <w:sz w:val="24"/>
        </w:rPr>
        <w:t>fixed</w:t>
      </w:r>
      <w:r>
        <w:rPr>
          <w:i/>
          <w:spacing w:val="1"/>
          <w:sz w:val="24"/>
        </w:rPr>
        <w:t> </w:t>
      </w:r>
      <w:r>
        <w:rPr>
          <w:i/>
          <w:sz w:val="24"/>
        </w:rPr>
        <w:t>exchange</w:t>
      </w:r>
      <w:r>
        <w:rPr>
          <w:i/>
          <w:spacing w:val="-2"/>
          <w:sz w:val="24"/>
        </w:rPr>
        <w:t> rate</w:t>
      </w:r>
      <w:r>
        <w:rPr>
          <w:spacing w:val="-2"/>
          <w:sz w:val="24"/>
        </w:rPr>
        <w:t>)</w:t>
      </w:r>
    </w:p>
    <w:p>
      <w:pPr>
        <w:pStyle w:val="BodyText"/>
        <w:spacing w:line="360" w:lineRule="auto" w:before="139"/>
        <w:ind w:left="3624" w:right="162" w:firstLine="720"/>
        <w:jc w:val="both"/>
      </w:pPr>
      <w:r>
        <w:rPr/>
        <w:t>Di bawah pengaturan ini, Bank Sentral menetapkan</w:t>
      </w:r>
      <w:r>
        <w:rPr>
          <w:spacing w:val="-8"/>
        </w:rPr>
        <w:t> </w:t>
      </w:r>
      <w:r>
        <w:rPr/>
        <w:t>atau</w:t>
      </w:r>
      <w:r>
        <w:rPr>
          <w:spacing w:val="-8"/>
        </w:rPr>
        <w:t> </w:t>
      </w:r>
      <w:r>
        <w:rPr/>
        <w:t>“mematok”</w:t>
      </w:r>
      <w:r>
        <w:rPr>
          <w:spacing w:val="-9"/>
        </w:rPr>
        <w:t> </w:t>
      </w:r>
      <w:r>
        <w:rPr/>
        <w:t>nilai</w:t>
      </w:r>
      <w:r>
        <w:rPr>
          <w:spacing w:val="-7"/>
        </w:rPr>
        <w:t> </w:t>
      </w:r>
      <w:r>
        <w:rPr/>
        <w:t>tukar</w:t>
      </w:r>
      <w:r>
        <w:rPr>
          <w:spacing w:val="-9"/>
        </w:rPr>
        <w:t> </w:t>
      </w:r>
      <w:r>
        <w:rPr/>
        <w:t>antara</w:t>
      </w:r>
      <w:r>
        <w:rPr>
          <w:spacing w:val="-9"/>
        </w:rPr>
        <w:t> </w:t>
      </w:r>
      <w:r>
        <w:rPr/>
        <w:t>satu</w:t>
      </w:r>
      <w:r>
        <w:rPr>
          <w:spacing w:val="-8"/>
        </w:rPr>
        <w:t> </w:t>
      </w:r>
      <w:r>
        <w:rPr/>
        <w:t>mata uang dengan mata uang lainnya. Nilai tukar suatu mata uang di pasar mata uang asing setara dengan nilai tukar yang ditentukan oleh Bank Sentral. Bank Sentral melakukan intervensi (membeli/menjual mata uang) di pasar valuta asing untuk menjaga nilai tukar tetap; kecukupan</w:t>
      </w:r>
      <w:r>
        <w:rPr>
          <w:spacing w:val="-2"/>
        </w:rPr>
        <w:t> </w:t>
      </w:r>
      <w:r>
        <w:rPr/>
        <w:t>cadangan</w:t>
      </w:r>
      <w:r>
        <w:rPr>
          <w:spacing w:val="-4"/>
        </w:rPr>
        <w:t> </w:t>
      </w:r>
      <w:r>
        <w:rPr/>
        <w:t>devisa</w:t>
      </w:r>
      <w:r>
        <w:rPr>
          <w:spacing w:val="-4"/>
        </w:rPr>
        <w:t> </w:t>
      </w:r>
      <w:r>
        <w:rPr/>
        <w:t>yang</w:t>
      </w:r>
      <w:r>
        <w:rPr>
          <w:spacing w:val="-4"/>
        </w:rPr>
        <w:t> </w:t>
      </w:r>
      <w:r>
        <w:rPr/>
        <w:t>dimiliki</w:t>
      </w:r>
      <w:r>
        <w:rPr>
          <w:spacing w:val="-4"/>
        </w:rPr>
        <w:t> </w:t>
      </w:r>
      <w:r>
        <w:rPr/>
        <w:t>penting</w:t>
      </w:r>
      <w:r>
        <w:rPr>
          <w:spacing w:val="-6"/>
        </w:rPr>
        <w:t> </w:t>
      </w:r>
      <w:r>
        <w:rPr/>
        <w:t>untuk </w:t>
      </w:r>
      <w:r>
        <w:rPr>
          <w:spacing w:val="-2"/>
        </w:rPr>
        <w:t>dipertimbangkan.</w:t>
      </w:r>
    </w:p>
    <w:p>
      <w:pPr>
        <w:pStyle w:val="ListParagraph"/>
        <w:numPr>
          <w:ilvl w:val="4"/>
          <w:numId w:val="12"/>
        </w:numPr>
        <w:tabs>
          <w:tab w:pos="3624" w:val="left" w:leader="none"/>
        </w:tabs>
        <w:spacing w:line="360" w:lineRule="auto" w:before="0" w:after="0"/>
        <w:ind w:left="3624" w:right="162" w:hanging="360"/>
        <w:jc w:val="both"/>
        <w:rPr>
          <w:sz w:val="24"/>
        </w:rPr>
      </w:pPr>
      <w:r>
        <w:rPr>
          <w:sz w:val="24"/>
        </w:rPr>
        <w:t>Sistem Mengambang Terkendali (</w:t>
      </w:r>
      <w:r>
        <w:rPr>
          <w:i/>
          <w:sz w:val="24"/>
        </w:rPr>
        <w:t>managed </w:t>
      </w:r>
      <w:r>
        <w:rPr>
          <w:i/>
          <w:sz w:val="24"/>
        </w:rPr>
        <w:t>floating exchange rate</w:t>
      </w:r>
      <w:r>
        <w:rPr>
          <w:sz w:val="24"/>
        </w:rPr>
        <w:t>)</w:t>
      </w:r>
    </w:p>
    <w:p>
      <w:pPr>
        <w:pStyle w:val="BodyText"/>
        <w:spacing w:line="360" w:lineRule="auto"/>
        <w:ind w:left="3624" w:right="163" w:firstLine="720"/>
        <w:jc w:val="both"/>
      </w:pPr>
      <w:r>
        <w:rPr/>
        <w:t>Dalam pengaturan ini, intervensi Bank Sentral dan pasar valuta asing menentukan nilai tukar. Dengan kata lain, pasar (penawaran dan permintaan valuta) menentukan</w:t>
      </w:r>
      <w:r>
        <w:rPr>
          <w:spacing w:val="31"/>
        </w:rPr>
        <w:t> </w:t>
      </w:r>
      <w:r>
        <w:rPr/>
        <w:t>nilai</w:t>
      </w:r>
      <w:r>
        <w:rPr>
          <w:spacing w:val="32"/>
        </w:rPr>
        <w:t> </w:t>
      </w:r>
      <w:r>
        <w:rPr/>
        <w:t>tukar,</w:t>
      </w:r>
      <w:r>
        <w:rPr>
          <w:spacing w:val="34"/>
        </w:rPr>
        <w:t> </w:t>
      </w:r>
      <w:r>
        <w:rPr/>
        <w:t>tetapi</w:t>
      </w:r>
      <w:r>
        <w:rPr>
          <w:spacing w:val="34"/>
        </w:rPr>
        <w:t> </w:t>
      </w:r>
      <w:r>
        <w:rPr/>
        <w:t>rentang</w:t>
      </w:r>
      <w:r>
        <w:rPr>
          <w:spacing w:val="34"/>
        </w:rPr>
        <w:t> </w:t>
      </w:r>
      <w:r>
        <w:rPr/>
        <w:t>intervensi</w:t>
      </w:r>
      <w:r>
        <w:rPr>
          <w:spacing w:val="33"/>
        </w:rPr>
        <w:t> </w:t>
      </w:r>
      <w:r>
        <w:rPr>
          <w:spacing w:val="-4"/>
        </w:rPr>
        <w:t>Bank</w:t>
      </w:r>
    </w:p>
    <w:p>
      <w:pPr>
        <w:pStyle w:val="BodyText"/>
        <w:rPr>
          <w:sz w:val="20"/>
        </w:rPr>
      </w:pPr>
    </w:p>
    <w:p>
      <w:pPr>
        <w:pStyle w:val="BodyText"/>
        <w:spacing w:before="67"/>
        <w:rPr>
          <w:sz w:val="20"/>
        </w:rPr>
      </w:pPr>
      <w:r>
        <w:rPr>
          <w:sz w:val="20"/>
        </w:rPr>
        <mc:AlternateContent>
          <mc:Choice Requires="wps">
            <w:drawing>
              <wp:anchor distT="0" distB="0" distL="0" distR="0" allowOverlap="1" layoutInCell="1" locked="0" behindDoc="1" simplePos="0" relativeHeight="487606272">
                <wp:simplePos x="0" y="0"/>
                <wp:positionH relativeFrom="page">
                  <wp:posOffset>914704</wp:posOffset>
                </wp:positionH>
                <wp:positionV relativeFrom="paragraph">
                  <wp:posOffset>204011</wp:posOffset>
                </wp:positionV>
                <wp:extent cx="1829435" cy="9525"/>
                <wp:effectExtent l="0" t="0" r="0" b="0"/>
                <wp:wrapTopAndBottom/>
                <wp:docPr id="273" name="Graphic 273"/>
                <wp:cNvGraphicFramePr>
                  <a:graphicFrameLocks/>
                </wp:cNvGraphicFramePr>
                <a:graphic>
                  <a:graphicData uri="http://schemas.microsoft.com/office/word/2010/wordprocessingShape">
                    <wps:wsp>
                      <wps:cNvPr id="273" name="Graphic 273"/>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6.063871pt;width:144.020pt;height:.72003pt;mso-position-horizontal-relative:page;mso-position-vertical-relative:paragraph;z-index:-15710208;mso-wrap-distance-left:0;mso-wrap-distance-right:0" id="docshape245" filled="true" fillcolor="#000000" stroked="false">
                <v:fill type="solid"/>
                <w10:wrap type="topAndBottom"/>
              </v:rect>
            </w:pict>
          </mc:Fallback>
        </mc:AlternateContent>
      </w:r>
    </w:p>
    <w:p>
      <w:pPr>
        <w:spacing w:before="101"/>
        <w:ind w:left="23" w:right="159" w:firstLine="719"/>
        <w:jc w:val="left"/>
        <w:rPr>
          <w:sz w:val="20"/>
        </w:rPr>
      </w:pPr>
      <w:bookmarkStart w:name="_bookmark86" w:id="87"/>
      <w:bookmarkEnd w:id="87"/>
      <w:r>
        <w:rPr/>
      </w:r>
      <w:r>
        <w:rPr>
          <w:sz w:val="20"/>
          <w:vertAlign w:val="superscript"/>
        </w:rPr>
        <w:t>58</w:t>
      </w:r>
      <w:r>
        <w:rPr>
          <w:spacing w:val="-1"/>
          <w:sz w:val="20"/>
          <w:vertAlign w:val="baseline"/>
        </w:rPr>
        <w:t> </w:t>
      </w:r>
      <w:r>
        <w:rPr>
          <w:sz w:val="20"/>
          <w:vertAlign w:val="baseline"/>
        </w:rPr>
        <w:t>Agus</w:t>
      </w:r>
      <w:r>
        <w:rPr>
          <w:spacing w:val="-2"/>
          <w:sz w:val="20"/>
          <w:vertAlign w:val="baseline"/>
        </w:rPr>
        <w:t> </w:t>
      </w:r>
      <w:r>
        <w:rPr>
          <w:sz w:val="20"/>
          <w:vertAlign w:val="baseline"/>
        </w:rPr>
        <w:t>Budi</w:t>
      </w:r>
      <w:r>
        <w:rPr>
          <w:spacing w:val="-1"/>
          <w:sz w:val="20"/>
          <w:vertAlign w:val="baseline"/>
        </w:rPr>
        <w:t> </w:t>
      </w:r>
      <w:r>
        <w:rPr>
          <w:sz w:val="20"/>
          <w:vertAlign w:val="baseline"/>
        </w:rPr>
        <w:t>Santosa, </w:t>
      </w:r>
      <w:r>
        <w:rPr>
          <w:i/>
          <w:sz w:val="20"/>
          <w:vertAlign w:val="baseline"/>
        </w:rPr>
        <w:t>Monograf</w:t>
      </w:r>
      <w:r>
        <w:rPr>
          <w:i/>
          <w:spacing w:val="-1"/>
          <w:sz w:val="20"/>
          <w:vertAlign w:val="baseline"/>
        </w:rPr>
        <w:t> </w:t>
      </w:r>
      <w:r>
        <w:rPr>
          <w:i/>
          <w:sz w:val="20"/>
          <w:vertAlign w:val="baseline"/>
        </w:rPr>
        <w:t>Nilai</w:t>
      </w:r>
      <w:r>
        <w:rPr>
          <w:i/>
          <w:spacing w:val="-1"/>
          <w:sz w:val="20"/>
          <w:vertAlign w:val="baseline"/>
        </w:rPr>
        <w:t> </w:t>
      </w:r>
      <w:r>
        <w:rPr>
          <w:i/>
          <w:sz w:val="20"/>
          <w:vertAlign w:val="baseline"/>
        </w:rPr>
        <w:t>Tukar</w:t>
      </w:r>
      <w:r>
        <w:rPr>
          <w:i/>
          <w:spacing w:val="-2"/>
          <w:sz w:val="20"/>
          <w:vertAlign w:val="baseline"/>
        </w:rPr>
        <w:t> </w:t>
      </w:r>
      <w:r>
        <w:rPr>
          <w:i/>
          <w:sz w:val="20"/>
          <w:vertAlign w:val="baseline"/>
        </w:rPr>
        <w:t>Rupiah</w:t>
      </w:r>
      <w:r>
        <w:rPr>
          <w:i/>
          <w:spacing w:val="-1"/>
          <w:sz w:val="20"/>
          <w:vertAlign w:val="baseline"/>
        </w:rPr>
        <w:t> </w:t>
      </w:r>
      <w:r>
        <w:rPr>
          <w:i/>
          <w:sz w:val="20"/>
          <w:vertAlign w:val="baseline"/>
        </w:rPr>
        <w:t>Pendekatan</w:t>
      </w:r>
      <w:r>
        <w:rPr>
          <w:i/>
          <w:spacing w:val="-1"/>
          <w:sz w:val="20"/>
          <w:vertAlign w:val="baseline"/>
        </w:rPr>
        <w:t> </w:t>
      </w:r>
      <w:r>
        <w:rPr>
          <w:i/>
          <w:sz w:val="20"/>
          <w:vertAlign w:val="baseline"/>
        </w:rPr>
        <w:t>Purchasing</w:t>
      </w:r>
      <w:r>
        <w:rPr>
          <w:i/>
          <w:spacing w:val="-2"/>
          <w:sz w:val="20"/>
          <w:vertAlign w:val="baseline"/>
        </w:rPr>
        <w:t> </w:t>
      </w:r>
      <w:r>
        <w:rPr>
          <w:i/>
          <w:sz w:val="20"/>
          <w:vertAlign w:val="baseline"/>
        </w:rPr>
        <w:t>Power</w:t>
      </w:r>
      <w:r>
        <w:rPr>
          <w:i/>
          <w:spacing w:val="-1"/>
          <w:sz w:val="20"/>
          <w:vertAlign w:val="baseline"/>
        </w:rPr>
        <w:t> </w:t>
      </w:r>
      <w:r>
        <w:rPr>
          <w:i/>
          <w:sz w:val="20"/>
          <w:vertAlign w:val="baseline"/>
        </w:rPr>
        <w:t>Parity </w:t>
      </w:r>
      <w:r>
        <w:rPr>
          <w:sz w:val="20"/>
          <w:vertAlign w:val="baseline"/>
        </w:rPr>
        <w:t>(Semarang: Lembaga Penelitian dan Pengabdian Masyarakat (LP2M) Universitas Stikubank Semarang, 2018).</w:t>
      </w:r>
    </w:p>
    <w:p>
      <w:pPr>
        <w:spacing w:after="0"/>
        <w:jc w:val="left"/>
        <w:rPr>
          <w:sz w:val="20"/>
        </w:rPr>
        <w:sectPr>
          <w:pgSz w:w="11910" w:h="16840"/>
          <w:pgMar w:header="0" w:footer="1000" w:top="1360" w:bottom="1200" w:left="1417" w:right="1275"/>
        </w:sectPr>
      </w:pPr>
    </w:p>
    <w:p>
      <w:pPr>
        <w:pStyle w:val="BodyText"/>
        <w:spacing w:line="360" w:lineRule="auto" w:before="60"/>
        <w:ind w:left="3624" w:right="162"/>
        <w:jc w:val="both"/>
      </w:pPr>
      <w:r>
        <w:rPr/>
        <w:t>Sentral membatasi pergerakannya. Bank sentral akan turun tangan dengan menambah suplai valuta agar nilai kembali ke kisaran intervensi jika nilai tukar menyimpang dari kisaran yang ditentukan. Hal </w:t>
      </w:r>
      <w:r>
        <w:rPr/>
        <w:t>ini dikarenakan bank sentral harus mempertahankan nilai tukar</w:t>
      </w:r>
      <w:r>
        <w:rPr>
          <w:spacing w:val="-8"/>
        </w:rPr>
        <w:t> </w:t>
      </w:r>
      <w:r>
        <w:rPr/>
        <w:t>dalam</w:t>
      </w:r>
      <w:r>
        <w:rPr>
          <w:spacing w:val="-8"/>
        </w:rPr>
        <w:t> </w:t>
      </w:r>
      <w:r>
        <w:rPr/>
        <w:t>rentang</w:t>
      </w:r>
      <w:r>
        <w:rPr>
          <w:spacing w:val="-8"/>
        </w:rPr>
        <w:t> </w:t>
      </w:r>
      <w:r>
        <w:rPr/>
        <w:t>intervensi.</w:t>
      </w:r>
      <w:r>
        <w:rPr>
          <w:spacing w:val="-7"/>
        </w:rPr>
        <w:t> </w:t>
      </w:r>
      <w:r>
        <w:rPr/>
        <w:t>Di</w:t>
      </w:r>
      <w:r>
        <w:rPr>
          <w:spacing w:val="-8"/>
        </w:rPr>
        <w:t> </w:t>
      </w:r>
      <w:r>
        <w:rPr/>
        <w:t>sisi</w:t>
      </w:r>
      <w:r>
        <w:rPr>
          <w:spacing w:val="-9"/>
        </w:rPr>
        <w:t> </w:t>
      </w:r>
      <w:r>
        <w:rPr/>
        <w:t>lain,</w:t>
      </w:r>
      <w:r>
        <w:rPr>
          <w:spacing w:val="-8"/>
        </w:rPr>
        <w:t> </w:t>
      </w:r>
      <w:r>
        <w:rPr/>
        <w:t>Bank</w:t>
      </w:r>
      <w:r>
        <w:rPr>
          <w:spacing w:val="-9"/>
        </w:rPr>
        <w:t> </w:t>
      </w:r>
      <w:r>
        <w:rPr/>
        <w:t>Sentral akan</w:t>
      </w:r>
      <w:r>
        <w:rPr>
          <w:spacing w:val="-15"/>
        </w:rPr>
        <w:t> </w:t>
      </w:r>
      <w:r>
        <w:rPr/>
        <w:t>meningkatkan</w:t>
      </w:r>
      <w:r>
        <w:rPr>
          <w:spacing w:val="-15"/>
        </w:rPr>
        <w:t> </w:t>
      </w:r>
      <w:r>
        <w:rPr/>
        <w:t>permintaan</w:t>
      </w:r>
      <w:r>
        <w:rPr>
          <w:spacing w:val="-15"/>
        </w:rPr>
        <w:t> </w:t>
      </w:r>
      <w:r>
        <w:rPr/>
        <w:t>mata</w:t>
      </w:r>
      <w:r>
        <w:rPr>
          <w:spacing w:val="-15"/>
        </w:rPr>
        <w:t> </w:t>
      </w:r>
      <w:r>
        <w:rPr/>
        <w:t>uang</w:t>
      </w:r>
      <w:r>
        <w:rPr>
          <w:spacing w:val="-15"/>
        </w:rPr>
        <w:t> </w:t>
      </w:r>
      <w:r>
        <w:rPr/>
        <w:t>jika</w:t>
      </w:r>
      <w:r>
        <w:rPr>
          <w:spacing w:val="-15"/>
        </w:rPr>
        <w:t> </w:t>
      </w:r>
      <w:r>
        <w:rPr/>
        <w:t>nilai</w:t>
      </w:r>
      <w:r>
        <w:rPr>
          <w:spacing w:val="-15"/>
        </w:rPr>
        <w:t> </w:t>
      </w:r>
      <w:r>
        <w:rPr/>
        <w:t>tukar jatuh di bawah kisaran intervensi.</w:t>
      </w:r>
    </w:p>
    <w:p>
      <w:pPr>
        <w:pStyle w:val="ListParagraph"/>
        <w:numPr>
          <w:ilvl w:val="4"/>
          <w:numId w:val="12"/>
        </w:numPr>
        <w:tabs>
          <w:tab w:pos="3623" w:val="left" w:leader="none"/>
        </w:tabs>
        <w:spacing w:line="240" w:lineRule="auto" w:before="1" w:after="0"/>
        <w:ind w:left="3623" w:right="0" w:hanging="359"/>
        <w:jc w:val="both"/>
        <w:rPr>
          <w:sz w:val="24"/>
        </w:rPr>
      </w:pPr>
      <w:r>
        <w:rPr>
          <w:sz w:val="24"/>
        </w:rPr>
        <w:t>Sistem</w:t>
      </w:r>
      <w:r>
        <w:rPr>
          <w:spacing w:val="-1"/>
          <w:sz w:val="24"/>
        </w:rPr>
        <w:t> </w:t>
      </w:r>
      <w:r>
        <w:rPr>
          <w:sz w:val="24"/>
        </w:rPr>
        <w:t>Kurs</w:t>
      </w:r>
      <w:r>
        <w:rPr>
          <w:spacing w:val="-2"/>
          <w:sz w:val="24"/>
        </w:rPr>
        <w:t> </w:t>
      </w:r>
      <w:r>
        <w:rPr>
          <w:sz w:val="24"/>
        </w:rPr>
        <w:t>Bebas</w:t>
      </w:r>
      <w:r>
        <w:rPr>
          <w:spacing w:val="-2"/>
          <w:sz w:val="24"/>
        </w:rPr>
        <w:t> </w:t>
      </w:r>
      <w:r>
        <w:rPr>
          <w:sz w:val="24"/>
        </w:rPr>
        <w:t>(</w:t>
      </w:r>
      <w:r>
        <w:rPr>
          <w:i/>
          <w:sz w:val="24"/>
        </w:rPr>
        <w:t>free exchange</w:t>
      </w:r>
      <w:r>
        <w:rPr>
          <w:i/>
          <w:spacing w:val="-1"/>
          <w:sz w:val="24"/>
        </w:rPr>
        <w:t> </w:t>
      </w:r>
      <w:r>
        <w:rPr>
          <w:i/>
          <w:spacing w:val="-2"/>
          <w:sz w:val="24"/>
        </w:rPr>
        <w:t>rate</w:t>
      </w:r>
      <w:r>
        <w:rPr>
          <w:spacing w:val="-2"/>
          <w:sz w:val="24"/>
        </w:rPr>
        <w:t>)</w:t>
      </w:r>
    </w:p>
    <w:p>
      <w:pPr>
        <w:pStyle w:val="BodyText"/>
        <w:spacing w:line="360" w:lineRule="auto" w:before="138"/>
        <w:ind w:left="3624" w:right="158" w:firstLine="720"/>
        <w:jc w:val="both"/>
      </w:pPr>
      <w:r>
        <w:rPr/>
        <w:t>Frasa lain yang digunakan adalah nilai tukar mengambang, yang berarti bahwa pasar menetapkan nilai tukar mata uang asing sesuai dengan seberapa kuat penawaran</w:t>
      </w:r>
      <w:r>
        <w:rPr>
          <w:spacing w:val="-2"/>
        </w:rPr>
        <w:t> </w:t>
      </w:r>
      <w:r>
        <w:rPr/>
        <w:t>dan</w:t>
      </w:r>
      <w:r>
        <w:rPr>
          <w:spacing w:val="-2"/>
        </w:rPr>
        <w:t> </w:t>
      </w:r>
      <w:r>
        <w:rPr/>
        <w:t>permintaan</w:t>
      </w:r>
      <w:r>
        <w:rPr>
          <w:spacing w:val="-2"/>
        </w:rPr>
        <w:t> </w:t>
      </w:r>
      <w:r>
        <w:rPr/>
        <w:t>mata</w:t>
      </w:r>
      <w:r>
        <w:rPr>
          <w:spacing w:val="-3"/>
        </w:rPr>
        <w:t> </w:t>
      </w:r>
      <w:r>
        <w:rPr/>
        <w:t>uang</w:t>
      </w:r>
      <w:r>
        <w:rPr>
          <w:spacing w:val="-2"/>
        </w:rPr>
        <w:t> </w:t>
      </w:r>
      <w:r>
        <w:rPr/>
        <w:t>asing</w:t>
      </w:r>
      <w:r>
        <w:rPr>
          <w:spacing w:val="-2"/>
        </w:rPr>
        <w:t> </w:t>
      </w:r>
      <w:r>
        <w:rPr/>
        <w:t>tertarik</w:t>
      </w:r>
      <w:r>
        <w:rPr>
          <w:spacing w:val="-2"/>
        </w:rPr>
        <w:t> </w:t>
      </w:r>
      <w:r>
        <w:rPr/>
        <w:t>satu sama lain. Dalam kerangka kerja ini, Bank Sentral tidak ikut campur dalam menentukan nilai tukar.</w:t>
      </w:r>
    </w:p>
    <w:p>
      <w:pPr>
        <w:pStyle w:val="Heading2"/>
        <w:numPr>
          <w:ilvl w:val="2"/>
          <w:numId w:val="12"/>
        </w:numPr>
        <w:tabs>
          <w:tab w:pos="1643" w:val="left" w:leader="none"/>
        </w:tabs>
        <w:spacing w:line="240" w:lineRule="auto" w:before="161" w:after="0"/>
        <w:ind w:left="1643" w:right="0" w:hanging="540"/>
        <w:jc w:val="left"/>
      </w:pPr>
      <w:bookmarkStart w:name="_bookmark87" w:id="88"/>
      <w:bookmarkEnd w:id="88"/>
      <w:r>
        <w:rPr>
          <w:b w:val="0"/>
        </w:rPr>
      </w:r>
      <w:r>
        <w:rPr>
          <w:spacing w:val="-2"/>
        </w:rPr>
        <w:t>Inflasi</w:t>
      </w:r>
    </w:p>
    <w:p>
      <w:pPr>
        <w:pStyle w:val="BodyText"/>
        <w:spacing w:before="21"/>
        <w:rPr>
          <w:b/>
        </w:rPr>
      </w:pPr>
    </w:p>
    <w:p>
      <w:pPr>
        <w:pStyle w:val="BodyText"/>
        <w:spacing w:line="360" w:lineRule="auto"/>
        <w:ind w:left="1823" w:right="163" w:firstLine="360"/>
        <w:jc w:val="both"/>
      </w:pPr>
      <w:r>
        <w:rPr/>
        <w:t>Kenaikan</w:t>
      </w:r>
      <w:r>
        <w:rPr>
          <w:spacing w:val="-11"/>
        </w:rPr>
        <w:t> </w:t>
      </w:r>
      <w:r>
        <w:rPr/>
        <w:t>umum</w:t>
      </w:r>
      <w:r>
        <w:rPr>
          <w:spacing w:val="-10"/>
        </w:rPr>
        <w:t> </w:t>
      </w:r>
      <w:r>
        <w:rPr/>
        <w:t>dalam</w:t>
      </w:r>
      <w:r>
        <w:rPr>
          <w:spacing w:val="-11"/>
        </w:rPr>
        <w:t> </w:t>
      </w:r>
      <w:r>
        <w:rPr/>
        <w:t>tingkat</w:t>
      </w:r>
      <w:r>
        <w:rPr>
          <w:spacing w:val="-10"/>
        </w:rPr>
        <w:t> </w:t>
      </w:r>
      <w:r>
        <w:rPr/>
        <w:t>harga</w:t>
      </w:r>
      <w:r>
        <w:rPr>
          <w:spacing w:val="-12"/>
        </w:rPr>
        <w:t> </w:t>
      </w:r>
      <w:r>
        <w:rPr/>
        <w:t>untuk</w:t>
      </w:r>
      <w:r>
        <w:rPr>
          <w:spacing w:val="-10"/>
        </w:rPr>
        <w:t> </w:t>
      </w:r>
      <w:r>
        <w:rPr/>
        <w:t>produk,</w:t>
      </w:r>
      <w:r>
        <w:rPr>
          <w:spacing w:val="-11"/>
        </w:rPr>
        <w:t> </w:t>
      </w:r>
      <w:r>
        <w:rPr/>
        <w:t>komoditas,</w:t>
      </w:r>
      <w:r>
        <w:rPr>
          <w:spacing w:val="-11"/>
        </w:rPr>
        <w:t> </w:t>
      </w:r>
      <w:r>
        <w:rPr/>
        <w:t>dan</w:t>
      </w:r>
      <w:r>
        <w:rPr>
          <w:spacing w:val="-11"/>
        </w:rPr>
        <w:t> </w:t>
      </w:r>
      <w:r>
        <w:rPr/>
        <w:t>jasa selama periode waktu tertentu disebut inflasi. Ketika nilai unit moneter untuk komoditas menurun, inflasi dapat dilihat sebagai fenomena</w:t>
      </w:r>
      <w:r>
        <w:rPr>
          <w:spacing w:val="-1"/>
        </w:rPr>
        <w:t> </w:t>
      </w:r>
      <w:r>
        <w:rPr/>
        <w:t>moneter. Menurut ekonom kontemporer, inflasi didefinisikan sebagai kenaikan umum dalam jumlah uang yang dibutuhkan untuk membayar produk, komoditas, dan jasa (nilai unit moneter). Deflasi, di sisi lain, terjadi ketika nilai unit moneter untuk produk, komoditas, dan jasa menurun.</w:t>
      </w:r>
      <w:hyperlink w:history="true" w:anchor="_bookmark88">
        <w:r>
          <w:rPr>
            <w:vertAlign w:val="superscript"/>
          </w:rPr>
          <w:t>59</w:t>
        </w:r>
      </w:hyperlink>
    </w:p>
    <w:p>
      <w:pPr>
        <w:pStyle w:val="BodyText"/>
        <w:spacing w:line="360" w:lineRule="auto"/>
        <w:ind w:left="1823" w:right="165" w:firstLine="360"/>
        <w:jc w:val="both"/>
      </w:pPr>
      <w:r>
        <w:rPr/>
        <w:t>Inflasi tidak selalu diakibatkan oleh kenaikan harga yang bersifat sementara</w:t>
      </w:r>
      <w:r>
        <w:rPr>
          <w:spacing w:val="-3"/>
        </w:rPr>
        <w:t> </w:t>
      </w:r>
      <w:r>
        <w:rPr/>
        <w:t>dari</w:t>
      </w:r>
      <w:r>
        <w:rPr>
          <w:spacing w:val="-2"/>
        </w:rPr>
        <w:t> </w:t>
      </w:r>
      <w:r>
        <w:rPr/>
        <w:t>satu</w:t>
      </w:r>
      <w:r>
        <w:rPr>
          <w:spacing w:val="-2"/>
        </w:rPr>
        <w:t> </w:t>
      </w:r>
      <w:r>
        <w:rPr/>
        <w:t>atau beberapa</w:t>
      </w:r>
      <w:r>
        <w:rPr>
          <w:spacing w:val="-2"/>
        </w:rPr>
        <w:t> </w:t>
      </w:r>
      <w:r>
        <w:rPr/>
        <w:t>jenis</w:t>
      </w:r>
      <w:r>
        <w:rPr>
          <w:spacing w:val="-2"/>
        </w:rPr>
        <w:t> </w:t>
      </w:r>
      <w:r>
        <w:rPr/>
        <w:t>barang</w:t>
      </w:r>
      <w:r>
        <w:rPr>
          <w:spacing w:val="-2"/>
        </w:rPr>
        <w:t> </w:t>
      </w:r>
      <w:r>
        <w:rPr/>
        <w:t>pada</w:t>
      </w:r>
      <w:r>
        <w:rPr>
          <w:spacing w:val="-2"/>
        </w:rPr>
        <w:t> </w:t>
      </w:r>
      <w:r>
        <w:rPr/>
        <w:t>saat</w:t>
      </w:r>
      <w:r>
        <w:rPr>
          <w:spacing w:val="-2"/>
        </w:rPr>
        <w:t> </w:t>
      </w:r>
      <w:r>
        <w:rPr/>
        <w:t>tertentu.</w:t>
      </w:r>
      <w:r>
        <w:rPr>
          <w:spacing w:val="-2"/>
        </w:rPr>
        <w:t> </w:t>
      </w:r>
      <w:r>
        <w:rPr/>
        <w:t>Seberapa besar setiap kelompok produk dari masing-masing komponen-seperti:</w:t>
      </w:r>
    </w:p>
    <w:p>
      <w:pPr>
        <w:pStyle w:val="ListParagraph"/>
        <w:numPr>
          <w:ilvl w:val="0"/>
          <w:numId w:val="22"/>
        </w:numPr>
        <w:tabs>
          <w:tab w:pos="2903" w:val="left" w:leader="none"/>
        </w:tabs>
        <w:spacing w:line="240" w:lineRule="auto" w:before="2" w:after="0"/>
        <w:ind w:left="2903" w:right="0" w:hanging="359"/>
        <w:jc w:val="both"/>
        <w:rPr>
          <w:sz w:val="24"/>
        </w:rPr>
      </w:pPr>
      <w:r>
        <w:rPr>
          <w:sz w:val="24"/>
        </w:rPr>
        <w:t>Kelompok</w:t>
      </w:r>
      <w:r>
        <w:rPr>
          <w:spacing w:val="-2"/>
          <w:sz w:val="24"/>
        </w:rPr>
        <w:t> makanan.</w:t>
      </w:r>
    </w:p>
    <w:p>
      <w:pPr>
        <w:pStyle w:val="ListParagraph"/>
        <w:numPr>
          <w:ilvl w:val="0"/>
          <w:numId w:val="22"/>
        </w:numPr>
        <w:tabs>
          <w:tab w:pos="2904" w:val="left" w:leader="none"/>
        </w:tabs>
        <w:spacing w:line="240" w:lineRule="auto" w:before="136" w:after="0"/>
        <w:ind w:left="2904" w:right="0" w:hanging="360"/>
        <w:jc w:val="both"/>
        <w:rPr>
          <w:sz w:val="24"/>
        </w:rPr>
      </w:pPr>
      <w:r>
        <w:rPr>
          <w:sz w:val="24"/>
        </w:rPr>
        <w:t>Kelompok</w:t>
      </w:r>
      <w:r>
        <w:rPr>
          <w:spacing w:val="-2"/>
          <w:sz w:val="24"/>
        </w:rPr>
        <w:t> sandang.</w:t>
      </w:r>
    </w:p>
    <w:p>
      <w:pPr>
        <w:pStyle w:val="ListParagraph"/>
        <w:numPr>
          <w:ilvl w:val="0"/>
          <w:numId w:val="22"/>
        </w:numPr>
        <w:tabs>
          <w:tab w:pos="2903" w:val="left" w:leader="none"/>
        </w:tabs>
        <w:spacing w:line="240" w:lineRule="auto" w:before="140" w:after="0"/>
        <w:ind w:left="2903" w:right="0" w:hanging="359"/>
        <w:jc w:val="left"/>
        <w:rPr>
          <w:sz w:val="24"/>
        </w:rPr>
      </w:pPr>
      <w:r>
        <w:rPr>
          <w:sz w:val="24"/>
        </w:rPr>
        <w:t>Kelompok</w:t>
      </w:r>
      <w:r>
        <w:rPr>
          <w:spacing w:val="-4"/>
          <w:sz w:val="24"/>
        </w:rPr>
        <w:t> </w:t>
      </w:r>
      <w:r>
        <w:rPr>
          <w:sz w:val="24"/>
        </w:rPr>
        <w:t>aneka</w:t>
      </w:r>
      <w:r>
        <w:rPr>
          <w:spacing w:val="-2"/>
          <w:sz w:val="24"/>
        </w:rPr>
        <w:t> </w:t>
      </w:r>
      <w:r>
        <w:rPr>
          <w:sz w:val="24"/>
        </w:rPr>
        <w:t>dan</w:t>
      </w:r>
      <w:r>
        <w:rPr>
          <w:spacing w:val="-1"/>
          <w:sz w:val="24"/>
        </w:rPr>
        <w:t> </w:t>
      </w:r>
      <w:r>
        <w:rPr>
          <w:sz w:val="24"/>
        </w:rPr>
        <w:t>jasa</w:t>
      </w:r>
      <w:r>
        <w:rPr>
          <w:spacing w:val="-2"/>
          <w:sz w:val="24"/>
        </w:rPr>
        <w:t> </w:t>
      </w:r>
      <w:r>
        <w:rPr>
          <w:sz w:val="24"/>
        </w:rPr>
        <w:t>juga</w:t>
      </w:r>
      <w:r>
        <w:rPr>
          <w:spacing w:val="-2"/>
          <w:sz w:val="24"/>
        </w:rPr>
        <w:t> </w:t>
      </w:r>
      <w:r>
        <w:rPr>
          <w:sz w:val="24"/>
        </w:rPr>
        <w:t>berkontribusi terhadap</w:t>
      </w:r>
      <w:r>
        <w:rPr>
          <w:spacing w:val="-1"/>
          <w:sz w:val="24"/>
        </w:rPr>
        <w:t> </w:t>
      </w:r>
      <w:r>
        <w:rPr>
          <w:spacing w:val="-2"/>
          <w:sz w:val="24"/>
        </w:rPr>
        <w:t>inflasi.</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
        <w:rPr>
          <w:sz w:val="20"/>
        </w:rPr>
      </w:pPr>
      <w:r>
        <w:rPr>
          <w:sz w:val="20"/>
        </w:rPr>
        <mc:AlternateContent>
          <mc:Choice Requires="wps">
            <w:drawing>
              <wp:anchor distT="0" distB="0" distL="0" distR="0" allowOverlap="1" layoutInCell="1" locked="0" behindDoc="1" simplePos="0" relativeHeight="487606784">
                <wp:simplePos x="0" y="0"/>
                <wp:positionH relativeFrom="page">
                  <wp:posOffset>914704</wp:posOffset>
                </wp:positionH>
                <wp:positionV relativeFrom="paragraph">
                  <wp:posOffset>175515</wp:posOffset>
                </wp:positionV>
                <wp:extent cx="1829435" cy="9525"/>
                <wp:effectExtent l="0" t="0" r="0" b="0"/>
                <wp:wrapTopAndBottom/>
                <wp:docPr id="274" name="Graphic 274"/>
                <wp:cNvGraphicFramePr>
                  <a:graphicFrameLocks/>
                </wp:cNvGraphicFramePr>
                <a:graphic>
                  <a:graphicData uri="http://schemas.microsoft.com/office/word/2010/wordprocessingShape">
                    <wps:wsp>
                      <wps:cNvPr id="274" name="Graphic 274"/>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3.820131pt;width:144.020pt;height:.71997pt;mso-position-horizontal-relative:page;mso-position-vertical-relative:paragraph;z-index:-15709696;mso-wrap-distance-left:0;mso-wrap-distance-right:0" id="docshape246" filled="true" fillcolor="#000000" stroked="false">
                <v:fill type="solid"/>
                <w10:wrap type="topAndBottom"/>
              </v:rect>
            </w:pict>
          </mc:Fallback>
        </mc:AlternateContent>
      </w:r>
    </w:p>
    <w:p>
      <w:pPr>
        <w:spacing w:before="101"/>
        <w:ind w:left="743" w:right="0" w:firstLine="0"/>
        <w:jc w:val="left"/>
        <w:rPr>
          <w:sz w:val="20"/>
        </w:rPr>
      </w:pPr>
      <w:bookmarkStart w:name="_bookmark88" w:id="89"/>
      <w:bookmarkEnd w:id="89"/>
      <w:r>
        <w:rPr/>
      </w:r>
      <w:r>
        <w:rPr>
          <w:sz w:val="20"/>
          <w:vertAlign w:val="superscript"/>
        </w:rPr>
        <w:t>59</w:t>
      </w:r>
      <w:r>
        <w:rPr>
          <w:spacing w:val="-5"/>
          <w:sz w:val="20"/>
          <w:vertAlign w:val="baseline"/>
        </w:rPr>
        <w:t> </w:t>
      </w:r>
      <w:r>
        <w:rPr>
          <w:sz w:val="20"/>
          <w:vertAlign w:val="baseline"/>
        </w:rPr>
        <w:t>A.</w:t>
      </w:r>
      <w:r>
        <w:rPr>
          <w:spacing w:val="-5"/>
          <w:sz w:val="20"/>
          <w:vertAlign w:val="baseline"/>
        </w:rPr>
        <w:t> </w:t>
      </w:r>
      <w:r>
        <w:rPr>
          <w:sz w:val="20"/>
          <w:vertAlign w:val="baseline"/>
        </w:rPr>
        <w:t>Karim.</w:t>
      </w:r>
      <w:r>
        <w:rPr>
          <w:spacing w:val="-4"/>
          <w:sz w:val="20"/>
          <w:vertAlign w:val="baseline"/>
        </w:rPr>
        <w:t> </w:t>
      </w:r>
      <w:r>
        <w:rPr>
          <w:sz w:val="20"/>
          <w:vertAlign w:val="baseline"/>
        </w:rPr>
        <w:t>Adiwarman,</w:t>
      </w:r>
      <w:r>
        <w:rPr>
          <w:spacing w:val="-4"/>
          <w:sz w:val="20"/>
          <w:vertAlign w:val="baseline"/>
        </w:rPr>
        <w:t> </w:t>
      </w:r>
      <w:r>
        <w:rPr>
          <w:i/>
          <w:sz w:val="20"/>
          <w:vertAlign w:val="baseline"/>
        </w:rPr>
        <w:t>Ekonomi</w:t>
      </w:r>
      <w:r>
        <w:rPr>
          <w:i/>
          <w:spacing w:val="-5"/>
          <w:sz w:val="20"/>
          <w:vertAlign w:val="baseline"/>
        </w:rPr>
        <w:t> </w:t>
      </w:r>
      <w:r>
        <w:rPr>
          <w:i/>
          <w:sz w:val="20"/>
          <w:vertAlign w:val="baseline"/>
        </w:rPr>
        <w:t>Makro</w:t>
      </w:r>
      <w:r>
        <w:rPr>
          <w:i/>
          <w:spacing w:val="-4"/>
          <w:sz w:val="20"/>
          <w:vertAlign w:val="baseline"/>
        </w:rPr>
        <w:t> </w:t>
      </w:r>
      <w:r>
        <w:rPr>
          <w:i/>
          <w:sz w:val="20"/>
          <w:vertAlign w:val="baseline"/>
        </w:rPr>
        <w:t>Islam</w:t>
      </w:r>
      <w:r>
        <w:rPr>
          <w:i/>
          <w:spacing w:val="-3"/>
          <w:sz w:val="20"/>
          <w:vertAlign w:val="baseline"/>
        </w:rPr>
        <w:t> </w:t>
      </w:r>
      <w:r>
        <w:rPr>
          <w:sz w:val="20"/>
          <w:vertAlign w:val="baseline"/>
        </w:rPr>
        <w:t>(Jakarta:</w:t>
      </w:r>
      <w:r>
        <w:rPr>
          <w:spacing w:val="-5"/>
          <w:sz w:val="20"/>
          <w:vertAlign w:val="baseline"/>
        </w:rPr>
        <w:t> </w:t>
      </w:r>
      <w:r>
        <w:rPr>
          <w:sz w:val="20"/>
          <w:vertAlign w:val="baseline"/>
        </w:rPr>
        <w:t>PT.</w:t>
      </w:r>
      <w:r>
        <w:rPr>
          <w:spacing w:val="-4"/>
          <w:sz w:val="20"/>
          <w:vertAlign w:val="baseline"/>
        </w:rPr>
        <w:t> </w:t>
      </w:r>
      <w:r>
        <w:rPr>
          <w:sz w:val="20"/>
          <w:vertAlign w:val="baseline"/>
        </w:rPr>
        <w:t>Raja</w:t>
      </w:r>
      <w:r>
        <w:rPr>
          <w:spacing w:val="-4"/>
          <w:sz w:val="20"/>
          <w:vertAlign w:val="baseline"/>
        </w:rPr>
        <w:t> </w:t>
      </w:r>
      <w:r>
        <w:rPr>
          <w:sz w:val="20"/>
          <w:vertAlign w:val="baseline"/>
        </w:rPr>
        <w:t>Grapindo</w:t>
      </w:r>
      <w:r>
        <w:rPr>
          <w:spacing w:val="-4"/>
          <w:sz w:val="20"/>
          <w:vertAlign w:val="baseline"/>
        </w:rPr>
        <w:t> </w:t>
      </w:r>
      <w:r>
        <w:rPr>
          <w:spacing w:val="-2"/>
          <w:sz w:val="20"/>
          <w:vertAlign w:val="baseline"/>
        </w:rPr>
        <w:t>Persada).</w:t>
      </w:r>
    </w:p>
    <w:p>
      <w:pPr>
        <w:spacing w:after="0"/>
        <w:jc w:val="left"/>
        <w:rPr>
          <w:sz w:val="20"/>
        </w:rPr>
        <w:sectPr>
          <w:pgSz w:w="11910" w:h="16840"/>
          <w:pgMar w:header="0" w:footer="1000" w:top="1360" w:bottom="1200" w:left="1417" w:right="1275"/>
        </w:sectPr>
      </w:pPr>
    </w:p>
    <w:p>
      <w:pPr>
        <w:pStyle w:val="BodyText"/>
        <w:spacing w:line="360" w:lineRule="auto" w:before="60"/>
        <w:ind w:left="2544" w:right="165" w:firstLine="360"/>
      </w:pPr>
      <w:r>
        <w:rPr/>
        <w:t>Para</w:t>
      </w:r>
      <w:r>
        <w:rPr>
          <w:spacing w:val="40"/>
        </w:rPr>
        <w:t> </w:t>
      </w:r>
      <w:r>
        <w:rPr/>
        <w:t>ekonom</w:t>
      </w:r>
      <w:r>
        <w:rPr>
          <w:spacing w:val="40"/>
        </w:rPr>
        <w:t> </w:t>
      </w:r>
      <w:r>
        <w:rPr/>
        <w:t>dari</w:t>
      </w:r>
      <w:r>
        <w:rPr>
          <w:spacing w:val="40"/>
        </w:rPr>
        <w:t> </w:t>
      </w:r>
      <w:r>
        <w:rPr/>
        <w:t>berbagai</w:t>
      </w:r>
      <w:r>
        <w:rPr>
          <w:spacing w:val="40"/>
        </w:rPr>
        <w:t> </w:t>
      </w:r>
      <w:r>
        <w:rPr/>
        <w:t>negara</w:t>
      </w:r>
      <w:r>
        <w:rPr>
          <w:spacing w:val="40"/>
        </w:rPr>
        <w:t> </w:t>
      </w:r>
      <w:r>
        <w:rPr/>
        <w:t>telah</w:t>
      </w:r>
      <w:r>
        <w:rPr>
          <w:spacing w:val="40"/>
        </w:rPr>
        <w:t> </w:t>
      </w:r>
      <w:r>
        <w:rPr/>
        <w:t>menetapkan</w:t>
      </w:r>
      <w:r>
        <w:rPr>
          <w:spacing w:val="40"/>
        </w:rPr>
        <w:t> </w:t>
      </w:r>
      <w:r>
        <w:rPr/>
        <w:t>bahwa faktor-faktor berikut ini berkontribusi terhadap inflasi:</w:t>
      </w:r>
    </w:p>
    <w:p>
      <w:pPr>
        <w:pStyle w:val="ListParagraph"/>
        <w:numPr>
          <w:ilvl w:val="1"/>
          <w:numId w:val="22"/>
        </w:numPr>
        <w:tabs>
          <w:tab w:pos="3623" w:val="left" w:leader="none"/>
        </w:tabs>
        <w:spacing w:line="240" w:lineRule="auto" w:before="162" w:after="0"/>
        <w:ind w:left="3623" w:right="0" w:hanging="359"/>
        <w:jc w:val="left"/>
        <w:rPr>
          <w:sz w:val="24"/>
        </w:rPr>
      </w:pPr>
      <w:r>
        <w:rPr>
          <w:sz w:val="24"/>
        </w:rPr>
        <w:t>Jumlah</w:t>
      </w:r>
      <w:r>
        <w:rPr>
          <w:spacing w:val="-1"/>
          <w:sz w:val="24"/>
        </w:rPr>
        <w:t> </w:t>
      </w:r>
      <w:r>
        <w:rPr>
          <w:sz w:val="24"/>
        </w:rPr>
        <w:t>uang</w:t>
      </w:r>
      <w:r>
        <w:rPr>
          <w:spacing w:val="-1"/>
          <w:sz w:val="24"/>
        </w:rPr>
        <w:t> </w:t>
      </w:r>
      <w:r>
        <w:rPr>
          <w:sz w:val="24"/>
        </w:rPr>
        <w:t>yang</w:t>
      </w:r>
      <w:r>
        <w:rPr>
          <w:spacing w:val="-1"/>
          <w:sz w:val="24"/>
        </w:rPr>
        <w:t> </w:t>
      </w:r>
      <w:r>
        <w:rPr>
          <w:sz w:val="24"/>
        </w:rPr>
        <w:t>beredar</w:t>
      </w:r>
      <w:r>
        <w:rPr>
          <w:spacing w:val="-1"/>
          <w:sz w:val="24"/>
        </w:rPr>
        <w:t> </w:t>
      </w:r>
      <w:r>
        <w:rPr>
          <w:sz w:val="24"/>
        </w:rPr>
        <w:t>secara</w:t>
      </w:r>
      <w:r>
        <w:rPr>
          <w:spacing w:val="-2"/>
          <w:sz w:val="24"/>
        </w:rPr>
        <w:t> berlebihan.</w:t>
      </w:r>
    </w:p>
    <w:p>
      <w:pPr>
        <w:pStyle w:val="ListParagraph"/>
        <w:numPr>
          <w:ilvl w:val="1"/>
          <w:numId w:val="22"/>
        </w:numPr>
        <w:tabs>
          <w:tab w:pos="3623" w:val="left" w:leader="none"/>
        </w:tabs>
        <w:spacing w:line="240" w:lineRule="auto" w:before="137" w:after="0"/>
        <w:ind w:left="3623" w:right="0" w:hanging="359"/>
        <w:jc w:val="left"/>
        <w:rPr>
          <w:sz w:val="24"/>
        </w:rPr>
      </w:pPr>
      <w:r>
        <w:rPr>
          <w:spacing w:val="-2"/>
          <w:sz w:val="24"/>
        </w:rPr>
        <w:t>Upah.</w:t>
      </w:r>
    </w:p>
    <w:p>
      <w:pPr>
        <w:pStyle w:val="ListParagraph"/>
        <w:numPr>
          <w:ilvl w:val="1"/>
          <w:numId w:val="22"/>
        </w:numPr>
        <w:tabs>
          <w:tab w:pos="3623" w:val="left" w:leader="none"/>
        </w:tabs>
        <w:spacing w:line="240" w:lineRule="auto" w:before="139" w:after="0"/>
        <w:ind w:left="3623" w:right="0" w:hanging="359"/>
        <w:jc w:val="left"/>
        <w:rPr>
          <w:sz w:val="24"/>
        </w:rPr>
      </w:pPr>
      <w:r>
        <w:rPr>
          <w:sz w:val="24"/>
        </w:rPr>
        <w:t>Krisis</w:t>
      </w:r>
      <w:r>
        <w:rPr>
          <w:spacing w:val="-4"/>
          <w:sz w:val="24"/>
        </w:rPr>
        <w:t> </w:t>
      </w:r>
      <w:r>
        <w:rPr>
          <w:spacing w:val="-2"/>
          <w:sz w:val="24"/>
        </w:rPr>
        <w:t>energi.</w:t>
      </w:r>
    </w:p>
    <w:p>
      <w:pPr>
        <w:pStyle w:val="ListParagraph"/>
        <w:numPr>
          <w:ilvl w:val="1"/>
          <w:numId w:val="22"/>
        </w:numPr>
        <w:tabs>
          <w:tab w:pos="3623" w:val="left" w:leader="none"/>
        </w:tabs>
        <w:spacing w:line="240" w:lineRule="auto" w:before="137" w:after="0"/>
        <w:ind w:left="3623" w:right="0" w:hanging="359"/>
        <w:jc w:val="left"/>
        <w:rPr>
          <w:sz w:val="24"/>
        </w:rPr>
      </w:pPr>
      <w:r>
        <w:rPr>
          <w:spacing w:val="-2"/>
          <w:sz w:val="24"/>
        </w:rPr>
        <w:t>Kelaparan.</w:t>
      </w:r>
    </w:p>
    <w:p>
      <w:pPr>
        <w:pStyle w:val="ListParagraph"/>
        <w:numPr>
          <w:ilvl w:val="1"/>
          <w:numId w:val="22"/>
        </w:numPr>
        <w:tabs>
          <w:tab w:pos="3623" w:val="left" w:leader="none"/>
        </w:tabs>
        <w:spacing w:line="240" w:lineRule="auto" w:before="139" w:after="0"/>
        <w:ind w:left="3623" w:right="0" w:hanging="359"/>
        <w:jc w:val="left"/>
        <w:rPr>
          <w:sz w:val="24"/>
        </w:rPr>
      </w:pPr>
      <w:r>
        <w:rPr>
          <w:spacing w:val="-2"/>
          <w:sz w:val="24"/>
        </w:rPr>
        <w:t>Kekeringan.</w:t>
      </w:r>
    </w:p>
    <w:p>
      <w:pPr>
        <w:pStyle w:val="ListParagraph"/>
        <w:numPr>
          <w:ilvl w:val="1"/>
          <w:numId w:val="22"/>
        </w:numPr>
        <w:tabs>
          <w:tab w:pos="3623" w:val="left" w:leader="none"/>
        </w:tabs>
        <w:spacing w:line="240" w:lineRule="auto" w:before="137" w:after="0"/>
        <w:ind w:left="3623" w:right="0" w:hanging="359"/>
        <w:jc w:val="left"/>
        <w:rPr>
          <w:sz w:val="24"/>
        </w:rPr>
      </w:pPr>
      <w:r>
        <w:rPr>
          <w:sz w:val="24"/>
        </w:rPr>
        <w:t>Bencana</w:t>
      </w:r>
      <w:r>
        <w:rPr>
          <w:spacing w:val="-2"/>
          <w:sz w:val="24"/>
        </w:rPr>
        <w:t> </w:t>
      </w:r>
      <w:r>
        <w:rPr>
          <w:spacing w:val="-4"/>
          <w:sz w:val="24"/>
        </w:rPr>
        <w:t>alam.</w:t>
      </w:r>
    </w:p>
    <w:p>
      <w:pPr>
        <w:pStyle w:val="ListParagraph"/>
        <w:numPr>
          <w:ilvl w:val="1"/>
          <w:numId w:val="22"/>
        </w:numPr>
        <w:tabs>
          <w:tab w:pos="3623" w:val="left" w:leader="none"/>
        </w:tabs>
        <w:spacing w:line="240" w:lineRule="auto" w:before="139" w:after="0"/>
        <w:ind w:left="3623" w:right="0" w:hanging="359"/>
        <w:jc w:val="left"/>
        <w:rPr>
          <w:sz w:val="24"/>
        </w:rPr>
      </w:pPr>
      <w:r>
        <w:rPr>
          <w:sz w:val="24"/>
        </w:rPr>
        <w:t>Defisit</w:t>
      </w:r>
      <w:r>
        <w:rPr>
          <w:spacing w:val="-2"/>
          <w:sz w:val="24"/>
        </w:rPr>
        <w:t> anggaran.</w:t>
      </w:r>
    </w:p>
    <w:p>
      <w:pPr>
        <w:pStyle w:val="BodyText"/>
        <w:spacing w:before="22"/>
      </w:pPr>
    </w:p>
    <w:p>
      <w:pPr>
        <w:pStyle w:val="BodyText"/>
        <w:spacing w:line="360" w:lineRule="auto"/>
        <w:ind w:left="3264" w:right="161" w:firstLine="360"/>
        <w:jc w:val="both"/>
      </w:pPr>
      <w:r>
        <w:rPr/>
        <w:t>Namun,</w:t>
      </w:r>
      <w:r>
        <w:rPr>
          <w:spacing w:val="-14"/>
        </w:rPr>
        <w:t> </w:t>
      </w:r>
      <w:r>
        <w:rPr/>
        <w:t>tidak</w:t>
      </w:r>
      <w:r>
        <w:rPr>
          <w:spacing w:val="-14"/>
        </w:rPr>
        <w:t> </w:t>
      </w:r>
      <w:r>
        <w:rPr/>
        <w:t>satu</w:t>
      </w:r>
      <w:r>
        <w:rPr>
          <w:spacing w:val="-14"/>
        </w:rPr>
        <w:t> </w:t>
      </w:r>
      <w:r>
        <w:rPr/>
        <w:t>pun</w:t>
      </w:r>
      <w:r>
        <w:rPr>
          <w:spacing w:val="-14"/>
        </w:rPr>
        <w:t> </w:t>
      </w:r>
      <w:r>
        <w:rPr/>
        <w:t>dari</w:t>
      </w:r>
      <w:r>
        <w:rPr>
          <w:spacing w:val="-14"/>
        </w:rPr>
        <w:t> </w:t>
      </w:r>
      <w:r>
        <w:rPr/>
        <w:t>elemen-elemen</w:t>
      </w:r>
      <w:r>
        <w:rPr>
          <w:spacing w:val="-14"/>
        </w:rPr>
        <w:t> </w:t>
      </w:r>
      <w:r>
        <w:rPr/>
        <w:t>ini</w:t>
      </w:r>
      <w:r>
        <w:rPr>
          <w:spacing w:val="-13"/>
        </w:rPr>
        <w:t> </w:t>
      </w:r>
      <w:r>
        <w:rPr/>
        <w:t>yang</w:t>
      </w:r>
      <w:r>
        <w:rPr>
          <w:spacing w:val="-14"/>
        </w:rPr>
        <w:t> </w:t>
      </w:r>
      <w:r>
        <w:rPr/>
        <w:t>tetap konstan dari waktu ke waktu. Pengaruh utamanya adalah karena jumlah uang beredar (sisi permintaan). Di mana tingkat inflasi dalam perekonomian Indonesia secara langsung dipengaruhi oleh perubahan jumlah uang beredar di</w:t>
      </w:r>
      <w:r>
        <w:rPr>
          <w:spacing w:val="-15"/>
        </w:rPr>
        <w:t> </w:t>
      </w:r>
      <w:r>
        <w:rPr/>
        <w:t>pasar</w:t>
      </w:r>
      <w:r>
        <w:rPr>
          <w:spacing w:val="-15"/>
        </w:rPr>
        <w:t> </w:t>
      </w:r>
      <w:r>
        <w:rPr/>
        <w:t>domestik</w:t>
      </w:r>
      <w:r>
        <w:rPr>
          <w:spacing w:val="-15"/>
        </w:rPr>
        <w:t> </w:t>
      </w:r>
      <w:r>
        <w:rPr/>
        <w:t>Indonesia.</w:t>
      </w:r>
      <w:r>
        <w:rPr>
          <w:spacing w:val="-15"/>
        </w:rPr>
        <w:t> </w:t>
      </w:r>
      <w:r>
        <w:rPr/>
        <w:t>Inflasi</w:t>
      </w:r>
      <w:r>
        <w:rPr>
          <w:spacing w:val="-15"/>
        </w:rPr>
        <w:t> </w:t>
      </w:r>
      <w:r>
        <w:rPr/>
        <w:t>di</w:t>
      </w:r>
      <w:r>
        <w:rPr>
          <w:spacing w:val="-15"/>
        </w:rPr>
        <w:t> </w:t>
      </w:r>
      <w:r>
        <w:rPr/>
        <w:t>Indonesia</w:t>
      </w:r>
      <w:r>
        <w:rPr>
          <w:spacing w:val="-15"/>
        </w:rPr>
        <w:t> </w:t>
      </w:r>
      <w:r>
        <w:rPr/>
        <w:t>dipengaruhi oleh</w:t>
      </w:r>
      <w:r>
        <w:rPr>
          <w:spacing w:val="-15"/>
        </w:rPr>
        <w:t> </w:t>
      </w:r>
      <w:r>
        <w:rPr/>
        <w:t>komponen</w:t>
      </w:r>
      <w:r>
        <w:rPr>
          <w:spacing w:val="-15"/>
        </w:rPr>
        <w:t> </w:t>
      </w:r>
      <w:r>
        <w:rPr/>
        <w:t>biaya</w:t>
      </w:r>
      <w:r>
        <w:rPr>
          <w:spacing w:val="-15"/>
        </w:rPr>
        <w:t> </w:t>
      </w:r>
      <w:r>
        <w:rPr/>
        <w:t>dari</w:t>
      </w:r>
      <w:r>
        <w:rPr>
          <w:spacing w:val="-14"/>
        </w:rPr>
        <w:t> </w:t>
      </w:r>
      <w:r>
        <w:rPr/>
        <w:t>sisi</w:t>
      </w:r>
      <w:r>
        <w:rPr>
          <w:spacing w:val="-14"/>
        </w:rPr>
        <w:t> </w:t>
      </w:r>
      <w:r>
        <w:rPr/>
        <w:t>penawaran</w:t>
      </w:r>
      <w:r>
        <w:rPr>
          <w:spacing w:val="-14"/>
        </w:rPr>
        <w:t> </w:t>
      </w:r>
      <w:r>
        <w:rPr/>
        <w:t>dan</w:t>
      </w:r>
      <w:r>
        <w:rPr>
          <w:spacing w:val="-13"/>
        </w:rPr>
        <w:t> </w:t>
      </w:r>
      <w:r>
        <w:rPr/>
        <w:t>elemen</w:t>
      </w:r>
      <w:r>
        <w:rPr>
          <w:spacing w:val="-14"/>
        </w:rPr>
        <w:t> </w:t>
      </w:r>
      <w:r>
        <w:rPr/>
        <w:t>jumlah uang beredar dari sisi permintaan. Namun, dapat juga dikatakan bahwa jumlah uang beredar dan inflasi memiliki hubungan</w:t>
      </w:r>
      <w:r>
        <w:rPr>
          <w:spacing w:val="-15"/>
        </w:rPr>
        <w:t> </w:t>
      </w:r>
      <w:r>
        <w:rPr/>
        <w:t>sebab</w:t>
      </w:r>
      <w:r>
        <w:rPr>
          <w:spacing w:val="-15"/>
        </w:rPr>
        <w:t> </w:t>
      </w:r>
      <w:r>
        <w:rPr/>
        <w:t>akibat,</w:t>
      </w:r>
      <w:r>
        <w:rPr>
          <w:spacing w:val="-15"/>
        </w:rPr>
        <w:t> </w:t>
      </w:r>
      <w:r>
        <w:rPr/>
        <w:t>dan</w:t>
      </w:r>
      <w:r>
        <w:rPr>
          <w:spacing w:val="-15"/>
        </w:rPr>
        <w:t> </w:t>
      </w:r>
      <w:r>
        <w:rPr/>
        <w:t>sebaliknya.</w:t>
      </w:r>
      <w:r>
        <w:rPr>
          <w:spacing w:val="-15"/>
        </w:rPr>
        <w:t> </w:t>
      </w:r>
      <w:r>
        <w:rPr/>
        <w:t>Jumlah</w:t>
      </w:r>
      <w:r>
        <w:rPr>
          <w:spacing w:val="-15"/>
        </w:rPr>
        <w:t> </w:t>
      </w:r>
      <w:r>
        <w:rPr/>
        <w:t>uang</w:t>
      </w:r>
      <w:r>
        <w:rPr>
          <w:spacing w:val="-15"/>
        </w:rPr>
        <w:t> </w:t>
      </w:r>
      <w:r>
        <w:rPr/>
        <w:t>beredar yang terlalu banyak atau inflasi diakibatkan oleh jumlah uang yang beredar yang berlebihan.</w:t>
      </w:r>
      <w:hyperlink w:history="true" w:anchor="_bookmark89">
        <w:r>
          <w:rPr>
            <w:vertAlign w:val="superscript"/>
          </w:rPr>
          <w:t>60</w:t>
        </w:r>
      </w:hyperlink>
    </w:p>
    <w:p>
      <w:pPr>
        <w:pStyle w:val="BodyText"/>
        <w:spacing w:line="360" w:lineRule="auto" w:before="159"/>
        <w:ind w:left="3264" w:right="158" w:firstLine="360"/>
        <w:jc w:val="both"/>
      </w:pPr>
      <w:r>
        <w:rPr/>
        <w:t>Kenaikan harga barang dan jasa secara umum dalam suatu perekonomian dikenal sebagai inflasi.</w:t>
      </w:r>
      <w:hyperlink w:history="true" w:anchor="_bookmark90">
        <w:r>
          <w:rPr>
            <w:vertAlign w:val="superscript"/>
          </w:rPr>
          <w:t>61</w:t>
        </w:r>
      </w:hyperlink>
      <w:r>
        <w:rPr>
          <w:vertAlign w:val="baseline"/>
        </w:rPr>
        <w:t> Karena </w:t>
      </w:r>
      <w:r>
        <w:rPr>
          <w:vertAlign w:val="baseline"/>
        </w:rPr>
        <w:t>mata uang Islam yang berbasis dinar dan dirham selalu stabil, maka Islam tidak mengalami inflasi. Dinar dan dirham merupakan mata uang yang tepat karena beberapa alasan, antara lain:</w:t>
      </w:r>
      <w:hyperlink w:history="true" w:anchor="_bookmark91">
        <w:r>
          <w:rPr>
            <w:vertAlign w:val="superscript"/>
          </w:rPr>
          <w:t>62</w:t>
        </w:r>
      </w:hyperlink>
    </w:p>
    <w:p>
      <w:pPr>
        <w:pStyle w:val="BodyText"/>
        <w:rPr>
          <w:sz w:val="20"/>
        </w:rPr>
      </w:pPr>
    </w:p>
    <w:p>
      <w:pPr>
        <w:pStyle w:val="BodyText"/>
        <w:spacing w:before="94"/>
        <w:rPr>
          <w:sz w:val="20"/>
        </w:rPr>
      </w:pPr>
      <w:r>
        <w:rPr>
          <w:sz w:val="20"/>
        </w:rPr>
        <mc:AlternateContent>
          <mc:Choice Requires="wps">
            <w:drawing>
              <wp:anchor distT="0" distB="0" distL="0" distR="0" allowOverlap="1" layoutInCell="1" locked="0" behindDoc="1" simplePos="0" relativeHeight="487607296">
                <wp:simplePos x="0" y="0"/>
                <wp:positionH relativeFrom="page">
                  <wp:posOffset>914704</wp:posOffset>
                </wp:positionH>
                <wp:positionV relativeFrom="paragraph">
                  <wp:posOffset>221177</wp:posOffset>
                </wp:positionV>
                <wp:extent cx="1829435" cy="9525"/>
                <wp:effectExtent l="0" t="0" r="0" b="0"/>
                <wp:wrapTopAndBottom/>
                <wp:docPr id="275" name="Graphic 275"/>
                <wp:cNvGraphicFramePr>
                  <a:graphicFrameLocks/>
                </wp:cNvGraphicFramePr>
                <a:graphic>
                  <a:graphicData uri="http://schemas.microsoft.com/office/word/2010/wordprocessingShape">
                    <wps:wsp>
                      <wps:cNvPr id="275" name="Graphic 275"/>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7.415537pt;width:144.020pt;height:.71997pt;mso-position-horizontal-relative:page;mso-position-vertical-relative:paragraph;z-index:-15709184;mso-wrap-distance-left:0;mso-wrap-distance-right:0" id="docshape247" filled="true" fillcolor="#000000" stroked="false">
                <v:fill type="solid"/>
                <w10:wrap type="topAndBottom"/>
              </v:rect>
            </w:pict>
          </mc:Fallback>
        </mc:AlternateContent>
      </w:r>
    </w:p>
    <w:p>
      <w:pPr>
        <w:spacing w:before="101"/>
        <w:ind w:left="23" w:right="166" w:firstLine="719"/>
        <w:jc w:val="both"/>
        <w:rPr>
          <w:sz w:val="20"/>
        </w:rPr>
      </w:pPr>
      <w:bookmarkStart w:name="_bookmark89" w:id="90"/>
      <w:bookmarkEnd w:id="90"/>
      <w:r>
        <w:rPr/>
      </w:r>
      <w:r>
        <w:rPr>
          <w:sz w:val="20"/>
          <w:vertAlign w:val="superscript"/>
        </w:rPr>
        <w:t>60</w:t>
      </w:r>
      <w:r>
        <w:rPr>
          <w:sz w:val="20"/>
          <w:vertAlign w:val="baseline"/>
        </w:rPr>
        <w:t> Tamrin Lanori and Bambang Heri Supriyanto, </w:t>
      </w:r>
      <w:r>
        <w:rPr>
          <w:i/>
          <w:sz w:val="20"/>
          <w:vertAlign w:val="baseline"/>
        </w:rPr>
        <w:t>Analisis Perilaku Inflasi Negara Indonesia Tinjauan Historis Ekonomi Dalam Pusara Ekonomi Kerakyatan </w:t>
      </w:r>
      <w:r>
        <w:rPr>
          <w:sz w:val="20"/>
          <w:vertAlign w:val="baseline"/>
        </w:rPr>
        <w:t>(Jakarta: Global Express Media, 2023).</w:t>
      </w:r>
    </w:p>
    <w:p>
      <w:pPr>
        <w:spacing w:before="1"/>
        <w:ind w:left="23" w:right="173" w:firstLine="719"/>
        <w:jc w:val="both"/>
        <w:rPr>
          <w:sz w:val="20"/>
        </w:rPr>
      </w:pPr>
      <w:bookmarkStart w:name="_bookmark90" w:id="91"/>
      <w:bookmarkEnd w:id="91"/>
      <w:r>
        <w:rPr/>
      </w:r>
      <w:r>
        <w:rPr>
          <w:sz w:val="20"/>
          <w:vertAlign w:val="superscript"/>
        </w:rPr>
        <w:t>61</w:t>
      </w:r>
      <w:r>
        <w:rPr>
          <w:sz w:val="20"/>
          <w:vertAlign w:val="baseline"/>
        </w:rPr>
        <w:t> Hilyati Zikriani and others, ‘Analisis Pengaruh Tingkat Inflasi Dan Suku Bunga Terhadap Kinerja Keuangan Perusahaan Dengan Nilai Tukar Sebagai Moderasi’, 5.12 (2024), 5928–39.</w:t>
      </w:r>
    </w:p>
    <w:p>
      <w:pPr>
        <w:spacing w:before="0"/>
        <w:ind w:left="23" w:right="161" w:firstLine="719"/>
        <w:jc w:val="both"/>
        <w:rPr>
          <w:sz w:val="20"/>
        </w:rPr>
      </w:pPr>
      <w:bookmarkStart w:name="_bookmark91" w:id="92"/>
      <w:bookmarkEnd w:id="92"/>
      <w:r>
        <w:rPr/>
      </w:r>
      <w:r>
        <w:rPr>
          <w:sz w:val="20"/>
          <w:vertAlign w:val="superscript"/>
        </w:rPr>
        <w:t>62</w:t>
      </w:r>
      <w:r>
        <w:rPr>
          <w:spacing w:val="-8"/>
          <w:sz w:val="20"/>
          <w:vertAlign w:val="baseline"/>
        </w:rPr>
        <w:t> </w:t>
      </w:r>
      <w:r>
        <w:rPr>
          <w:sz w:val="20"/>
          <w:vertAlign w:val="baseline"/>
        </w:rPr>
        <w:t>Agung</w:t>
      </w:r>
      <w:r>
        <w:rPr>
          <w:spacing w:val="-7"/>
          <w:sz w:val="20"/>
          <w:vertAlign w:val="baseline"/>
        </w:rPr>
        <w:t> </w:t>
      </w:r>
      <w:r>
        <w:rPr>
          <w:sz w:val="20"/>
          <w:vertAlign w:val="baseline"/>
        </w:rPr>
        <w:t>Multazam,</w:t>
      </w:r>
      <w:r>
        <w:rPr>
          <w:spacing w:val="-7"/>
          <w:sz w:val="20"/>
          <w:vertAlign w:val="baseline"/>
        </w:rPr>
        <w:t> </w:t>
      </w:r>
      <w:r>
        <w:rPr>
          <w:sz w:val="20"/>
          <w:vertAlign w:val="baseline"/>
        </w:rPr>
        <w:t>‘Analisis</w:t>
      </w:r>
      <w:r>
        <w:rPr>
          <w:spacing w:val="-9"/>
          <w:sz w:val="20"/>
          <w:vertAlign w:val="baseline"/>
        </w:rPr>
        <w:t> </w:t>
      </w:r>
      <w:r>
        <w:rPr>
          <w:sz w:val="20"/>
          <w:vertAlign w:val="baseline"/>
        </w:rPr>
        <w:t>Dampak</w:t>
      </w:r>
      <w:r>
        <w:rPr>
          <w:spacing w:val="-6"/>
          <w:sz w:val="20"/>
          <w:vertAlign w:val="baseline"/>
        </w:rPr>
        <w:t> </w:t>
      </w:r>
      <w:r>
        <w:rPr>
          <w:sz w:val="20"/>
          <w:vertAlign w:val="baseline"/>
        </w:rPr>
        <w:t>Suku</w:t>
      </w:r>
      <w:r>
        <w:rPr>
          <w:spacing w:val="-7"/>
          <w:sz w:val="20"/>
          <w:vertAlign w:val="baseline"/>
        </w:rPr>
        <w:t> </w:t>
      </w:r>
      <w:r>
        <w:rPr>
          <w:sz w:val="20"/>
          <w:vertAlign w:val="baseline"/>
        </w:rPr>
        <w:t>Bunga</w:t>
      </w:r>
      <w:r>
        <w:rPr>
          <w:spacing w:val="-7"/>
          <w:sz w:val="20"/>
          <w:vertAlign w:val="baseline"/>
        </w:rPr>
        <w:t> </w:t>
      </w:r>
      <w:r>
        <w:rPr>
          <w:sz w:val="20"/>
          <w:vertAlign w:val="baseline"/>
        </w:rPr>
        <w:t>SBI,</w:t>
      </w:r>
      <w:r>
        <w:rPr>
          <w:spacing w:val="-7"/>
          <w:sz w:val="20"/>
          <w:vertAlign w:val="baseline"/>
        </w:rPr>
        <w:t> </w:t>
      </w:r>
      <w:r>
        <w:rPr>
          <w:sz w:val="20"/>
          <w:vertAlign w:val="baseline"/>
        </w:rPr>
        <w:t>Inflasi,</w:t>
      </w:r>
      <w:r>
        <w:rPr>
          <w:spacing w:val="-7"/>
          <w:sz w:val="20"/>
          <w:vertAlign w:val="baseline"/>
        </w:rPr>
        <w:t> </w:t>
      </w:r>
      <w:r>
        <w:rPr>
          <w:sz w:val="20"/>
          <w:vertAlign w:val="baseline"/>
        </w:rPr>
        <w:t>Serta</w:t>
      </w:r>
      <w:r>
        <w:rPr>
          <w:spacing w:val="-8"/>
          <w:sz w:val="20"/>
          <w:vertAlign w:val="baseline"/>
        </w:rPr>
        <w:t> </w:t>
      </w:r>
      <w:r>
        <w:rPr>
          <w:sz w:val="20"/>
          <w:vertAlign w:val="baseline"/>
        </w:rPr>
        <w:t>Pertumbuhan</w:t>
      </w:r>
      <w:r>
        <w:rPr>
          <w:spacing w:val="-6"/>
          <w:sz w:val="20"/>
          <w:vertAlign w:val="baseline"/>
        </w:rPr>
        <w:t> </w:t>
      </w:r>
      <w:r>
        <w:rPr>
          <w:sz w:val="20"/>
          <w:vertAlign w:val="baseline"/>
        </w:rPr>
        <w:t>Ekonomi</w:t>
      </w:r>
      <w:r>
        <w:rPr>
          <w:spacing w:val="-8"/>
          <w:sz w:val="20"/>
          <w:vertAlign w:val="baseline"/>
        </w:rPr>
        <w:t> </w:t>
      </w:r>
      <w:r>
        <w:rPr>
          <w:sz w:val="20"/>
          <w:vertAlign w:val="baseline"/>
        </w:rPr>
        <w:t>Terhadap Return Saham Syariah Pada Jakarta Islamic Index Indonesia’, </w:t>
      </w:r>
      <w:r>
        <w:rPr>
          <w:i/>
          <w:sz w:val="20"/>
          <w:vertAlign w:val="baseline"/>
        </w:rPr>
        <w:t>Iqtishodia: Jurnal Ekonomi Syariah</w:t>
      </w:r>
      <w:r>
        <w:rPr>
          <w:sz w:val="20"/>
          <w:vertAlign w:val="baseline"/>
        </w:rPr>
        <w:t>, 3.2 (2018), 132–51 &lt;https://doi.org/10.35897/iqtishodia.v3i2.218&gt;.</w:t>
      </w:r>
    </w:p>
    <w:p>
      <w:pPr>
        <w:spacing w:after="0"/>
        <w:jc w:val="both"/>
        <w:rPr>
          <w:sz w:val="20"/>
        </w:rPr>
        <w:sectPr>
          <w:pgSz w:w="11910" w:h="16840"/>
          <w:pgMar w:header="0" w:footer="1000" w:top="1360" w:bottom="1200" w:left="1417" w:right="1275"/>
        </w:sectPr>
      </w:pPr>
    </w:p>
    <w:p>
      <w:pPr>
        <w:pStyle w:val="ListParagraph"/>
        <w:numPr>
          <w:ilvl w:val="2"/>
          <w:numId w:val="22"/>
        </w:numPr>
        <w:tabs>
          <w:tab w:pos="4344" w:val="left" w:leader="none"/>
        </w:tabs>
        <w:spacing w:line="360" w:lineRule="auto" w:before="60" w:after="0"/>
        <w:ind w:left="4344" w:right="166" w:hanging="360"/>
        <w:jc w:val="both"/>
        <w:rPr>
          <w:sz w:val="24"/>
        </w:rPr>
      </w:pPr>
      <w:r>
        <w:rPr>
          <w:sz w:val="24"/>
        </w:rPr>
        <w:t>Islam telah mengaitkan emas dan perak dengan aturan-aturan yang tetap dan baku.</w:t>
      </w:r>
    </w:p>
    <w:p>
      <w:pPr>
        <w:pStyle w:val="ListParagraph"/>
        <w:numPr>
          <w:ilvl w:val="2"/>
          <w:numId w:val="22"/>
        </w:numPr>
        <w:tabs>
          <w:tab w:pos="4344" w:val="left" w:leader="none"/>
        </w:tabs>
        <w:spacing w:line="360" w:lineRule="auto" w:before="1" w:after="0"/>
        <w:ind w:left="4344" w:right="162" w:hanging="360"/>
        <w:jc w:val="both"/>
        <w:rPr>
          <w:sz w:val="24"/>
        </w:rPr>
      </w:pPr>
      <w:r>
        <w:rPr>
          <w:sz w:val="24"/>
        </w:rPr>
        <w:t>Emas dan perak merupakan satu-satunya </w:t>
      </w:r>
      <w:r>
        <w:rPr>
          <w:sz w:val="24"/>
        </w:rPr>
        <w:t>mata uang yang ditetapkan oleh Rasulullah sebagai mata uang baku.</w:t>
      </w:r>
    </w:p>
    <w:p>
      <w:pPr>
        <w:pStyle w:val="ListParagraph"/>
        <w:numPr>
          <w:ilvl w:val="2"/>
          <w:numId w:val="22"/>
        </w:numPr>
        <w:tabs>
          <w:tab w:pos="4344" w:val="left" w:leader="none"/>
        </w:tabs>
        <w:spacing w:line="360" w:lineRule="auto" w:before="0" w:after="0"/>
        <w:ind w:left="4344" w:right="166" w:hanging="360"/>
        <w:jc w:val="both"/>
        <w:rPr>
          <w:sz w:val="24"/>
        </w:rPr>
      </w:pPr>
      <w:r>
        <w:rPr>
          <w:sz w:val="24"/>
        </w:rPr>
        <w:t>Ketika Allah SWT mewajibkan zakat atas mata uang, maka Dia mewajibkan zakat tersebut dibayarkan dalam bentuk emas dan perak.</w:t>
      </w:r>
    </w:p>
    <w:p>
      <w:pPr>
        <w:pStyle w:val="ListParagraph"/>
        <w:numPr>
          <w:ilvl w:val="2"/>
          <w:numId w:val="22"/>
        </w:numPr>
        <w:tabs>
          <w:tab w:pos="4344" w:val="left" w:leader="none"/>
        </w:tabs>
        <w:spacing w:line="360" w:lineRule="auto" w:before="0" w:after="0"/>
        <w:ind w:left="4344" w:right="164" w:hanging="360"/>
        <w:jc w:val="both"/>
        <w:rPr>
          <w:sz w:val="24"/>
        </w:rPr>
      </w:pPr>
      <w:r>
        <w:rPr>
          <w:sz w:val="24"/>
        </w:rPr>
        <w:t>Hanya emas dan perak yang digunakan </w:t>
      </w:r>
      <w:r>
        <w:rPr>
          <w:sz w:val="24"/>
        </w:rPr>
        <w:t>dalam transaksi uang, demikian pula dalam transaksi lain yang secara eksklusif dinyatakan dengan emas dan perak, sesuai dengan ketentuan yang mengatur</w:t>
      </w:r>
      <w:r>
        <w:rPr>
          <w:spacing w:val="-2"/>
          <w:sz w:val="24"/>
        </w:rPr>
        <w:t> </w:t>
      </w:r>
      <w:r>
        <w:rPr>
          <w:sz w:val="24"/>
        </w:rPr>
        <w:t>pertukaran</w:t>
      </w:r>
      <w:r>
        <w:rPr>
          <w:spacing w:val="-2"/>
          <w:sz w:val="24"/>
        </w:rPr>
        <w:t> </w:t>
      </w:r>
      <w:r>
        <w:rPr>
          <w:sz w:val="24"/>
        </w:rPr>
        <w:t>mata</w:t>
      </w:r>
      <w:r>
        <w:rPr>
          <w:spacing w:val="-3"/>
          <w:sz w:val="24"/>
        </w:rPr>
        <w:t> </w:t>
      </w:r>
      <w:r>
        <w:rPr>
          <w:sz w:val="24"/>
        </w:rPr>
        <w:t>uang.</w:t>
      </w:r>
      <w:r>
        <w:rPr>
          <w:spacing w:val="-2"/>
          <w:sz w:val="24"/>
        </w:rPr>
        <w:t> </w:t>
      </w:r>
      <w:r>
        <w:rPr>
          <w:sz w:val="24"/>
        </w:rPr>
        <w:t>Penurunan</w:t>
      </w:r>
      <w:r>
        <w:rPr>
          <w:spacing w:val="-2"/>
          <w:sz w:val="24"/>
        </w:rPr>
        <w:t> </w:t>
      </w:r>
      <w:r>
        <w:rPr>
          <w:sz w:val="24"/>
        </w:rPr>
        <w:t>nilai dinar dan dirham masih dapat dibayangkan, terutama ketika nilai emas yang menopang nilai nominal dinar menurun. Penemuan emas dalam skala besar adalah salah satunya, namun hal ini sangat tidak mungkin terjadi.</w:t>
      </w:r>
    </w:p>
    <w:p>
      <w:pPr>
        <w:pStyle w:val="BodyText"/>
        <w:spacing w:line="360" w:lineRule="auto" w:before="160"/>
        <w:ind w:left="3984" w:right="164"/>
        <w:jc w:val="both"/>
      </w:pPr>
      <w:r>
        <w:rPr/>
        <w:t>Inflasi dapat diklasifikasikan ke dalam dua kategori berdasarkan penyebabnya:</w:t>
      </w:r>
    </w:p>
    <w:p>
      <w:pPr>
        <w:pStyle w:val="ListParagraph"/>
        <w:numPr>
          <w:ilvl w:val="3"/>
          <w:numId w:val="22"/>
        </w:numPr>
        <w:tabs>
          <w:tab w:pos="4704" w:val="left" w:leader="none"/>
        </w:tabs>
        <w:spacing w:line="360" w:lineRule="auto" w:before="161" w:after="0"/>
        <w:ind w:left="4704" w:right="161" w:hanging="360"/>
        <w:jc w:val="both"/>
        <w:rPr>
          <w:sz w:val="24"/>
        </w:rPr>
      </w:pPr>
      <w:r>
        <w:rPr>
          <w:sz w:val="24"/>
        </w:rPr>
        <w:t>Inflasi yang disebabkan oleh permintaan konsumen.</w:t>
      </w:r>
      <w:r>
        <w:rPr>
          <w:spacing w:val="-7"/>
          <w:sz w:val="24"/>
        </w:rPr>
        <w:t> </w:t>
      </w:r>
      <w:r>
        <w:rPr>
          <w:sz w:val="24"/>
        </w:rPr>
        <w:t>Adapun</w:t>
      </w:r>
      <w:r>
        <w:rPr>
          <w:spacing w:val="-7"/>
          <w:sz w:val="24"/>
        </w:rPr>
        <w:t> </w:t>
      </w:r>
      <w:r>
        <w:rPr>
          <w:sz w:val="24"/>
        </w:rPr>
        <w:t>konsumen</w:t>
      </w:r>
      <w:r>
        <w:rPr>
          <w:spacing w:val="-7"/>
          <w:sz w:val="24"/>
        </w:rPr>
        <w:t> </w:t>
      </w:r>
      <w:r>
        <w:rPr>
          <w:sz w:val="24"/>
        </w:rPr>
        <w:t>yang</w:t>
      </w:r>
      <w:r>
        <w:rPr>
          <w:spacing w:val="-7"/>
          <w:sz w:val="24"/>
        </w:rPr>
        <w:t> </w:t>
      </w:r>
      <w:r>
        <w:rPr>
          <w:sz w:val="24"/>
        </w:rPr>
        <w:t>membeli lebih banyak barang daripada yang biasanya diproduksi oleh perekonomian, atau karena permintaan luar negeri yang lebih banyak, yang menaikkan harga karena </w:t>
      </w:r>
      <w:r>
        <w:rPr>
          <w:i/>
          <w:sz w:val="24"/>
        </w:rPr>
        <w:t>"demand-poll inflation", </w:t>
      </w:r>
      <w:r>
        <w:rPr>
          <w:sz w:val="24"/>
        </w:rPr>
        <w:t>atau karena peningkatan pengeluaran pemerintah yang didanai oleh penciptaan mata uang baru.</w:t>
      </w:r>
    </w:p>
    <w:p>
      <w:pPr>
        <w:pStyle w:val="ListParagraph"/>
        <w:numPr>
          <w:ilvl w:val="3"/>
          <w:numId w:val="22"/>
        </w:numPr>
        <w:tabs>
          <w:tab w:pos="4704" w:val="left" w:leader="none"/>
        </w:tabs>
        <w:spacing w:line="360" w:lineRule="auto" w:before="0" w:after="0"/>
        <w:ind w:left="4704" w:right="163" w:hanging="360"/>
        <w:jc w:val="both"/>
        <w:rPr>
          <w:sz w:val="24"/>
        </w:rPr>
      </w:pPr>
      <w:r>
        <w:rPr>
          <w:sz w:val="24"/>
        </w:rPr>
        <w:t>Biaya produksi meningkat, </w:t>
      </w:r>
      <w:r>
        <w:rPr>
          <w:sz w:val="24"/>
        </w:rPr>
        <w:t>yang mengakibatkan inflasi. Jika biaya produksi meningkat, misalnya karena kenaikan upah tenaga</w:t>
      </w:r>
      <w:r>
        <w:rPr>
          <w:spacing w:val="-7"/>
          <w:sz w:val="24"/>
        </w:rPr>
        <w:t> </w:t>
      </w:r>
      <w:r>
        <w:rPr>
          <w:sz w:val="24"/>
        </w:rPr>
        <w:t>kerja</w:t>
      </w:r>
      <w:r>
        <w:rPr>
          <w:spacing w:val="-7"/>
          <w:sz w:val="24"/>
        </w:rPr>
        <w:t> </w:t>
      </w:r>
      <w:r>
        <w:rPr>
          <w:sz w:val="24"/>
        </w:rPr>
        <w:t>atau</w:t>
      </w:r>
      <w:r>
        <w:rPr>
          <w:spacing w:val="-6"/>
          <w:sz w:val="24"/>
        </w:rPr>
        <w:t> </w:t>
      </w:r>
      <w:r>
        <w:rPr>
          <w:sz w:val="24"/>
        </w:rPr>
        <w:t>biaya</w:t>
      </w:r>
      <w:r>
        <w:rPr>
          <w:spacing w:val="-8"/>
          <w:sz w:val="24"/>
        </w:rPr>
        <w:t> </w:t>
      </w:r>
      <w:r>
        <w:rPr>
          <w:sz w:val="24"/>
        </w:rPr>
        <w:t>bahan</w:t>
      </w:r>
      <w:r>
        <w:rPr>
          <w:spacing w:val="-6"/>
          <w:sz w:val="24"/>
        </w:rPr>
        <w:t> </w:t>
      </w:r>
      <w:r>
        <w:rPr>
          <w:sz w:val="24"/>
        </w:rPr>
        <w:t>produksi,</w:t>
      </w:r>
      <w:r>
        <w:rPr>
          <w:spacing w:val="-5"/>
          <w:sz w:val="24"/>
        </w:rPr>
        <w:t> </w:t>
      </w:r>
      <w:r>
        <w:rPr>
          <w:spacing w:val="-4"/>
          <w:sz w:val="24"/>
        </w:rPr>
        <w:t>maka</w:t>
      </w:r>
    </w:p>
    <w:p>
      <w:pPr>
        <w:pStyle w:val="ListParagraph"/>
        <w:spacing w:after="0" w:line="360" w:lineRule="auto"/>
        <w:jc w:val="both"/>
        <w:rPr>
          <w:sz w:val="24"/>
        </w:rPr>
        <w:sectPr>
          <w:pgSz w:w="11910" w:h="16840"/>
          <w:pgMar w:header="0" w:footer="1000" w:top="1360" w:bottom="1200" w:left="1417" w:right="1275"/>
        </w:sectPr>
      </w:pPr>
    </w:p>
    <w:p>
      <w:pPr>
        <w:pStyle w:val="BodyText"/>
        <w:spacing w:line="360" w:lineRule="auto" w:before="60"/>
        <w:ind w:left="4704" w:right="160"/>
        <w:jc w:val="both"/>
      </w:pPr>
      <w:r>
        <w:rPr/>
        <w:t>harga jual bahan atau komoditas juga akan meningkat. Inflasi tersebut didorong </w:t>
      </w:r>
      <w:r>
        <w:rPr/>
        <w:t>oleh biaya (</w:t>
      </w:r>
      <w:r>
        <w:rPr>
          <w:i/>
        </w:rPr>
        <w:t>cost-push inflation</w:t>
      </w:r>
      <w:r>
        <w:rPr/>
        <w:t>). Sebuah tim pengamat meneliti hubungan antara inflasi dan perspektif “</w:t>
      </w:r>
      <w:r>
        <w:rPr>
          <w:i/>
        </w:rPr>
        <w:t>cost-push inflation</w:t>
      </w:r>
      <w:r>
        <w:rPr/>
        <w:t>”, yang menyelidiki penyebab inflasi. Hubungan antara indeks perdagangan besar dan inflasi adalah indeks impor. Menurut analisis, peningkatan biaya impor memiliki dampak langsung pada tingkat inflasi Indonesia. Dampak dari tekanan biaya terhadap inflasi lebih terasa ketika mempertimbangkan evolusi indeks harga perdagangan besar, dimana</w:t>
      </w:r>
      <w:r>
        <w:rPr>
          <w:spacing w:val="-3"/>
        </w:rPr>
        <w:t> </w:t>
      </w:r>
      <w:r>
        <w:rPr/>
        <w:t>harga</w:t>
      </w:r>
      <w:r>
        <w:rPr>
          <w:spacing w:val="-4"/>
        </w:rPr>
        <w:t> </w:t>
      </w:r>
      <w:r>
        <w:rPr/>
        <w:t>barang</w:t>
      </w:r>
      <w:r>
        <w:rPr>
          <w:spacing w:val="-2"/>
        </w:rPr>
        <w:t> </w:t>
      </w:r>
      <w:r>
        <w:rPr/>
        <w:t>impor</w:t>
      </w:r>
      <w:r>
        <w:rPr>
          <w:spacing w:val="-3"/>
        </w:rPr>
        <w:t> </w:t>
      </w:r>
      <w:r>
        <w:rPr/>
        <w:t>merupakan</w:t>
      </w:r>
      <w:r>
        <w:rPr>
          <w:spacing w:val="-2"/>
        </w:rPr>
        <w:t> </w:t>
      </w:r>
      <w:r>
        <w:rPr/>
        <w:t>salah satu elemen yang membentuk indeks harga perdagangan grosir. Akibatnya, kenaikan harga grosir mempercepat laju inflasi.</w:t>
      </w:r>
    </w:p>
    <w:p>
      <w:pPr>
        <w:pStyle w:val="Heading2"/>
        <w:numPr>
          <w:ilvl w:val="2"/>
          <w:numId w:val="12"/>
        </w:numPr>
        <w:tabs>
          <w:tab w:pos="1763" w:val="left" w:leader="none"/>
        </w:tabs>
        <w:spacing w:line="240" w:lineRule="auto" w:before="162" w:after="0"/>
        <w:ind w:left="1763" w:right="0" w:hanging="660"/>
        <w:jc w:val="both"/>
      </w:pPr>
      <w:bookmarkStart w:name="_bookmark92" w:id="93"/>
      <w:bookmarkEnd w:id="93"/>
      <w:r>
        <w:rPr>
          <w:b w:val="0"/>
        </w:rPr>
      </w:r>
      <w:r>
        <w:rPr/>
        <w:t>Indeks</w:t>
      </w:r>
      <w:r>
        <w:rPr>
          <w:spacing w:val="-4"/>
        </w:rPr>
        <w:t> </w:t>
      </w:r>
      <w:r>
        <w:rPr/>
        <w:t>Produksi</w:t>
      </w:r>
      <w:r>
        <w:rPr>
          <w:spacing w:val="-5"/>
        </w:rPr>
        <w:t> </w:t>
      </w:r>
      <w:r>
        <w:rPr/>
        <w:t>Industri</w:t>
      </w:r>
      <w:r>
        <w:rPr>
          <w:spacing w:val="-3"/>
        </w:rPr>
        <w:t> </w:t>
      </w:r>
      <w:r>
        <w:rPr>
          <w:spacing w:val="-2"/>
        </w:rPr>
        <w:t>(IPI)</w:t>
      </w:r>
    </w:p>
    <w:p>
      <w:pPr>
        <w:pStyle w:val="BodyText"/>
        <w:spacing w:before="21"/>
        <w:rPr>
          <w:b/>
        </w:rPr>
      </w:pPr>
    </w:p>
    <w:p>
      <w:pPr>
        <w:pStyle w:val="BodyText"/>
        <w:spacing w:line="360" w:lineRule="auto" w:before="1"/>
        <w:ind w:left="1823" w:right="161" w:firstLine="360"/>
        <w:jc w:val="both"/>
      </w:pPr>
      <w:r>
        <w:rPr/>
        <w:t>Seiring</w:t>
      </w:r>
      <w:r>
        <w:rPr>
          <w:spacing w:val="-15"/>
        </w:rPr>
        <w:t> </w:t>
      </w:r>
      <w:r>
        <w:rPr/>
        <w:t>berjalannya</w:t>
      </w:r>
      <w:r>
        <w:rPr>
          <w:spacing w:val="-15"/>
        </w:rPr>
        <w:t> </w:t>
      </w:r>
      <w:r>
        <w:rPr/>
        <w:t>waktu,</w:t>
      </w:r>
      <w:r>
        <w:rPr>
          <w:spacing w:val="-15"/>
        </w:rPr>
        <w:t> </w:t>
      </w:r>
      <w:r>
        <w:rPr/>
        <w:t>perkembangan</w:t>
      </w:r>
      <w:r>
        <w:rPr>
          <w:spacing w:val="-15"/>
        </w:rPr>
        <w:t> </w:t>
      </w:r>
      <w:r>
        <w:rPr/>
        <w:t>industri</w:t>
      </w:r>
      <w:r>
        <w:rPr>
          <w:spacing w:val="-15"/>
        </w:rPr>
        <w:t> </w:t>
      </w:r>
      <w:r>
        <w:rPr/>
        <w:t>di</w:t>
      </w:r>
      <w:r>
        <w:rPr>
          <w:spacing w:val="-15"/>
        </w:rPr>
        <w:t> </w:t>
      </w:r>
      <w:r>
        <w:rPr/>
        <w:t>Indonesia</w:t>
      </w:r>
      <w:r>
        <w:rPr>
          <w:spacing w:val="-15"/>
        </w:rPr>
        <w:t> </w:t>
      </w:r>
      <w:r>
        <w:rPr/>
        <w:t>semakin pesat.</w:t>
      </w:r>
      <w:r>
        <w:rPr>
          <w:spacing w:val="-10"/>
        </w:rPr>
        <w:t> </w:t>
      </w:r>
      <w:r>
        <w:rPr/>
        <w:t>Populasi</w:t>
      </w:r>
      <w:r>
        <w:rPr>
          <w:spacing w:val="-10"/>
        </w:rPr>
        <w:t> </w:t>
      </w:r>
      <w:r>
        <w:rPr/>
        <w:t>yang</w:t>
      </w:r>
      <w:r>
        <w:rPr>
          <w:spacing w:val="-11"/>
        </w:rPr>
        <w:t> </w:t>
      </w:r>
      <w:r>
        <w:rPr/>
        <w:t>terus</w:t>
      </w:r>
      <w:r>
        <w:rPr>
          <w:spacing w:val="-10"/>
        </w:rPr>
        <w:t> </w:t>
      </w:r>
      <w:r>
        <w:rPr/>
        <w:t>bertambah</w:t>
      </w:r>
      <w:r>
        <w:rPr>
          <w:spacing w:val="-9"/>
        </w:rPr>
        <w:t> </w:t>
      </w:r>
      <w:r>
        <w:rPr/>
        <w:t>menjadi</w:t>
      </w:r>
      <w:r>
        <w:rPr>
          <w:spacing w:val="-10"/>
        </w:rPr>
        <w:t> </w:t>
      </w:r>
      <w:r>
        <w:rPr/>
        <w:t>salah</w:t>
      </w:r>
      <w:r>
        <w:rPr>
          <w:spacing w:val="-11"/>
        </w:rPr>
        <w:t> </w:t>
      </w:r>
      <w:r>
        <w:rPr/>
        <w:t>satu</w:t>
      </w:r>
      <w:r>
        <w:rPr>
          <w:spacing w:val="-10"/>
        </w:rPr>
        <w:t> </w:t>
      </w:r>
      <w:r>
        <w:rPr/>
        <w:t>pemicunya.</w:t>
      </w:r>
      <w:r>
        <w:rPr>
          <w:spacing w:val="-9"/>
        </w:rPr>
        <w:t> </w:t>
      </w:r>
      <w:r>
        <w:rPr/>
        <w:t>Hal</w:t>
      </w:r>
      <w:r>
        <w:rPr>
          <w:spacing w:val="-10"/>
        </w:rPr>
        <w:t> </w:t>
      </w:r>
      <w:r>
        <w:rPr/>
        <w:t>ini disebabkan</w:t>
      </w:r>
      <w:r>
        <w:rPr>
          <w:spacing w:val="-8"/>
        </w:rPr>
        <w:t> </w:t>
      </w:r>
      <w:r>
        <w:rPr/>
        <w:t>oleh</w:t>
      </w:r>
      <w:r>
        <w:rPr>
          <w:spacing w:val="-8"/>
        </w:rPr>
        <w:t> </w:t>
      </w:r>
      <w:r>
        <w:rPr/>
        <w:t>tingginya</w:t>
      </w:r>
      <w:r>
        <w:rPr>
          <w:spacing w:val="-9"/>
        </w:rPr>
        <w:t> </w:t>
      </w:r>
      <w:r>
        <w:rPr/>
        <w:t>jumlah</w:t>
      </w:r>
      <w:r>
        <w:rPr>
          <w:spacing w:val="-9"/>
        </w:rPr>
        <w:t> </w:t>
      </w:r>
      <w:r>
        <w:rPr/>
        <w:t>individu,</w:t>
      </w:r>
      <w:r>
        <w:rPr>
          <w:spacing w:val="-8"/>
        </w:rPr>
        <w:t> </w:t>
      </w:r>
      <w:r>
        <w:rPr/>
        <w:t>sehingga</w:t>
      </w:r>
      <w:r>
        <w:rPr>
          <w:spacing w:val="-9"/>
        </w:rPr>
        <w:t> </w:t>
      </w:r>
      <w:r>
        <w:rPr/>
        <w:t>menambah</w:t>
      </w:r>
      <w:r>
        <w:rPr>
          <w:spacing w:val="-8"/>
        </w:rPr>
        <w:t> </w:t>
      </w:r>
      <w:r>
        <w:rPr/>
        <w:t>kebutuhan untuk memenuhi kehidupan mereka. Kebutuhan hidup yang terus meningkat. Kebutuhan hidup yang terus meningkat mendorong industri ini untuk terus berkembang, sehingga mampu memenuhi permintaan pasar. Industri</w:t>
      </w:r>
      <w:r>
        <w:rPr>
          <w:spacing w:val="-9"/>
        </w:rPr>
        <w:t> </w:t>
      </w:r>
      <w:r>
        <w:rPr/>
        <w:t>yang</w:t>
      </w:r>
      <w:r>
        <w:rPr>
          <w:spacing w:val="-9"/>
        </w:rPr>
        <w:t> </w:t>
      </w:r>
      <w:r>
        <w:rPr/>
        <w:t>berkembang</w:t>
      </w:r>
      <w:r>
        <w:rPr>
          <w:spacing w:val="-9"/>
        </w:rPr>
        <w:t> </w:t>
      </w:r>
      <w:r>
        <w:rPr/>
        <w:t>dibuktikan</w:t>
      </w:r>
      <w:r>
        <w:rPr>
          <w:spacing w:val="-10"/>
        </w:rPr>
        <w:t> </w:t>
      </w:r>
      <w:r>
        <w:rPr/>
        <w:t>dengan</w:t>
      </w:r>
      <w:r>
        <w:rPr>
          <w:spacing w:val="-9"/>
        </w:rPr>
        <w:t> </w:t>
      </w:r>
      <w:r>
        <w:rPr/>
        <w:t>indeks</w:t>
      </w:r>
      <w:r>
        <w:rPr>
          <w:spacing w:val="-9"/>
        </w:rPr>
        <w:t> </w:t>
      </w:r>
      <w:r>
        <w:rPr/>
        <w:t>produksi</w:t>
      </w:r>
      <w:r>
        <w:rPr>
          <w:spacing w:val="-9"/>
        </w:rPr>
        <w:t> </w:t>
      </w:r>
      <w:r>
        <w:rPr/>
        <w:t>industri</w:t>
      </w:r>
      <w:r>
        <w:rPr>
          <w:spacing w:val="-9"/>
        </w:rPr>
        <w:t> </w:t>
      </w:r>
      <w:r>
        <w:rPr/>
        <w:t>yang menunjukkan peningkatan yang stabil setiap tahunnya. Indeks produksi industri</w:t>
      </w:r>
      <w:r>
        <w:rPr>
          <w:spacing w:val="-10"/>
        </w:rPr>
        <w:t> </w:t>
      </w:r>
      <w:r>
        <w:rPr/>
        <w:t>adalah</w:t>
      </w:r>
      <w:r>
        <w:rPr>
          <w:spacing w:val="-12"/>
        </w:rPr>
        <w:t> </w:t>
      </w:r>
      <w:r>
        <w:rPr/>
        <w:t>nilai</w:t>
      </w:r>
      <w:r>
        <w:rPr>
          <w:spacing w:val="-11"/>
        </w:rPr>
        <w:t> </w:t>
      </w:r>
      <w:r>
        <w:rPr/>
        <w:t>yang</w:t>
      </w:r>
      <w:r>
        <w:rPr>
          <w:spacing w:val="-10"/>
        </w:rPr>
        <w:t> </w:t>
      </w:r>
      <w:r>
        <w:rPr/>
        <w:t>menunjukkan</w:t>
      </w:r>
      <w:r>
        <w:rPr>
          <w:spacing w:val="-12"/>
        </w:rPr>
        <w:t> </w:t>
      </w:r>
      <w:r>
        <w:rPr/>
        <w:t>keberlangsungan</w:t>
      </w:r>
      <w:r>
        <w:rPr>
          <w:spacing w:val="-12"/>
        </w:rPr>
        <w:t> </w:t>
      </w:r>
      <w:r>
        <w:rPr/>
        <w:t>produksi</w:t>
      </w:r>
      <w:r>
        <w:rPr>
          <w:spacing w:val="-11"/>
        </w:rPr>
        <w:t> </w:t>
      </w:r>
      <w:r>
        <w:rPr/>
        <w:t>di</w:t>
      </w:r>
      <w:r>
        <w:rPr>
          <w:spacing w:val="-11"/>
        </w:rPr>
        <w:t> </w:t>
      </w:r>
      <w:r>
        <w:rPr/>
        <w:t>sektor industri manufaktur pada periode tertentu dibandingkan dengan periode dasar (100). Ketika nilai indeks produksi industri untuk periode saat ini melebihi 100, hal ini mengindikasikan bahwa sektor manufaktur secara umum mengalami pertumbuhan pada periode tersebut relatif terhadap periode</w:t>
      </w:r>
      <w:r>
        <w:rPr>
          <w:spacing w:val="6"/>
        </w:rPr>
        <w:t> </w:t>
      </w:r>
      <w:r>
        <w:rPr/>
        <w:t>dasar.</w:t>
      </w:r>
      <w:r>
        <w:rPr>
          <w:spacing w:val="14"/>
        </w:rPr>
        <w:t> </w:t>
      </w:r>
      <w:r>
        <w:rPr/>
        <w:t>Indeks</w:t>
      </w:r>
      <w:r>
        <w:rPr>
          <w:spacing w:val="10"/>
        </w:rPr>
        <w:t> </w:t>
      </w:r>
      <w:r>
        <w:rPr/>
        <w:t>ini</w:t>
      </w:r>
      <w:r>
        <w:rPr>
          <w:spacing w:val="12"/>
        </w:rPr>
        <w:t> </w:t>
      </w:r>
      <w:r>
        <w:rPr/>
        <w:t>dianggap</w:t>
      </w:r>
      <w:r>
        <w:rPr>
          <w:spacing w:val="9"/>
        </w:rPr>
        <w:t> </w:t>
      </w:r>
      <w:r>
        <w:rPr/>
        <w:t>sebagai</w:t>
      </w:r>
      <w:r>
        <w:rPr>
          <w:spacing w:val="11"/>
        </w:rPr>
        <w:t> </w:t>
      </w:r>
      <w:r>
        <w:rPr/>
        <w:t>variabel</w:t>
      </w:r>
      <w:r>
        <w:rPr>
          <w:spacing w:val="10"/>
        </w:rPr>
        <w:t> </w:t>
      </w:r>
      <w:r>
        <w:rPr/>
        <w:t>makroekonomi</w:t>
      </w:r>
      <w:r>
        <w:rPr>
          <w:spacing w:val="11"/>
        </w:rPr>
        <w:t> </w:t>
      </w:r>
      <w:r>
        <w:rPr>
          <w:spacing w:val="-2"/>
        </w:rPr>
        <w:t>karena</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1823" w:right="164"/>
        <w:jc w:val="both"/>
      </w:pPr>
      <w:r>
        <w:rPr/>
        <w:t>mencerminkan perkembangan industri, dengan pertumbuhan di sektor industri yang mendorong ekspansi pasar modal.</w:t>
      </w:r>
      <w:hyperlink w:history="true" w:anchor="_bookmark93">
        <w:r>
          <w:rPr>
            <w:vertAlign w:val="superscript"/>
          </w:rPr>
          <w:t>63</w:t>
        </w:r>
      </w:hyperlink>
    </w:p>
    <w:p>
      <w:pPr>
        <w:pStyle w:val="BodyText"/>
        <w:spacing w:line="360" w:lineRule="auto" w:before="1"/>
        <w:ind w:left="1823" w:right="161" w:firstLine="360"/>
        <w:jc w:val="both"/>
      </w:pPr>
      <w:r>
        <w:rPr/>
        <w:t>Indeks Produksi Industri (IPI) adalah indikator kuantitatif yang mengukur volume output sektor industri suatu negara atau wilayah dalam periode tertentu dibandingkan dengan periode dasar. IPI mencerminkan aktivitas produksi di sektor manufaktur, pertambangan, dan utilitas, sehingga menjadi barometer penting bagi kinerja perekonomian dan tren perkembangan industri secara umum. Indeks ini biasanya disusun berdasarkan</w:t>
      </w:r>
      <w:r>
        <w:rPr>
          <w:spacing w:val="-15"/>
        </w:rPr>
        <w:t> </w:t>
      </w:r>
      <w:r>
        <w:rPr/>
        <w:t>data</w:t>
      </w:r>
      <w:r>
        <w:rPr>
          <w:spacing w:val="-15"/>
        </w:rPr>
        <w:t> </w:t>
      </w:r>
      <w:r>
        <w:rPr/>
        <w:t>produksi</w:t>
      </w:r>
      <w:r>
        <w:rPr>
          <w:spacing w:val="-15"/>
        </w:rPr>
        <w:t> </w:t>
      </w:r>
      <w:r>
        <w:rPr/>
        <w:t>aktual</w:t>
      </w:r>
      <w:r>
        <w:rPr>
          <w:spacing w:val="-15"/>
        </w:rPr>
        <w:t> </w:t>
      </w:r>
      <w:r>
        <w:rPr/>
        <w:t>yang</w:t>
      </w:r>
      <w:r>
        <w:rPr>
          <w:spacing w:val="-15"/>
        </w:rPr>
        <w:t> </w:t>
      </w:r>
      <w:r>
        <w:rPr/>
        <w:t>dikumpulkan</w:t>
      </w:r>
      <w:r>
        <w:rPr>
          <w:spacing w:val="-15"/>
        </w:rPr>
        <w:t> </w:t>
      </w:r>
      <w:r>
        <w:rPr/>
        <w:t>dari</w:t>
      </w:r>
      <w:r>
        <w:rPr>
          <w:spacing w:val="-15"/>
        </w:rPr>
        <w:t> </w:t>
      </w:r>
      <w:r>
        <w:rPr/>
        <w:t>sampel</w:t>
      </w:r>
      <w:r>
        <w:rPr>
          <w:spacing w:val="-15"/>
        </w:rPr>
        <w:t> </w:t>
      </w:r>
      <w:r>
        <w:rPr/>
        <w:t>perusahaan besar dan sedang yang mewakili berbagai subsektor industri.</w:t>
      </w:r>
      <w:r>
        <w:rPr>
          <w:spacing w:val="-1"/>
        </w:rPr>
        <w:t> </w:t>
      </w:r>
      <w:r>
        <w:rPr/>
        <w:t>Karena kontribusi sektor industri manufaktur yang signifikan terhadap PDB nasional, maka perlu adanya indikator awal untuk </w:t>
      </w:r>
      <w:r>
        <w:rPr/>
        <w:t>memantau perkembangannya. Salah satu indikator tersebut adalah indeks produksi Industri Manufaktur Besar dan Sedang (IBS) Bulanan. Pengolahan Survei IBS</w:t>
      </w:r>
      <w:r>
        <w:rPr>
          <w:spacing w:val="-12"/>
        </w:rPr>
        <w:t> </w:t>
      </w:r>
      <w:r>
        <w:rPr/>
        <w:t>Bulanan,</w:t>
      </w:r>
      <w:r>
        <w:rPr>
          <w:spacing w:val="-11"/>
        </w:rPr>
        <w:t> </w:t>
      </w:r>
      <w:r>
        <w:rPr/>
        <w:t>yang</w:t>
      </w:r>
      <w:r>
        <w:rPr>
          <w:spacing w:val="-13"/>
        </w:rPr>
        <w:t> </w:t>
      </w:r>
      <w:r>
        <w:rPr/>
        <w:t>mengumpulkan</w:t>
      </w:r>
      <w:r>
        <w:rPr>
          <w:spacing w:val="-13"/>
        </w:rPr>
        <w:t> </w:t>
      </w:r>
      <w:r>
        <w:rPr/>
        <w:t>data</w:t>
      </w:r>
      <w:r>
        <w:rPr>
          <w:spacing w:val="-14"/>
        </w:rPr>
        <w:t> </w:t>
      </w:r>
      <w:r>
        <w:rPr/>
        <w:t>dari</w:t>
      </w:r>
      <w:r>
        <w:rPr>
          <w:spacing w:val="-13"/>
        </w:rPr>
        <w:t> </w:t>
      </w:r>
      <w:r>
        <w:rPr/>
        <w:t>sejumlah</w:t>
      </w:r>
      <w:r>
        <w:rPr>
          <w:spacing w:val="-13"/>
        </w:rPr>
        <w:t> </w:t>
      </w:r>
      <w:r>
        <w:rPr/>
        <w:t>perusahaan</w:t>
      </w:r>
      <w:r>
        <w:rPr>
          <w:spacing w:val="-13"/>
        </w:rPr>
        <w:t> </w:t>
      </w:r>
      <w:r>
        <w:rPr/>
        <w:t>besar</w:t>
      </w:r>
      <w:r>
        <w:rPr>
          <w:spacing w:val="-12"/>
        </w:rPr>
        <w:t> </w:t>
      </w:r>
      <w:r>
        <w:rPr/>
        <w:t>dan sedang, menghasilkan indeks produksi. Karena dirancang secara periodik bulanan, angka indeks yang dihasilkan dapat menggambarkan perkembangan produksi di sektor industri manufaktur secara lebih dini. Data yang dikumpulkan setiap bulan juga dapat diagregasi dan disajikan secara</w:t>
      </w:r>
      <w:r>
        <w:rPr>
          <w:spacing w:val="4"/>
        </w:rPr>
        <w:t> </w:t>
      </w:r>
      <w:r>
        <w:rPr/>
        <w:t>triwulanan</w:t>
      </w:r>
      <w:r>
        <w:rPr>
          <w:spacing w:val="5"/>
        </w:rPr>
        <w:t> </w:t>
      </w:r>
      <w:r>
        <w:rPr/>
        <w:t>atau</w:t>
      </w:r>
      <w:r>
        <w:rPr>
          <w:spacing w:val="5"/>
        </w:rPr>
        <w:t> </w:t>
      </w:r>
      <w:r>
        <w:rPr/>
        <w:t>tahunan.</w:t>
      </w:r>
      <w:r>
        <w:rPr>
          <w:spacing w:val="7"/>
        </w:rPr>
        <w:t> </w:t>
      </w:r>
      <w:r>
        <w:rPr/>
        <w:t>Indeks</w:t>
      </w:r>
      <w:r>
        <w:rPr>
          <w:spacing w:val="6"/>
        </w:rPr>
        <w:t> </w:t>
      </w:r>
      <w:r>
        <w:rPr/>
        <w:t>tahunan</w:t>
      </w:r>
      <w:r>
        <w:rPr>
          <w:spacing w:val="4"/>
        </w:rPr>
        <w:t> </w:t>
      </w:r>
      <w:r>
        <w:rPr/>
        <w:t>adalah</w:t>
      </w:r>
      <w:r>
        <w:rPr>
          <w:spacing w:val="5"/>
        </w:rPr>
        <w:t> </w:t>
      </w:r>
      <w:r>
        <w:rPr/>
        <w:t>rata-rata</w:t>
      </w:r>
      <w:r>
        <w:rPr>
          <w:spacing w:val="5"/>
        </w:rPr>
        <w:t> </w:t>
      </w:r>
      <w:r>
        <w:rPr/>
        <w:t>dari</w:t>
      </w:r>
      <w:r>
        <w:rPr>
          <w:spacing w:val="5"/>
        </w:rPr>
        <w:t> </w:t>
      </w:r>
      <w:r>
        <w:rPr>
          <w:spacing w:val="-2"/>
        </w:rPr>
        <w:t>empat</w:t>
      </w:r>
    </w:p>
    <w:p>
      <w:pPr>
        <w:pStyle w:val="BodyText"/>
        <w:spacing w:line="360" w:lineRule="auto" w:before="2"/>
        <w:ind w:left="1823" w:right="162"/>
        <w:jc w:val="both"/>
      </w:pPr>
      <w:r>
        <w:rPr/>
        <w:t>(4)</w:t>
      </w:r>
      <w:r>
        <w:rPr>
          <w:spacing w:val="-15"/>
        </w:rPr>
        <w:t> </w:t>
      </w:r>
      <w:r>
        <w:rPr/>
        <w:t>kuartal</w:t>
      </w:r>
      <w:r>
        <w:rPr>
          <w:spacing w:val="-15"/>
        </w:rPr>
        <w:t> </w:t>
      </w:r>
      <w:r>
        <w:rPr/>
        <w:t>pada</w:t>
      </w:r>
      <w:r>
        <w:rPr>
          <w:spacing w:val="-15"/>
        </w:rPr>
        <w:t> </w:t>
      </w:r>
      <w:r>
        <w:rPr/>
        <w:t>tahun</w:t>
      </w:r>
      <w:r>
        <w:rPr>
          <w:spacing w:val="-15"/>
        </w:rPr>
        <w:t> </w:t>
      </w:r>
      <w:r>
        <w:rPr/>
        <w:t>yang</w:t>
      </w:r>
      <w:r>
        <w:rPr>
          <w:spacing w:val="-15"/>
        </w:rPr>
        <w:t> </w:t>
      </w:r>
      <w:r>
        <w:rPr/>
        <w:t>bersangkutan,</w:t>
      </w:r>
      <w:r>
        <w:rPr>
          <w:spacing w:val="-15"/>
        </w:rPr>
        <w:t> </w:t>
      </w:r>
      <w:r>
        <w:rPr/>
        <w:t>sedangkan</w:t>
      </w:r>
      <w:r>
        <w:rPr>
          <w:spacing w:val="-15"/>
        </w:rPr>
        <w:t> </w:t>
      </w:r>
      <w:r>
        <w:rPr/>
        <w:t>data</w:t>
      </w:r>
      <w:r>
        <w:rPr>
          <w:spacing w:val="-15"/>
        </w:rPr>
        <w:t> </w:t>
      </w:r>
      <w:r>
        <w:rPr/>
        <w:t>triwulanan</w:t>
      </w:r>
      <w:r>
        <w:rPr>
          <w:spacing w:val="-15"/>
        </w:rPr>
        <w:t> </w:t>
      </w:r>
      <w:r>
        <w:rPr/>
        <w:t>adalah rata-rata indeks bulanan untuk kuartal yang bersangkutan. Angka-angka tersebut hanyalah salah satu aspek dari data yang digunakan untuk mengevaluasi ekspansi sektor manufaktur.</w:t>
      </w:r>
      <w:hyperlink w:history="true" w:anchor="_bookmark94">
        <w:r>
          <w:rPr>
            <w:vertAlign w:val="superscript"/>
          </w:rPr>
          <w:t>64</w:t>
        </w:r>
      </w:hyperlink>
    </w:p>
    <w:p>
      <w:pPr>
        <w:pStyle w:val="BodyText"/>
        <w:spacing w:line="360" w:lineRule="auto"/>
        <w:ind w:left="1823" w:right="163" w:firstLine="360"/>
        <w:jc w:val="both"/>
      </w:pPr>
      <w:r>
        <w:rPr/>
        <w:t>IPI memiliki pengaruh signifikan terhadap nilai bisnis karena menunjukkan seberapa aktif dan berkembangnya sektor industri dalam suatu</w:t>
      </w:r>
      <w:r>
        <w:rPr>
          <w:spacing w:val="-15"/>
        </w:rPr>
        <w:t> </w:t>
      </w:r>
      <w:r>
        <w:rPr/>
        <w:t>perekonomian.</w:t>
      </w:r>
      <w:r>
        <w:rPr>
          <w:spacing w:val="-15"/>
        </w:rPr>
        <w:t> </w:t>
      </w:r>
      <w:r>
        <w:rPr/>
        <w:t>Untuk</w:t>
      </w:r>
      <w:r>
        <w:rPr>
          <w:spacing w:val="-15"/>
        </w:rPr>
        <w:t> </w:t>
      </w:r>
      <w:r>
        <w:rPr/>
        <w:t>meningkatkan</w:t>
      </w:r>
      <w:r>
        <w:rPr>
          <w:spacing w:val="-15"/>
        </w:rPr>
        <w:t> </w:t>
      </w:r>
      <w:r>
        <w:rPr/>
        <w:t>persepsi</w:t>
      </w:r>
      <w:r>
        <w:rPr>
          <w:spacing w:val="-15"/>
        </w:rPr>
        <w:t> </w:t>
      </w:r>
      <w:r>
        <w:rPr/>
        <w:t>investor</w:t>
      </w:r>
      <w:r>
        <w:rPr>
          <w:spacing w:val="-15"/>
        </w:rPr>
        <w:t> </w:t>
      </w:r>
      <w:r>
        <w:rPr/>
        <w:t>mengenai</w:t>
      </w:r>
      <w:r>
        <w:rPr>
          <w:spacing w:val="-15"/>
        </w:rPr>
        <w:t> </w:t>
      </w:r>
      <w:r>
        <w:rPr/>
        <w:t>masa depan</w:t>
      </w:r>
      <w:r>
        <w:rPr>
          <w:spacing w:val="-15"/>
        </w:rPr>
        <w:t> </w:t>
      </w:r>
      <w:r>
        <w:rPr/>
        <w:t>perusahaan</w:t>
      </w:r>
      <w:r>
        <w:rPr>
          <w:spacing w:val="-15"/>
        </w:rPr>
        <w:t> </w:t>
      </w:r>
      <w:r>
        <w:rPr/>
        <w:t>dan</w:t>
      </w:r>
      <w:r>
        <w:rPr>
          <w:spacing w:val="-15"/>
        </w:rPr>
        <w:t> </w:t>
      </w:r>
      <w:r>
        <w:rPr/>
        <w:t>meningkatkan</w:t>
      </w:r>
      <w:r>
        <w:rPr>
          <w:spacing w:val="-15"/>
        </w:rPr>
        <w:t> </w:t>
      </w:r>
      <w:r>
        <w:rPr/>
        <w:t>nilainya,</w:t>
      </w:r>
      <w:r>
        <w:rPr>
          <w:spacing w:val="-15"/>
        </w:rPr>
        <w:t> </w:t>
      </w:r>
      <w:r>
        <w:rPr/>
        <w:t>peningkatan</w:t>
      </w:r>
      <w:r>
        <w:rPr>
          <w:spacing w:val="-11"/>
        </w:rPr>
        <w:t> </w:t>
      </w:r>
      <w:r>
        <w:rPr/>
        <w:t>IPI</w:t>
      </w:r>
      <w:r>
        <w:rPr>
          <w:spacing w:val="-15"/>
        </w:rPr>
        <w:t> </w:t>
      </w:r>
      <w:r>
        <w:rPr/>
        <w:t>menandakan pertumbuhan produksi dan permintaan, yang biasanya diikuti oleh peningkatan</w:t>
      </w:r>
      <w:r>
        <w:rPr>
          <w:spacing w:val="27"/>
        </w:rPr>
        <w:t>  </w:t>
      </w:r>
      <w:r>
        <w:rPr/>
        <w:t>pendapatan</w:t>
      </w:r>
      <w:r>
        <w:rPr>
          <w:spacing w:val="29"/>
        </w:rPr>
        <w:t>  </w:t>
      </w:r>
      <w:r>
        <w:rPr/>
        <w:t>dan</w:t>
      </w:r>
      <w:r>
        <w:rPr>
          <w:spacing w:val="27"/>
        </w:rPr>
        <w:t>  </w:t>
      </w:r>
      <w:r>
        <w:rPr/>
        <w:t>laba</w:t>
      </w:r>
      <w:r>
        <w:rPr>
          <w:spacing w:val="27"/>
        </w:rPr>
        <w:t>  </w:t>
      </w:r>
      <w:r>
        <w:rPr/>
        <w:t>perusahaan.</w:t>
      </w:r>
      <w:r>
        <w:rPr>
          <w:spacing w:val="28"/>
        </w:rPr>
        <w:t>  </w:t>
      </w:r>
      <w:r>
        <w:rPr/>
        <w:t>Perlambatan</w:t>
      </w:r>
      <w:r>
        <w:rPr>
          <w:spacing w:val="28"/>
        </w:rPr>
        <w:t>  </w:t>
      </w:r>
      <w:r>
        <w:rPr>
          <w:spacing w:val="-2"/>
        </w:rPr>
        <w:t>aktivitas</w:t>
      </w:r>
    </w:p>
    <w:p>
      <w:pPr>
        <w:pStyle w:val="BodyText"/>
        <w:rPr>
          <w:sz w:val="20"/>
        </w:rPr>
      </w:pPr>
    </w:p>
    <w:p>
      <w:pPr>
        <w:pStyle w:val="BodyText"/>
        <w:spacing w:before="21"/>
        <w:rPr>
          <w:sz w:val="20"/>
        </w:rPr>
      </w:pPr>
      <w:r>
        <w:rPr>
          <w:sz w:val="20"/>
        </w:rPr>
        <mc:AlternateContent>
          <mc:Choice Requires="wps">
            <w:drawing>
              <wp:anchor distT="0" distB="0" distL="0" distR="0" allowOverlap="1" layoutInCell="1" locked="0" behindDoc="1" simplePos="0" relativeHeight="487607808">
                <wp:simplePos x="0" y="0"/>
                <wp:positionH relativeFrom="page">
                  <wp:posOffset>914704</wp:posOffset>
                </wp:positionH>
                <wp:positionV relativeFrom="paragraph">
                  <wp:posOffset>175053</wp:posOffset>
                </wp:positionV>
                <wp:extent cx="1829435" cy="9525"/>
                <wp:effectExtent l="0" t="0" r="0" b="0"/>
                <wp:wrapTopAndBottom/>
                <wp:docPr id="276" name="Graphic 276"/>
                <wp:cNvGraphicFramePr>
                  <a:graphicFrameLocks/>
                </wp:cNvGraphicFramePr>
                <a:graphic>
                  <a:graphicData uri="http://schemas.microsoft.com/office/word/2010/wordprocessingShape">
                    <wps:wsp>
                      <wps:cNvPr id="276" name="Graphic 276"/>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3.783741pt;width:144.020pt;height:.71997pt;mso-position-horizontal-relative:page;mso-position-vertical-relative:paragraph;z-index:-15708672;mso-wrap-distance-left:0;mso-wrap-distance-right:0" id="docshape248" filled="true" fillcolor="#000000" stroked="false">
                <v:fill type="solid"/>
                <w10:wrap type="topAndBottom"/>
              </v:rect>
            </w:pict>
          </mc:Fallback>
        </mc:AlternateContent>
      </w:r>
    </w:p>
    <w:p>
      <w:pPr>
        <w:spacing w:before="99"/>
        <w:ind w:left="0" w:right="163" w:firstLine="0"/>
        <w:jc w:val="right"/>
        <w:rPr>
          <w:sz w:val="20"/>
        </w:rPr>
      </w:pPr>
      <w:bookmarkStart w:name="_bookmark93" w:id="94"/>
      <w:bookmarkEnd w:id="94"/>
      <w:r>
        <w:rPr/>
      </w:r>
      <w:r>
        <w:rPr>
          <w:sz w:val="20"/>
          <w:vertAlign w:val="superscript"/>
        </w:rPr>
        <w:t>63</w:t>
      </w:r>
      <w:r>
        <w:rPr>
          <w:spacing w:val="-6"/>
          <w:sz w:val="20"/>
          <w:vertAlign w:val="baseline"/>
        </w:rPr>
        <w:t> </w:t>
      </w:r>
      <w:r>
        <w:rPr>
          <w:sz w:val="20"/>
          <w:vertAlign w:val="baseline"/>
        </w:rPr>
        <w:t>I</w:t>
      </w:r>
      <w:r>
        <w:rPr>
          <w:spacing w:val="-5"/>
          <w:sz w:val="20"/>
          <w:vertAlign w:val="baseline"/>
        </w:rPr>
        <w:t> </w:t>
      </w:r>
      <w:r>
        <w:rPr>
          <w:sz w:val="20"/>
          <w:vertAlign w:val="baseline"/>
        </w:rPr>
        <w:t>Komang</w:t>
      </w:r>
      <w:r>
        <w:rPr>
          <w:spacing w:val="-4"/>
          <w:sz w:val="20"/>
          <w:vertAlign w:val="baseline"/>
        </w:rPr>
        <w:t> </w:t>
      </w:r>
      <w:r>
        <w:rPr>
          <w:sz w:val="20"/>
          <w:vertAlign w:val="baseline"/>
        </w:rPr>
        <w:t>Rangga</w:t>
      </w:r>
      <w:r>
        <w:rPr>
          <w:spacing w:val="-5"/>
          <w:sz w:val="20"/>
          <w:vertAlign w:val="baseline"/>
        </w:rPr>
        <w:t> </w:t>
      </w:r>
      <w:r>
        <w:rPr>
          <w:sz w:val="20"/>
          <w:vertAlign w:val="baseline"/>
        </w:rPr>
        <w:t>Perdana</w:t>
      </w:r>
      <w:r>
        <w:rPr>
          <w:spacing w:val="-5"/>
          <w:sz w:val="20"/>
          <w:vertAlign w:val="baseline"/>
        </w:rPr>
        <w:t> </w:t>
      </w:r>
      <w:r>
        <w:rPr>
          <w:sz w:val="20"/>
          <w:vertAlign w:val="baseline"/>
        </w:rPr>
        <w:t>and</w:t>
      </w:r>
      <w:r>
        <w:rPr>
          <w:spacing w:val="-5"/>
          <w:sz w:val="20"/>
          <w:vertAlign w:val="baseline"/>
        </w:rPr>
        <w:t> </w:t>
      </w:r>
      <w:r>
        <w:rPr>
          <w:sz w:val="20"/>
          <w:vertAlign w:val="baseline"/>
        </w:rPr>
        <w:t>Ni</w:t>
      </w:r>
      <w:r>
        <w:rPr>
          <w:spacing w:val="-5"/>
          <w:sz w:val="20"/>
          <w:vertAlign w:val="baseline"/>
        </w:rPr>
        <w:t> </w:t>
      </w:r>
      <w:r>
        <w:rPr>
          <w:sz w:val="20"/>
          <w:vertAlign w:val="baseline"/>
        </w:rPr>
        <w:t>Putu</w:t>
      </w:r>
      <w:r>
        <w:rPr>
          <w:spacing w:val="-4"/>
          <w:sz w:val="20"/>
          <w:vertAlign w:val="baseline"/>
        </w:rPr>
        <w:t> </w:t>
      </w:r>
      <w:r>
        <w:rPr>
          <w:sz w:val="20"/>
          <w:vertAlign w:val="baseline"/>
        </w:rPr>
        <w:t>Wiwin</w:t>
      </w:r>
      <w:r>
        <w:rPr>
          <w:spacing w:val="-4"/>
          <w:sz w:val="20"/>
          <w:vertAlign w:val="baseline"/>
        </w:rPr>
        <w:t> </w:t>
      </w:r>
      <w:r>
        <w:rPr>
          <w:sz w:val="20"/>
          <w:vertAlign w:val="baseline"/>
        </w:rPr>
        <w:t>Setyari,</w:t>
      </w:r>
      <w:r>
        <w:rPr>
          <w:spacing w:val="-5"/>
          <w:sz w:val="20"/>
          <w:vertAlign w:val="baseline"/>
        </w:rPr>
        <w:t> </w:t>
      </w:r>
      <w:r>
        <w:rPr>
          <w:sz w:val="20"/>
          <w:vertAlign w:val="baseline"/>
        </w:rPr>
        <w:t>‘Analisis</w:t>
      </w:r>
      <w:r>
        <w:rPr>
          <w:spacing w:val="-7"/>
          <w:sz w:val="20"/>
          <w:vertAlign w:val="baseline"/>
        </w:rPr>
        <w:t> </w:t>
      </w:r>
      <w:r>
        <w:rPr>
          <w:sz w:val="20"/>
          <w:vertAlign w:val="baseline"/>
        </w:rPr>
        <w:t>Faktor-Faktor</w:t>
      </w:r>
      <w:r>
        <w:rPr>
          <w:spacing w:val="-5"/>
          <w:sz w:val="20"/>
          <w:vertAlign w:val="baseline"/>
        </w:rPr>
        <w:t> </w:t>
      </w:r>
      <w:r>
        <w:rPr>
          <w:sz w:val="20"/>
          <w:vertAlign w:val="baseline"/>
        </w:rPr>
        <w:t>Makroekonomi</w:t>
      </w:r>
      <w:r>
        <w:rPr>
          <w:spacing w:val="-6"/>
          <w:sz w:val="20"/>
          <w:vertAlign w:val="baseline"/>
        </w:rPr>
        <w:t> </w:t>
      </w:r>
      <w:r>
        <w:rPr>
          <w:spacing w:val="-4"/>
          <w:sz w:val="20"/>
          <w:vertAlign w:val="baseline"/>
        </w:rPr>
        <w:t>Yang</w:t>
      </w:r>
    </w:p>
    <w:p>
      <w:pPr>
        <w:spacing w:before="0"/>
        <w:ind w:left="0" w:right="161" w:firstLine="0"/>
        <w:jc w:val="right"/>
        <w:rPr>
          <w:sz w:val="20"/>
        </w:rPr>
      </w:pPr>
      <w:r>
        <w:rPr>
          <w:sz w:val="20"/>
        </w:rPr>
        <w:t>Mempengaruhi</w:t>
      </w:r>
      <w:r>
        <w:rPr>
          <w:spacing w:val="21"/>
          <w:sz w:val="20"/>
        </w:rPr>
        <w:t> </w:t>
      </w:r>
      <w:r>
        <w:rPr>
          <w:sz w:val="20"/>
        </w:rPr>
        <w:t>Indeks</w:t>
      </w:r>
      <w:r>
        <w:rPr>
          <w:spacing w:val="21"/>
          <w:sz w:val="20"/>
        </w:rPr>
        <w:t> </w:t>
      </w:r>
      <w:r>
        <w:rPr>
          <w:sz w:val="20"/>
        </w:rPr>
        <w:t>Harga</w:t>
      </w:r>
      <w:r>
        <w:rPr>
          <w:spacing w:val="21"/>
          <w:sz w:val="20"/>
        </w:rPr>
        <w:t> </w:t>
      </w:r>
      <w:r>
        <w:rPr>
          <w:sz w:val="20"/>
        </w:rPr>
        <w:t>Saham</w:t>
      </w:r>
      <w:r>
        <w:rPr>
          <w:spacing w:val="23"/>
          <w:sz w:val="20"/>
        </w:rPr>
        <w:t> </w:t>
      </w:r>
      <w:r>
        <w:rPr>
          <w:sz w:val="20"/>
        </w:rPr>
        <w:t>Gabungan</w:t>
      </w:r>
      <w:r>
        <w:rPr>
          <w:spacing w:val="21"/>
          <w:sz w:val="20"/>
        </w:rPr>
        <w:t> </w:t>
      </w:r>
      <w:r>
        <w:rPr>
          <w:sz w:val="20"/>
        </w:rPr>
        <w:t>(Ihsg)’,</w:t>
      </w:r>
      <w:r>
        <w:rPr>
          <w:spacing w:val="25"/>
          <w:sz w:val="20"/>
        </w:rPr>
        <w:t> </w:t>
      </w:r>
      <w:r>
        <w:rPr>
          <w:i/>
          <w:sz w:val="20"/>
        </w:rPr>
        <w:t>E-Jurnal</w:t>
      </w:r>
      <w:r>
        <w:rPr>
          <w:i/>
          <w:spacing w:val="21"/>
          <w:sz w:val="20"/>
        </w:rPr>
        <w:t> </w:t>
      </w:r>
      <w:r>
        <w:rPr>
          <w:i/>
          <w:sz w:val="20"/>
        </w:rPr>
        <w:t>Ekonomi</w:t>
      </w:r>
      <w:r>
        <w:rPr>
          <w:i/>
          <w:spacing w:val="23"/>
          <w:sz w:val="20"/>
        </w:rPr>
        <w:t> </w:t>
      </w:r>
      <w:r>
        <w:rPr>
          <w:i/>
          <w:sz w:val="20"/>
        </w:rPr>
        <w:t>Dan</w:t>
      </w:r>
      <w:r>
        <w:rPr>
          <w:i/>
          <w:spacing w:val="23"/>
          <w:sz w:val="20"/>
        </w:rPr>
        <w:t> </w:t>
      </w:r>
      <w:r>
        <w:rPr>
          <w:i/>
          <w:sz w:val="20"/>
        </w:rPr>
        <w:t>Bisnis</w:t>
      </w:r>
      <w:r>
        <w:rPr>
          <w:i/>
          <w:spacing w:val="18"/>
          <w:sz w:val="20"/>
        </w:rPr>
        <w:t> </w:t>
      </w:r>
      <w:r>
        <w:rPr>
          <w:i/>
          <w:sz w:val="20"/>
        </w:rPr>
        <w:t>Universitas</w:t>
      </w:r>
      <w:r>
        <w:rPr>
          <w:i/>
          <w:spacing w:val="22"/>
          <w:sz w:val="20"/>
        </w:rPr>
        <w:t> </w:t>
      </w:r>
      <w:r>
        <w:rPr>
          <w:i/>
          <w:spacing w:val="-2"/>
          <w:sz w:val="20"/>
        </w:rPr>
        <w:t>Udayana</w:t>
      </w:r>
      <w:r>
        <w:rPr>
          <w:spacing w:val="-2"/>
          <w:sz w:val="20"/>
        </w:rPr>
        <w:t>,</w:t>
      </w:r>
    </w:p>
    <w:p>
      <w:pPr>
        <w:spacing w:before="0"/>
        <w:ind w:left="23" w:right="0" w:firstLine="0"/>
        <w:jc w:val="left"/>
        <w:rPr>
          <w:sz w:val="20"/>
        </w:rPr>
      </w:pPr>
      <w:r>
        <w:rPr>
          <w:sz w:val="20"/>
        </w:rPr>
        <w:t>12.08</w:t>
      </w:r>
      <w:r>
        <w:rPr>
          <w:spacing w:val="-6"/>
          <w:sz w:val="20"/>
        </w:rPr>
        <w:t> </w:t>
      </w:r>
      <w:r>
        <w:rPr>
          <w:sz w:val="20"/>
        </w:rPr>
        <w:t>(2023),</w:t>
      </w:r>
      <w:r>
        <w:rPr>
          <w:spacing w:val="-4"/>
          <w:sz w:val="20"/>
        </w:rPr>
        <w:t> </w:t>
      </w:r>
      <w:r>
        <w:rPr>
          <w:sz w:val="20"/>
        </w:rPr>
        <w:t>1594</w:t>
      </w:r>
      <w:r>
        <w:rPr>
          <w:spacing w:val="-3"/>
          <w:sz w:val="20"/>
        </w:rPr>
        <w:t> </w:t>
      </w:r>
      <w:r>
        <w:rPr>
          <w:spacing w:val="-2"/>
          <w:sz w:val="20"/>
        </w:rPr>
        <w:t>&lt;https://doi.org/10.24843/eeb.2023.v12.i08.p12&gt;.</w:t>
      </w:r>
    </w:p>
    <w:p>
      <w:pPr>
        <w:spacing w:before="1"/>
        <w:ind w:left="743" w:right="0" w:firstLine="0"/>
        <w:jc w:val="left"/>
        <w:rPr>
          <w:sz w:val="20"/>
        </w:rPr>
      </w:pPr>
      <w:bookmarkStart w:name="_bookmark94" w:id="95"/>
      <w:bookmarkEnd w:id="95"/>
      <w:r>
        <w:rPr/>
      </w:r>
      <w:r>
        <w:rPr>
          <w:sz w:val="20"/>
          <w:vertAlign w:val="superscript"/>
        </w:rPr>
        <w:t>64</w:t>
      </w:r>
      <w:r>
        <w:rPr>
          <w:spacing w:val="-6"/>
          <w:sz w:val="20"/>
          <w:vertAlign w:val="baseline"/>
        </w:rPr>
        <w:t> </w:t>
      </w:r>
      <w:r>
        <w:rPr>
          <w:sz w:val="20"/>
          <w:vertAlign w:val="baseline"/>
        </w:rPr>
        <w:t>‘Perkembangan</w:t>
      </w:r>
      <w:r>
        <w:rPr>
          <w:spacing w:val="-6"/>
          <w:sz w:val="20"/>
          <w:vertAlign w:val="baseline"/>
        </w:rPr>
        <w:t> </w:t>
      </w:r>
      <w:r>
        <w:rPr>
          <w:sz w:val="20"/>
          <w:vertAlign w:val="baseline"/>
        </w:rPr>
        <w:t>Indeks</w:t>
      </w:r>
      <w:r>
        <w:rPr>
          <w:spacing w:val="-7"/>
          <w:sz w:val="20"/>
          <w:vertAlign w:val="baseline"/>
        </w:rPr>
        <w:t> </w:t>
      </w:r>
      <w:r>
        <w:rPr>
          <w:sz w:val="20"/>
          <w:vertAlign w:val="baseline"/>
        </w:rPr>
        <w:t>Produksi</w:t>
      </w:r>
      <w:r>
        <w:rPr>
          <w:spacing w:val="-6"/>
          <w:sz w:val="20"/>
          <w:vertAlign w:val="baseline"/>
        </w:rPr>
        <w:t> </w:t>
      </w:r>
      <w:r>
        <w:rPr>
          <w:sz w:val="20"/>
          <w:vertAlign w:val="baseline"/>
        </w:rPr>
        <w:t>Industri</w:t>
      </w:r>
      <w:r>
        <w:rPr>
          <w:spacing w:val="-6"/>
          <w:sz w:val="20"/>
          <w:vertAlign w:val="baseline"/>
        </w:rPr>
        <w:t> </w:t>
      </w:r>
      <w:r>
        <w:rPr>
          <w:sz w:val="20"/>
          <w:vertAlign w:val="baseline"/>
        </w:rPr>
        <w:t>Manufaktur</w:t>
      </w:r>
      <w:r>
        <w:rPr>
          <w:spacing w:val="-8"/>
          <w:sz w:val="20"/>
          <w:vertAlign w:val="baseline"/>
        </w:rPr>
        <w:t> </w:t>
      </w:r>
      <w:r>
        <w:rPr>
          <w:sz w:val="20"/>
          <w:vertAlign w:val="baseline"/>
        </w:rPr>
        <w:t>2011-2013’,</w:t>
      </w:r>
      <w:r>
        <w:rPr>
          <w:spacing w:val="-4"/>
          <w:sz w:val="20"/>
          <w:vertAlign w:val="baseline"/>
        </w:rPr>
        <w:t> </w:t>
      </w:r>
      <w:r>
        <w:rPr>
          <w:i/>
          <w:spacing w:val="-2"/>
          <w:sz w:val="20"/>
          <w:vertAlign w:val="baseline"/>
        </w:rPr>
        <w:t>Bps.Go.Id</w:t>
      </w:r>
      <w:r>
        <w:rPr>
          <w:spacing w:val="-2"/>
          <w:sz w:val="20"/>
          <w:vertAlign w:val="baseline"/>
        </w:rPr>
        <w:t>.</w:t>
      </w:r>
    </w:p>
    <w:p>
      <w:pPr>
        <w:spacing w:after="0"/>
        <w:jc w:val="left"/>
        <w:rPr>
          <w:sz w:val="20"/>
        </w:rPr>
        <w:sectPr>
          <w:pgSz w:w="11910" w:h="16840"/>
          <w:pgMar w:header="0" w:footer="1000" w:top="1360" w:bottom="1200" w:left="1417" w:right="1275"/>
        </w:sectPr>
      </w:pPr>
    </w:p>
    <w:p>
      <w:pPr>
        <w:pStyle w:val="BodyText"/>
        <w:spacing w:line="360" w:lineRule="auto" w:before="60"/>
        <w:ind w:left="1823" w:right="160"/>
        <w:jc w:val="both"/>
      </w:pPr>
      <w:r>
        <w:rPr/>
        <w:t>ekonomi diindikasikan oleh penurunan IPI, yang dapat menurunkan kepercayaan investor dan merusak valuasi perusahaan. Karena dapat merepresentasikan</w:t>
      </w:r>
      <w:r>
        <w:rPr>
          <w:spacing w:val="-15"/>
        </w:rPr>
        <w:t> </w:t>
      </w:r>
      <w:r>
        <w:rPr/>
        <w:t>kondisi</w:t>
      </w:r>
      <w:r>
        <w:rPr>
          <w:spacing w:val="-15"/>
        </w:rPr>
        <w:t> </w:t>
      </w:r>
      <w:r>
        <w:rPr/>
        <w:t>ekonomi</w:t>
      </w:r>
      <w:r>
        <w:rPr>
          <w:spacing w:val="-14"/>
        </w:rPr>
        <w:t> </w:t>
      </w:r>
      <w:r>
        <w:rPr/>
        <w:t>yang</w:t>
      </w:r>
      <w:r>
        <w:rPr>
          <w:spacing w:val="-15"/>
        </w:rPr>
        <w:t> </w:t>
      </w:r>
      <w:r>
        <w:rPr/>
        <w:t>mendasari</w:t>
      </w:r>
      <w:r>
        <w:rPr>
          <w:spacing w:val="-15"/>
        </w:rPr>
        <w:t> </w:t>
      </w:r>
      <w:r>
        <w:rPr/>
        <w:t>kinerja</w:t>
      </w:r>
      <w:r>
        <w:rPr>
          <w:spacing w:val="-15"/>
        </w:rPr>
        <w:t> </w:t>
      </w:r>
      <w:r>
        <w:rPr/>
        <w:t>perusahaan</w:t>
      </w:r>
      <w:r>
        <w:rPr>
          <w:spacing w:val="-15"/>
        </w:rPr>
        <w:t> </w:t>
      </w:r>
      <w:r>
        <w:rPr/>
        <w:t>dan ekspektasi pasar, perubahan IPI menjadi indikator makroekonomi penting yang</w:t>
      </w:r>
      <w:r>
        <w:rPr>
          <w:spacing w:val="-5"/>
        </w:rPr>
        <w:t> </w:t>
      </w:r>
      <w:r>
        <w:rPr/>
        <w:t>diperhitungkan</w:t>
      </w:r>
      <w:r>
        <w:rPr>
          <w:spacing w:val="-5"/>
        </w:rPr>
        <w:t> </w:t>
      </w:r>
      <w:r>
        <w:rPr/>
        <w:t>dalam</w:t>
      </w:r>
      <w:r>
        <w:rPr>
          <w:spacing w:val="-5"/>
        </w:rPr>
        <w:t> </w:t>
      </w:r>
      <w:r>
        <w:rPr/>
        <w:t>menentukan</w:t>
      </w:r>
      <w:r>
        <w:rPr>
          <w:spacing w:val="-5"/>
        </w:rPr>
        <w:t> </w:t>
      </w:r>
      <w:r>
        <w:rPr/>
        <w:t>nilai</w:t>
      </w:r>
      <w:r>
        <w:rPr>
          <w:spacing w:val="-5"/>
        </w:rPr>
        <w:t> </w:t>
      </w:r>
      <w:r>
        <w:rPr/>
        <w:t>perusahaan.</w:t>
      </w:r>
      <w:hyperlink w:history="true" w:anchor="_bookmark95">
        <w:r>
          <w:rPr>
            <w:vertAlign w:val="superscript"/>
          </w:rPr>
          <w:t>65</w:t>
        </w:r>
      </w:hyperlink>
      <w:r>
        <w:rPr>
          <w:spacing w:val="-4"/>
          <w:vertAlign w:val="baseline"/>
        </w:rPr>
        <w:t> </w:t>
      </w:r>
      <w:r>
        <w:rPr>
          <w:vertAlign w:val="baseline"/>
        </w:rPr>
        <w:t>IPI</w:t>
      </w:r>
      <w:r>
        <w:rPr>
          <w:spacing w:val="-8"/>
          <w:vertAlign w:val="baseline"/>
        </w:rPr>
        <w:t> </w:t>
      </w:r>
      <w:r>
        <w:rPr>
          <w:vertAlign w:val="baseline"/>
        </w:rPr>
        <w:t>tidak</w:t>
      </w:r>
      <w:r>
        <w:rPr>
          <w:spacing w:val="-5"/>
          <w:vertAlign w:val="baseline"/>
        </w:rPr>
        <w:t> </w:t>
      </w:r>
      <w:r>
        <w:rPr>
          <w:vertAlign w:val="baseline"/>
        </w:rPr>
        <w:t>hanya mengukur</w:t>
      </w:r>
      <w:r>
        <w:rPr>
          <w:spacing w:val="-4"/>
          <w:vertAlign w:val="baseline"/>
        </w:rPr>
        <w:t> </w:t>
      </w:r>
      <w:r>
        <w:rPr>
          <w:vertAlign w:val="baseline"/>
        </w:rPr>
        <w:t>produksi</w:t>
      </w:r>
      <w:r>
        <w:rPr>
          <w:spacing w:val="-2"/>
          <w:vertAlign w:val="baseline"/>
        </w:rPr>
        <w:t> </w:t>
      </w:r>
      <w:r>
        <w:rPr>
          <w:vertAlign w:val="baseline"/>
        </w:rPr>
        <w:t>barang</w:t>
      </w:r>
      <w:r>
        <w:rPr>
          <w:spacing w:val="-2"/>
          <w:vertAlign w:val="baseline"/>
        </w:rPr>
        <w:t> </w:t>
      </w:r>
      <w:r>
        <w:rPr>
          <w:vertAlign w:val="baseline"/>
        </w:rPr>
        <w:t>jadi,</w:t>
      </w:r>
      <w:r>
        <w:rPr>
          <w:spacing w:val="-2"/>
          <w:vertAlign w:val="baseline"/>
        </w:rPr>
        <w:t> </w:t>
      </w:r>
      <w:r>
        <w:rPr>
          <w:vertAlign w:val="baseline"/>
        </w:rPr>
        <w:t>tetapi</w:t>
      </w:r>
      <w:r>
        <w:rPr>
          <w:spacing w:val="-2"/>
          <w:vertAlign w:val="baseline"/>
        </w:rPr>
        <w:t> </w:t>
      </w:r>
      <w:r>
        <w:rPr>
          <w:vertAlign w:val="baseline"/>
        </w:rPr>
        <w:t>juga</w:t>
      </w:r>
      <w:r>
        <w:rPr>
          <w:spacing w:val="-3"/>
          <w:vertAlign w:val="baseline"/>
        </w:rPr>
        <w:t> </w:t>
      </w:r>
      <w:r>
        <w:rPr>
          <w:vertAlign w:val="baseline"/>
        </w:rPr>
        <w:t>mencakup</w:t>
      </w:r>
      <w:r>
        <w:rPr>
          <w:spacing w:val="-2"/>
          <w:vertAlign w:val="baseline"/>
        </w:rPr>
        <w:t> </w:t>
      </w:r>
      <w:r>
        <w:rPr>
          <w:vertAlign w:val="baseline"/>
        </w:rPr>
        <w:t>barang</w:t>
      </w:r>
      <w:r>
        <w:rPr>
          <w:spacing w:val="-2"/>
          <w:vertAlign w:val="baseline"/>
        </w:rPr>
        <w:t> </w:t>
      </w:r>
      <w:r>
        <w:rPr>
          <w:vertAlign w:val="baseline"/>
        </w:rPr>
        <w:t>setengah</w:t>
      </w:r>
      <w:r>
        <w:rPr>
          <w:spacing w:val="-2"/>
          <w:vertAlign w:val="baseline"/>
        </w:rPr>
        <w:t> </w:t>
      </w:r>
      <w:r>
        <w:rPr>
          <w:vertAlign w:val="baseline"/>
        </w:rPr>
        <w:t>jadi dan bahan baku, sehingga memberikan gambaran menyeluruh mengenai kondisi produksi industri hulu, tengah, dan hilir.</w:t>
      </w:r>
      <w:r>
        <w:rPr>
          <w:spacing w:val="-1"/>
          <w:vertAlign w:val="baseline"/>
        </w:rPr>
        <w:t> </w:t>
      </w:r>
      <w:r>
        <w:rPr>
          <w:vertAlign w:val="baseline"/>
        </w:rPr>
        <w:t>Misalnya, di Taiwan, survei IPI mencakup volume produksi bulanan, volume impor dalam dan luar negeri, serta nilai penjualan barang jadi dan setengah jadi.</w:t>
      </w:r>
      <w:r>
        <w:rPr>
          <w:spacing w:val="-1"/>
          <w:vertAlign w:val="baseline"/>
        </w:rPr>
        <w:t> </w:t>
      </w:r>
      <w:r>
        <w:rPr>
          <w:vertAlign w:val="baseline"/>
        </w:rPr>
        <w:t>Pendekatan ini memungkinkan analisis yang lebih komprehensif terhadap dinamika sektor industri. Peran IPI sangat penting dalam pengambilan keputusan ekonomi dan investasi. Pemerintah menggunakan IPI sebagai dasar untuk merumuskan kebijakan ekonomi makro yang mendukung pertumbuhan industri dan stabilitas ekonomi. Investor dan pelaku pasar modal juga memantau IPI untuk mengantisipasi tren pasar saham, karena peningkatan produksi industri biasanya diikuti oleh peningkatan kinerja keuangan perusahaan dan harga saham.</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1"/>
        <w:rPr>
          <w:sz w:val="20"/>
        </w:rPr>
      </w:pPr>
      <w:r>
        <w:rPr>
          <w:sz w:val="20"/>
        </w:rPr>
        <mc:AlternateContent>
          <mc:Choice Requires="wps">
            <w:drawing>
              <wp:anchor distT="0" distB="0" distL="0" distR="0" allowOverlap="1" layoutInCell="1" locked="0" behindDoc="1" simplePos="0" relativeHeight="487608320">
                <wp:simplePos x="0" y="0"/>
                <wp:positionH relativeFrom="page">
                  <wp:posOffset>914704</wp:posOffset>
                </wp:positionH>
                <wp:positionV relativeFrom="paragraph">
                  <wp:posOffset>263805</wp:posOffset>
                </wp:positionV>
                <wp:extent cx="1829435" cy="9525"/>
                <wp:effectExtent l="0" t="0" r="0" b="0"/>
                <wp:wrapTopAndBottom/>
                <wp:docPr id="277" name="Graphic 277"/>
                <wp:cNvGraphicFramePr>
                  <a:graphicFrameLocks/>
                </wp:cNvGraphicFramePr>
                <a:graphic>
                  <a:graphicData uri="http://schemas.microsoft.com/office/word/2010/wordprocessingShape">
                    <wps:wsp>
                      <wps:cNvPr id="277" name="Graphic 277"/>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772085pt;width:144.020pt;height:.71997pt;mso-position-horizontal-relative:page;mso-position-vertical-relative:paragraph;z-index:-15708160;mso-wrap-distance-left:0;mso-wrap-distance-right:0" id="docshape249" filled="true" fillcolor="#000000" stroked="false">
                <v:fill type="solid"/>
                <w10:wrap type="topAndBottom"/>
              </v:rect>
            </w:pict>
          </mc:Fallback>
        </mc:AlternateContent>
      </w:r>
    </w:p>
    <w:p>
      <w:pPr>
        <w:spacing w:before="101"/>
        <w:ind w:left="743" w:right="0" w:firstLine="0"/>
        <w:jc w:val="left"/>
        <w:rPr>
          <w:sz w:val="20"/>
        </w:rPr>
      </w:pPr>
      <w:bookmarkStart w:name="_bookmark95" w:id="96"/>
      <w:bookmarkEnd w:id="96"/>
      <w:r>
        <w:rPr/>
      </w:r>
      <w:r>
        <w:rPr>
          <w:sz w:val="20"/>
          <w:vertAlign w:val="superscript"/>
        </w:rPr>
        <w:t>65</w:t>
      </w:r>
      <w:r>
        <w:rPr>
          <w:spacing w:val="-2"/>
          <w:sz w:val="20"/>
          <w:vertAlign w:val="baseline"/>
        </w:rPr>
        <w:t> Sari.</w:t>
      </w:r>
    </w:p>
    <w:p>
      <w:pPr>
        <w:spacing w:after="0"/>
        <w:jc w:val="left"/>
        <w:rPr>
          <w:sz w:val="20"/>
        </w:rPr>
        <w:sectPr>
          <w:pgSz w:w="11910" w:h="16840"/>
          <w:pgMar w:header="0" w:footer="1000" w:top="1360" w:bottom="1200" w:left="1417" w:right="1275"/>
        </w:sectPr>
      </w:pPr>
    </w:p>
    <w:p>
      <w:pPr>
        <w:pStyle w:val="Heading2"/>
        <w:numPr>
          <w:ilvl w:val="1"/>
          <w:numId w:val="12"/>
        </w:numPr>
        <w:tabs>
          <w:tab w:pos="874" w:val="left" w:leader="none"/>
        </w:tabs>
        <w:spacing w:line="240" w:lineRule="auto" w:before="60" w:after="0"/>
        <w:ind w:left="874" w:right="0" w:hanging="359"/>
        <w:jc w:val="left"/>
      </w:pPr>
      <w:bookmarkStart w:name="_bookmark96" w:id="97"/>
      <w:bookmarkEnd w:id="97"/>
      <w:r>
        <w:rPr>
          <w:b w:val="0"/>
        </w:rPr>
      </w:r>
      <w:r>
        <w:rPr/>
        <w:t>Penelitian</w:t>
      </w:r>
      <w:r>
        <w:rPr>
          <w:spacing w:val="-6"/>
        </w:rPr>
        <w:t> </w:t>
      </w:r>
      <w:r>
        <w:rPr>
          <w:spacing w:val="-2"/>
        </w:rPr>
        <w:t>Terdahulu</w:t>
      </w:r>
    </w:p>
    <w:p>
      <w:pPr>
        <w:pStyle w:val="BodyText"/>
        <w:spacing w:before="22"/>
        <w:rPr>
          <w:b/>
        </w:rPr>
      </w:pPr>
    </w:p>
    <w:p>
      <w:pPr>
        <w:spacing w:line="412" w:lineRule="auto" w:before="0" w:after="5"/>
        <w:ind w:left="3446" w:right="3217" w:firstLine="616"/>
        <w:jc w:val="left"/>
        <w:rPr>
          <w:b/>
          <w:sz w:val="24"/>
        </w:rPr>
      </w:pPr>
      <w:r>
        <w:rPr>
          <w:b/>
          <w:sz w:val="24"/>
        </w:rPr>
        <w:t>Tabel 2.1 Penelitian</w:t>
      </w:r>
      <w:r>
        <w:rPr>
          <w:b/>
          <w:spacing w:val="-15"/>
          <w:sz w:val="24"/>
        </w:rPr>
        <w:t> </w:t>
      </w:r>
      <w:r>
        <w:rPr>
          <w:b/>
          <w:sz w:val="24"/>
        </w:rPr>
        <w:t>Terdahulu</w:t>
      </w:r>
    </w:p>
    <w:tbl>
      <w:tblPr>
        <w:tblW w:w="0" w:type="auto"/>
        <w:jc w:val="left"/>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1412"/>
        <w:gridCol w:w="1997"/>
        <w:gridCol w:w="1997"/>
        <w:gridCol w:w="2192"/>
      </w:tblGrid>
      <w:tr>
        <w:trPr>
          <w:trHeight w:val="551" w:hRule="atLeast"/>
        </w:trPr>
        <w:tc>
          <w:tcPr>
            <w:tcW w:w="569" w:type="dxa"/>
          </w:tcPr>
          <w:p>
            <w:pPr>
              <w:pStyle w:val="TableParagraph"/>
              <w:spacing w:line="275" w:lineRule="exact" w:before="0"/>
              <w:rPr>
                <w:b/>
                <w:sz w:val="24"/>
              </w:rPr>
            </w:pPr>
            <w:r>
              <w:rPr>
                <w:b/>
                <w:spacing w:val="-5"/>
                <w:sz w:val="24"/>
              </w:rPr>
              <w:t>No.</w:t>
            </w:r>
          </w:p>
        </w:tc>
        <w:tc>
          <w:tcPr>
            <w:tcW w:w="1412" w:type="dxa"/>
          </w:tcPr>
          <w:p>
            <w:pPr>
              <w:pStyle w:val="TableParagraph"/>
              <w:spacing w:line="275" w:lineRule="exact" w:before="0"/>
              <w:ind w:left="330"/>
              <w:rPr>
                <w:b/>
                <w:sz w:val="24"/>
              </w:rPr>
            </w:pPr>
            <w:r>
              <w:rPr>
                <w:b/>
                <w:spacing w:val="-2"/>
                <w:sz w:val="24"/>
              </w:rPr>
              <w:t>Penulis</w:t>
            </w:r>
          </w:p>
        </w:tc>
        <w:tc>
          <w:tcPr>
            <w:tcW w:w="1997" w:type="dxa"/>
          </w:tcPr>
          <w:p>
            <w:pPr>
              <w:pStyle w:val="TableParagraph"/>
              <w:spacing w:line="275" w:lineRule="exact" w:before="0"/>
              <w:ind w:left="12"/>
              <w:jc w:val="center"/>
              <w:rPr>
                <w:b/>
                <w:sz w:val="24"/>
              </w:rPr>
            </w:pPr>
            <w:r>
              <w:rPr>
                <w:b/>
                <w:spacing w:val="-2"/>
                <w:sz w:val="24"/>
              </w:rPr>
              <w:t>Judul</w:t>
            </w:r>
          </w:p>
        </w:tc>
        <w:tc>
          <w:tcPr>
            <w:tcW w:w="1997" w:type="dxa"/>
          </w:tcPr>
          <w:p>
            <w:pPr>
              <w:pStyle w:val="TableParagraph"/>
              <w:spacing w:line="276" w:lineRule="exact" w:before="0"/>
              <w:ind w:left="484" w:right="97" w:firstLine="127"/>
              <w:rPr>
                <w:b/>
                <w:sz w:val="24"/>
              </w:rPr>
            </w:pPr>
            <w:r>
              <w:rPr>
                <w:b/>
                <w:spacing w:val="-2"/>
                <w:sz w:val="24"/>
              </w:rPr>
              <w:t>Metode Penelitian</w:t>
            </w:r>
          </w:p>
        </w:tc>
        <w:tc>
          <w:tcPr>
            <w:tcW w:w="2192" w:type="dxa"/>
          </w:tcPr>
          <w:p>
            <w:pPr>
              <w:pStyle w:val="TableParagraph"/>
              <w:spacing w:line="275" w:lineRule="exact" w:before="0"/>
              <w:ind w:left="282"/>
              <w:rPr>
                <w:b/>
                <w:sz w:val="24"/>
              </w:rPr>
            </w:pPr>
            <w:r>
              <w:rPr>
                <w:b/>
                <w:sz w:val="24"/>
              </w:rPr>
              <w:t>Hasil</w:t>
            </w:r>
            <w:r>
              <w:rPr>
                <w:b/>
                <w:spacing w:val="1"/>
                <w:sz w:val="24"/>
              </w:rPr>
              <w:t> </w:t>
            </w:r>
            <w:r>
              <w:rPr>
                <w:b/>
                <w:spacing w:val="-2"/>
                <w:sz w:val="24"/>
              </w:rPr>
              <w:t>Penelitian</w:t>
            </w:r>
          </w:p>
        </w:tc>
      </w:tr>
      <w:tr>
        <w:trPr>
          <w:trHeight w:val="7176" w:hRule="atLeast"/>
        </w:trPr>
        <w:tc>
          <w:tcPr>
            <w:tcW w:w="569" w:type="dxa"/>
          </w:tcPr>
          <w:p>
            <w:pPr>
              <w:pStyle w:val="TableParagraph"/>
              <w:spacing w:line="275" w:lineRule="exact" w:before="0"/>
              <w:rPr>
                <w:sz w:val="24"/>
              </w:rPr>
            </w:pPr>
            <w:r>
              <w:rPr>
                <w:spacing w:val="-5"/>
                <w:sz w:val="24"/>
              </w:rPr>
              <w:t>1.</w:t>
            </w:r>
          </w:p>
        </w:tc>
        <w:tc>
          <w:tcPr>
            <w:tcW w:w="1412" w:type="dxa"/>
          </w:tcPr>
          <w:p>
            <w:pPr>
              <w:pStyle w:val="TableParagraph"/>
              <w:spacing w:line="240" w:lineRule="auto" w:before="0"/>
              <w:rPr>
                <w:sz w:val="24"/>
              </w:rPr>
            </w:pPr>
            <w:r>
              <w:rPr>
                <w:sz w:val="24"/>
              </w:rPr>
              <w:t>Linda</w:t>
            </w:r>
            <w:r>
              <w:rPr>
                <w:spacing w:val="80"/>
                <w:sz w:val="24"/>
              </w:rPr>
              <w:t> </w:t>
            </w:r>
            <w:r>
              <w:rPr>
                <w:sz w:val="24"/>
              </w:rPr>
              <w:t>Sari, </w:t>
            </w:r>
            <w:r>
              <w:rPr>
                <w:spacing w:val="-4"/>
                <w:sz w:val="24"/>
              </w:rPr>
              <w:t>Imam </w:t>
            </w:r>
            <w:r>
              <w:rPr>
                <w:spacing w:val="-2"/>
                <w:sz w:val="24"/>
              </w:rPr>
              <w:t>Asngari, Yunisvita (2025)</w:t>
            </w:r>
          </w:p>
        </w:tc>
        <w:tc>
          <w:tcPr>
            <w:tcW w:w="1997" w:type="dxa"/>
          </w:tcPr>
          <w:p>
            <w:pPr>
              <w:pStyle w:val="TableParagraph"/>
              <w:tabs>
                <w:tab w:pos="1155" w:val="left" w:leader="none"/>
                <w:tab w:pos="1249" w:val="left" w:leader="none"/>
              </w:tabs>
              <w:spacing w:line="240" w:lineRule="auto" w:before="0"/>
              <w:ind w:right="97"/>
              <w:rPr>
                <w:sz w:val="24"/>
              </w:rPr>
            </w:pPr>
            <w:r>
              <w:rPr>
                <w:spacing w:val="-2"/>
                <w:sz w:val="24"/>
              </w:rPr>
              <w:t>Determinan Variabel Makroekonomi Terhadap</w:t>
            </w:r>
            <w:r>
              <w:rPr>
                <w:sz w:val="24"/>
              </w:rPr>
              <w:tab/>
              <w:tab/>
            </w:r>
            <w:r>
              <w:rPr>
                <w:spacing w:val="-2"/>
                <w:sz w:val="24"/>
              </w:rPr>
              <w:t>Indeks Saham</w:t>
            </w:r>
            <w:r>
              <w:rPr>
                <w:sz w:val="24"/>
              </w:rPr>
              <w:tab/>
            </w:r>
            <w:r>
              <w:rPr>
                <w:spacing w:val="-2"/>
                <w:sz w:val="24"/>
              </w:rPr>
              <w:t>Syariah Indonesia</w:t>
            </w:r>
          </w:p>
        </w:tc>
        <w:tc>
          <w:tcPr>
            <w:tcW w:w="1997" w:type="dxa"/>
          </w:tcPr>
          <w:p>
            <w:pPr>
              <w:pStyle w:val="TableParagraph"/>
              <w:tabs>
                <w:tab w:pos="887" w:val="left" w:leader="none"/>
                <w:tab w:pos="1341" w:val="left" w:leader="none"/>
                <w:tab w:pos="1635" w:val="left" w:leader="none"/>
              </w:tabs>
              <w:spacing w:line="240" w:lineRule="auto" w:before="0"/>
              <w:ind w:right="96"/>
              <w:rPr>
                <w:sz w:val="24"/>
              </w:rPr>
            </w:pPr>
            <w:r>
              <w:rPr>
                <w:spacing w:val="-2"/>
                <w:sz w:val="24"/>
              </w:rPr>
              <w:t>Penelitian</w:t>
            </w:r>
            <w:r>
              <w:rPr>
                <w:sz w:val="24"/>
              </w:rPr>
              <w:tab/>
              <w:tab/>
            </w:r>
            <w:r>
              <w:rPr>
                <w:spacing w:val="-4"/>
                <w:sz w:val="24"/>
              </w:rPr>
              <w:t>ini </w:t>
            </w:r>
            <w:r>
              <w:rPr>
                <w:spacing w:val="-2"/>
                <w:sz w:val="24"/>
              </w:rPr>
              <w:t>menggunakan </w:t>
            </w:r>
            <w:r>
              <w:rPr>
                <w:sz w:val="24"/>
              </w:rPr>
              <w:t>metode</w:t>
            </w:r>
            <w:r>
              <w:rPr>
                <w:spacing w:val="-4"/>
                <w:sz w:val="24"/>
              </w:rPr>
              <w:t> </w:t>
            </w:r>
            <w:r>
              <w:rPr>
                <w:sz w:val="24"/>
              </w:rPr>
              <w:t>kuantitatif dan</w:t>
            </w:r>
            <w:r>
              <w:rPr>
                <w:spacing w:val="-15"/>
                <w:sz w:val="24"/>
              </w:rPr>
              <w:t> </w:t>
            </w:r>
            <w:r>
              <w:rPr>
                <w:sz w:val="24"/>
              </w:rPr>
              <w:t>teknik</w:t>
            </w:r>
            <w:r>
              <w:rPr>
                <w:spacing w:val="-15"/>
                <w:sz w:val="24"/>
              </w:rPr>
              <w:t> </w:t>
            </w:r>
            <w:r>
              <w:rPr>
                <w:sz w:val="24"/>
              </w:rPr>
              <w:t>analisis </w:t>
            </w:r>
            <w:r>
              <w:rPr>
                <w:spacing w:val="-4"/>
                <w:sz w:val="24"/>
              </w:rPr>
              <w:t>yang</w:t>
            </w:r>
            <w:r>
              <w:rPr>
                <w:sz w:val="24"/>
              </w:rPr>
              <w:tab/>
            </w:r>
            <w:r>
              <w:rPr>
                <w:spacing w:val="-2"/>
                <w:sz w:val="24"/>
              </w:rPr>
              <w:t>digunakan ialah</w:t>
            </w:r>
            <w:r>
              <w:rPr>
                <w:sz w:val="24"/>
              </w:rPr>
              <w:tab/>
              <w:tab/>
            </w:r>
            <w:r>
              <w:rPr>
                <w:i/>
                <w:spacing w:val="-4"/>
                <w:sz w:val="24"/>
              </w:rPr>
              <w:t>Error </w:t>
            </w:r>
            <w:r>
              <w:rPr>
                <w:i/>
                <w:sz w:val="24"/>
              </w:rPr>
              <w:t>Correction</w:t>
            </w:r>
            <w:r>
              <w:rPr>
                <w:i/>
                <w:spacing w:val="17"/>
                <w:sz w:val="24"/>
              </w:rPr>
              <w:t> </w:t>
            </w:r>
            <w:r>
              <w:rPr>
                <w:i/>
                <w:sz w:val="24"/>
              </w:rPr>
              <w:t>Model </w:t>
            </w:r>
            <w:r>
              <w:rPr>
                <w:spacing w:val="-2"/>
                <w:sz w:val="24"/>
              </w:rPr>
              <w:t>(ECM)</w:t>
            </w:r>
          </w:p>
        </w:tc>
        <w:tc>
          <w:tcPr>
            <w:tcW w:w="2192" w:type="dxa"/>
          </w:tcPr>
          <w:p>
            <w:pPr>
              <w:pStyle w:val="TableParagraph"/>
              <w:tabs>
                <w:tab w:pos="883" w:val="left" w:leader="none"/>
                <w:tab w:pos="1119" w:val="left" w:leader="none"/>
                <w:tab w:pos="1213" w:val="left" w:leader="none"/>
                <w:tab w:pos="1259" w:val="left" w:leader="none"/>
                <w:tab w:pos="1412" w:val="left" w:leader="none"/>
                <w:tab w:pos="1594" w:val="left" w:leader="none"/>
                <w:tab w:pos="1736" w:val="left" w:leader="none"/>
              </w:tabs>
              <w:spacing w:line="240" w:lineRule="auto" w:before="0"/>
              <w:ind w:right="97"/>
              <w:rPr>
                <w:sz w:val="24"/>
              </w:rPr>
            </w:pPr>
            <w:r>
              <w:rPr>
                <w:spacing w:val="-4"/>
                <w:sz w:val="24"/>
              </w:rPr>
              <w:t>Dalam</w:t>
            </w:r>
            <w:r>
              <w:rPr>
                <w:sz w:val="24"/>
              </w:rPr>
              <w:tab/>
              <w:tab/>
              <w:tab/>
              <w:tab/>
              <w:tab/>
            </w:r>
            <w:r>
              <w:rPr>
                <w:spacing w:val="-34"/>
                <w:sz w:val="24"/>
              </w:rPr>
              <w:t> </w:t>
            </w:r>
            <w:r>
              <w:rPr>
                <w:spacing w:val="-2"/>
                <w:sz w:val="24"/>
              </w:rPr>
              <w:t>jangka </w:t>
            </w:r>
            <w:r>
              <w:rPr>
                <w:sz w:val="24"/>
              </w:rPr>
              <w:t>pendek,</w:t>
            </w:r>
            <w:r>
              <w:rPr>
                <w:spacing w:val="-12"/>
                <w:sz w:val="24"/>
              </w:rPr>
              <w:t> </w:t>
            </w:r>
            <w:r>
              <w:rPr>
                <w:sz w:val="24"/>
              </w:rPr>
              <w:t>inflasi,</w:t>
            </w:r>
            <w:r>
              <w:rPr>
                <w:spacing w:val="-11"/>
                <w:sz w:val="24"/>
              </w:rPr>
              <w:t> </w:t>
            </w:r>
            <w:r>
              <w:rPr>
                <w:sz w:val="24"/>
              </w:rPr>
              <w:t>nilai tukar,</w:t>
            </w:r>
            <w:r>
              <w:rPr>
                <w:spacing w:val="-3"/>
                <w:sz w:val="24"/>
              </w:rPr>
              <w:t> </w:t>
            </w:r>
            <w:r>
              <w:rPr>
                <w:sz w:val="24"/>
              </w:rPr>
              <w:t>dan</w:t>
            </w:r>
            <w:r>
              <w:rPr>
                <w:spacing w:val="-3"/>
                <w:sz w:val="24"/>
              </w:rPr>
              <w:t> </w:t>
            </w:r>
            <w:r>
              <w:rPr>
                <w:sz w:val="24"/>
              </w:rPr>
              <w:t>bagi</w:t>
            </w:r>
            <w:r>
              <w:rPr>
                <w:spacing w:val="-3"/>
                <w:sz w:val="24"/>
              </w:rPr>
              <w:t> </w:t>
            </w:r>
            <w:r>
              <w:rPr>
                <w:sz w:val="24"/>
              </w:rPr>
              <w:t>hasil berpengaruh</w:t>
            </w:r>
            <w:r>
              <w:rPr>
                <w:spacing w:val="65"/>
                <w:sz w:val="24"/>
              </w:rPr>
              <w:t> </w:t>
            </w:r>
            <w:r>
              <w:rPr>
                <w:sz w:val="24"/>
              </w:rPr>
              <w:t>positif </w:t>
            </w:r>
            <w:r>
              <w:rPr>
                <w:spacing w:val="-4"/>
                <w:sz w:val="24"/>
              </w:rPr>
              <w:t>dan</w:t>
            </w:r>
            <w:r>
              <w:rPr>
                <w:sz w:val="24"/>
              </w:rPr>
              <w:tab/>
              <w:tab/>
            </w:r>
            <w:r>
              <w:rPr>
                <w:spacing w:val="-2"/>
                <w:sz w:val="24"/>
              </w:rPr>
              <w:t>signifikan terhadap</w:t>
            </w:r>
            <w:r>
              <w:rPr>
                <w:sz w:val="24"/>
              </w:rPr>
              <w:tab/>
              <w:tab/>
              <w:tab/>
              <w:tab/>
              <w:tab/>
            </w:r>
            <w:r>
              <w:rPr>
                <w:spacing w:val="-4"/>
                <w:sz w:val="24"/>
              </w:rPr>
              <w:t>ISSI, </w:t>
            </w:r>
            <w:r>
              <w:rPr>
                <w:spacing w:val="-2"/>
                <w:sz w:val="24"/>
              </w:rPr>
              <w:t>sedangkan pertumbuhan ekonomi</w:t>
            </w:r>
            <w:r>
              <w:rPr>
                <w:sz w:val="24"/>
              </w:rPr>
              <w:tab/>
              <w:tab/>
            </w:r>
            <w:r>
              <w:rPr>
                <w:spacing w:val="-2"/>
                <w:sz w:val="24"/>
              </w:rPr>
              <w:t>memiliki pengaruh</w:t>
            </w:r>
            <w:r>
              <w:rPr>
                <w:sz w:val="24"/>
              </w:rPr>
              <w:tab/>
              <w:tab/>
              <w:tab/>
              <w:tab/>
            </w:r>
            <w:r>
              <w:rPr>
                <w:spacing w:val="-2"/>
                <w:sz w:val="24"/>
              </w:rPr>
              <w:t>negatif </w:t>
            </w:r>
            <w:r>
              <w:rPr>
                <w:spacing w:val="-4"/>
                <w:sz w:val="24"/>
              </w:rPr>
              <w:t>dan</w:t>
            </w:r>
            <w:r>
              <w:rPr>
                <w:sz w:val="24"/>
              </w:rPr>
              <w:tab/>
              <w:tab/>
            </w:r>
            <w:r>
              <w:rPr>
                <w:spacing w:val="-60"/>
                <w:sz w:val="24"/>
              </w:rPr>
              <w:t> </w:t>
            </w:r>
            <w:r>
              <w:rPr>
                <w:spacing w:val="-2"/>
                <w:sz w:val="24"/>
              </w:rPr>
              <w:t>signifikan </w:t>
            </w:r>
            <w:r>
              <w:rPr>
                <w:sz w:val="24"/>
              </w:rPr>
              <w:t>terhadap</w:t>
            </w:r>
            <w:r>
              <w:rPr>
                <w:spacing w:val="19"/>
                <w:sz w:val="24"/>
              </w:rPr>
              <w:t> </w:t>
            </w:r>
            <w:r>
              <w:rPr>
                <w:sz w:val="24"/>
              </w:rPr>
              <w:t>ISSI.</w:t>
            </w:r>
            <w:r>
              <w:rPr>
                <w:spacing w:val="18"/>
                <w:sz w:val="24"/>
              </w:rPr>
              <w:t> </w:t>
            </w:r>
            <w:r>
              <w:rPr>
                <w:sz w:val="24"/>
              </w:rPr>
              <w:t>Pada </w:t>
            </w:r>
            <w:r>
              <w:rPr>
                <w:spacing w:val="-2"/>
                <w:sz w:val="24"/>
              </w:rPr>
              <w:t>jangka</w:t>
            </w:r>
            <w:r>
              <w:rPr>
                <w:sz w:val="24"/>
              </w:rPr>
              <w:tab/>
              <w:tab/>
              <w:tab/>
              <w:tab/>
            </w:r>
            <w:r>
              <w:rPr>
                <w:spacing w:val="-2"/>
                <w:sz w:val="24"/>
              </w:rPr>
              <w:t>panjang, </w:t>
            </w:r>
            <w:r>
              <w:rPr>
                <w:sz w:val="24"/>
              </w:rPr>
              <w:t>nilai</w:t>
            </w:r>
            <w:r>
              <w:rPr>
                <w:spacing w:val="26"/>
                <w:sz w:val="24"/>
              </w:rPr>
              <w:t> </w:t>
            </w:r>
            <w:r>
              <w:rPr>
                <w:sz w:val="24"/>
              </w:rPr>
              <w:t>tukar</w:t>
            </w:r>
            <w:r>
              <w:rPr>
                <w:spacing w:val="24"/>
                <w:sz w:val="24"/>
              </w:rPr>
              <w:t> </w:t>
            </w:r>
            <w:r>
              <w:rPr>
                <w:sz w:val="24"/>
              </w:rPr>
              <w:t>dan</w:t>
            </w:r>
            <w:r>
              <w:rPr>
                <w:spacing w:val="26"/>
                <w:sz w:val="24"/>
              </w:rPr>
              <w:t> </w:t>
            </w:r>
            <w:r>
              <w:rPr>
                <w:sz w:val="24"/>
              </w:rPr>
              <w:t>bagi </w:t>
            </w:r>
            <w:r>
              <w:rPr>
                <w:spacing w:val="-2"/>
                <w:sz w:val="24"/>
              </w:rPr>
              <w:t>hasil</w:t>
            </w:r>
            <w:r>
              <w:rPr>
                <w:sz w:val="24"/>
              </w:rPr>
              <w:tab/>
            </w:r>
            <w:r>
              <w:rPr>
                <w:spacing w:val="-2"/>
                <w:sz w:val="24"/>
              </w:rPr>
              <w:t>berpengaruh positif</w:t>
            </w:r>
            <w:r>
              <w:rPr>
                <w:sz w:val="24"/>
              </w:rPr>
              <w:tab/>
              <w:tab/>
              <w:tab/>
              <w:tab/>
              <w:tab/>
              <w:tab/>
              <w:tab/>
            </w:r>
            <w:r>
              <w:rPr>
                <w:spacing w:val="-5"/>
                <w:sz w:val="24"/>
              </w:rPr>
              <w:t>dan</w:t>
            </w:r>
          </w:p>
          <w:p>
            <w:pPr>
              <w:pStyle w:val="TableParagraph"/>
              <w:tabs>
                <w:tab w:pos="1213" w:val="left" w:leader="none"/>
                <w:tab w:pos="1412" w:val="left" w:leader="none"/>
              </w:tabs>
              <w:spacing w:line="240" w:lineRule="auto" w:before="0"/>
              <w:ind w:right="98"/>
              <w:rPr>
                <w:sz w:val="24"/>
              </w:rPr>
            </w:pPr>
            <w:r>
              <w:rPr>
                <w:spacing w:val="-2"/>
                <w:sz w:val="24"/>
              </w:rPr>
              <w:t>signifikan, sedangkan pertumbuhan ekonomi</w:t>
            </w:r>
            <w:r>
              <w:rPr>
                <w:sz w:val="24"/>
              </w:rPr>
              <w:tab/>
            </w:r>
            <w:r>
              <w:rPr>
                <w:spacing w:val="-2"/>
                <w:sz w:val="24"/>
              </w:rPr>
              <w:t>memiliki pengaruh</w:t>
            </w:r>
            <w:r>
              <w:rPr>
                <w:sz w:val="24"/>
              </w:rPr>
              <w:tab/>
              <w:tab/>
            </w:r>
            <w:r>
              <w:rPr>
                <w:spacing w:val="-2"/>
                <w:sz w:val="24"/>
              </w:rPr>
              <w:t>negatif</w:t>
            </w:r>
          </w:p>
          <w:p>
            <w:pPr>
              <w:pStyle w:val="TableParagraph"/>
              <w:tabs>
                <w:tab w:pos="1734" w:val="left" w:leader="none"/>
              </w:tabs>
              <w:spacing w:line="240" w:lineRule="auto" w:before="0"/>
              <w:rPr>
                <w:sz w:val="24"/>
              </w:rPr>
            </w:pPr>
            <w:r>
              <w:rPr>
                <w:spacing w:val="-2"/>
                <w:sz w:val="24"/>
              </w:rPr>
              <w:t>signifikan,</w:t>
            </w:r>
            <w:r>
              <w:rPr>
                <w:sz w:val="24"/>
              </w:rPr>
              <w:tab/>
            </w:r>
            <w:r>
              <w:rPr>
                <w:spacing w:val="-5"/>
                <w:sz w:val="24"/>
              </w:rPr>
              <w:t>dan</w:t>
            </w:r>
          </w:p>
          <w:p>
            <w:pPr>
              <w:pStyle w:val="TableParagraph"/>
              <w:tabs>
                <w:tab w:pos="1602" w:val="left" w:leader="none"/>
              </w:tabs>
              <w:spacing w:line="270" w:lineRule="atLeast" w:before="0"/>
              <w:ind w:right="97"/>
              <w:jc w:val="both"/>
              <w:rPr>
                <w:sz w:val="24"/>
              </w:rPr>
            </w:pPr>
            <w:r>
              <w:rPr>
                <w:spacing w:val="-2"/>
                <w:sz w:val="24"/>
              </w:rPr>
              <w:t>inflasi</w:t>
            </w:r>
            <w:r>
              <w:rPr>
                <w:sz w:val="24"/>
              </w:rPr>
              <w:tab/>
            </w:r>
            <w:r>
              <w:rPr>
                <w:spacing w:val="-4"/>
                <w:sz w:val="24"/>
              </w:rPr>
              <w:t>tidak </w:t>
            </w:r>
            <w:r>
              <w:rPr>
                <w:sz w:val="24"/>
              </w:rPr>
              <w:t>memiliki pengaruh signifikan terhadap </w:t>
            </w:r>
            <w:r>
              <w:rPr>
                <w:spacing w:val="-4"/>
                <w:sz w:val="24"/>
              </w:rPr>
              <w:t>ISSI</w:t>
            </w:r>
          </w:p>
        </w:tc>
      </w:tr>
      <w:tr>
        <w:trPr>
          <w:trHeight w:val="4416" w:hRule="atLeast"/>
        </w:trPr>
        <w:tc>
          <w:tcPr>
            <w:tcW w:w="569" w:type="dxa"/>
          </w:tcPr>
          <w:p>
            <w:pPr>
              <w:pStyle w:val="TableParagraph"/>
              <w:spacing w:line="275" w:lineRule="exact" w:before="0"/>
              <w:rPr>
                <w:sz w:val="24"/>
              </w:rPr>
            </w:pPr>
            <w:r>
              <w:rPr>
                <w:spacing w:val="-5"/>
                <w:sz w:val="24"/>
              </w:rPr>
              <w:t>2.</w:t>
            </w:r>
          </w:p>
        </w:tc>
        <w:tc>
          <w:tcPr>
            <w:tcW w:w="1412" w:type="dxa"/>
          </w:tcPr>
          <w:p>
            <w:pPr>
              <w:pStyle w:val="TableParagraph"/>
              <w:tabs>
                <w:tab w:pos="740" w:val="left" w:leader="none"/>
              </w:tabs>
              <w:spacing w:line="240" w:lineRule="auto" w:before="0"/>
              <w:ind w:right="99"/>
              <w:rPr>
                <w:sz w:val="24"/>
              </w:rPr>
            </w:pPr>
            <w:r>
              <w:rPr>
                <w:spacing w:val="-2"/>
                <w:sz w:val="24"/>
              </w:rPr>
              <w:t>Yulfiswandi </w:t>
            </w:r>
            <w:r>
              <w:rPr>
                <w:spacing w:val="-4"/>
                <w:sz w:val="24"/>
              </w:rPr>
              <w:t>dan</w:t>
            </w:r>
            <w:r>
              <w:rPr>
                <w:sz w:val="24"/>
              </w:rPr>
              <w:tab/>
            </w:r>
            <w:r>
              <w:rPr>
                <w:spacing w:val="-2"/>
                <w:sz w:val="24"/>
              </w:rPr>
              <w:t>Jenny </w:t>
            </w:r>
            <w:r>
              <w:rPr>
                <w:spacing w:val="-4"/>
                <w:sz w:val="24"/>
              </w:rPr>
              <w:t>Yang</w:t>
            </w:r>
            <w:r>
              <w:rPr>
                <w:spacing w:val="80"/>
                <w:sz w:val="24"/>
              </w:rPr>
              <w:t> </w:t>
            </w:r>
            <w:r>
              <w:rPr>
                <w:spacing w:val="-2"/>
                <w:sz w:val="24"/>
              </w:rPr>
              <w:t>(2024)</w:t>
            </w:r>
          </w:p>
        </w:tc>
        <w:tc>
          <w:tcPr>
            <w:tcW w:w="1997" w:type="dxa"/>
          </w:tcPr>
          <w:p>
            <w:pPr>
              <w:pStyle w:val="TableParagraph"/>
              <w:tabs>
                <w:tab w:pos="1155" w:val="left" w:leader="none"/>
                <w:tab w:pos="1299" w:val="left" w:leader="none"/>
              </w:tabs>
              <w:spacing w:line="240" w:lineRule="auto" w:before="0"/>
              <w:ind w:right="96"/>
              <w:rPr>
                <w:sz w:val="24"/>
              </w:rPr>
            </w:pPr>
            <w:r>
              <w:rPr>
                <w:spacing w:val="-2"/>
                <w:sz w:val="24"/>
              </w:rPr>
              <w:t>Pengaruh Makroekonomi Terhadap </w:t>
            </w:r>
            <w:r>
              <w:rPr>
                <w:sz w:val="24"/>
              </w:rPr>
              <w:t>Pergerakan</w:t>
            </w:r>
            <w:r>
              <w:rPr>
                <w:spacing w:val="-15"/>
                <w:sz w:val="24"/>
              </w:rPr>
              <w:t> </w:t>
            </w:r>
            <w:r>
              <w:rPr>
                <w:sz w:val="24"/>
              </w:rPr>
              <w:t>Indeks </w:t>
            </w:r>
            <w:r>
              <w:rPr>
                <w:spacing w:val="-2"/>
                <w:sz w:val="24"/>
              </w:rPr>
              <w:t>Saham</w:t>
            </w:r>
            <w:r>
              <w:rPr>
                <w:sz w:val="24"/>
              </w:rPr>
              <w:tab/>
            </w:r>
            <w:r>
              <w:rPr>
                <w:spacing w:val="-2"/>
                <w:sz w:val="24"/>
              </w:rPr>
              <w:t>Syariah Indonesia</w:t>
            </w:r>
            <w:r>
              <w:rPr>
                <w:sz w:val="24"/>
              </w:rPr>
              <w:tab/>
              <w:tab/>
            </w:r>
            <w:r>
              <w:rPr>
                <w:spacing w:val="-2"/>
                <w:sz w:val="24"/>
              </w:rPr>
              <w:t>(ISSI) Periode</w:t>
            </w:r>
            <w:r>
              <w:rPr>
                <w:sz w:val="24"/>
              </w:rPr>
              <w:tab/>
              <w:tab/>
            </w:r>
            <w:r>
              <w:rPr>
                <w:spacing w:val="-32"/>
                <w:sz w:val="24"/>
              </w:rPr>
              <w:t> </w:t>
            </w:r>
            <w:r>
              <w:rPr>
                <w:spacing w:val="-2"/>
                <w:sz w:val="24"/>
              </w:rPr>
              <w:t>2013-</w:t>
            </w:r>
          </w:p>
          <w:p>
            <w:pPr>
              <w:pStyle w:val="TableParagraph"/>
              <w:tabs>
                <w:tab w:pos="1650" w:val="left" w:leader="none"/>
              </w:tabs>
              <w:spacing w:line="240" w:lineRule="auto" w:before="0"/>
              <w:rPr>
                <w:sz w:val="24"/>
              </w:rPr>
            </w:pPr>
            <w:r>
              <w:rPr>
                <w:spacing w:val="-2"/>
                <w:sz w:val="24"/>
              </w:rPr>
              <w:t>2022:</w:t>
            </w:r>
            <w:r>
              <w:rPr>
                <w:sz w:val="24"/>
              </w:rPr>
              <w:tab/>
            </w:r>
            <w:r>
              <w:rPr>
                <w:spacing w:val="-5"/>
                <w:sz w:val="24"/>
              </w:rPr>
              <w:t>Di</w:t>
            </w:r>
          </w:p>
          <w:p>
            <w:pPr>
              <w:pStyle w:val="TableParagraph"/>
              <w:tabs>
                <w:tab w:pos="1420" w:val="left" w:leader="none"/>
              </w:tabs>
              <w:spacing w:line="240" w:lineRule="auto" w:before="0"/>
              <w:ind w:right="96"/>
              <w:rPr>
                <w:i/>
                <w:sz w:val="24"/>
              </w:rPr>
            </w:pPr>
            <w:r>
              <w:rPr>
                <w:spacing w:val="-2"/>
                <w:sz w:val="24"/>
              </w:rPr>
              <w:t>Moderasi</w:t>
            </w:r>
            <w:r>
              <w:rPr>
                <w:sz w:val="24"/>
              </w:rPr>
              <w:tab/>
            </w:r>
            <w:r>
              <w:rPr>
                <w:spacing w:val="-4"/>
                <w:sz w:val="24"/>
              </w:rPr>
              <w:t>Oleh </w:t>
            </w:r>
            <w:r>
              <w:rPr>
                <w:i/>
                <w:spacing w:val="-2"/>
                <w:sz w:val="24"/>
              </w:rPr>
              <w:t>Socio-Political Index</w:t>
            </w:r>
          </w:p>
        </w:tc>
        <w:tc>
          <w:tcPr>
            <w:tcW w:w="1997" w:type="dxa"/>
          </w:tcPr>
          <w:p>
            <w:pPr>
              <w:pStyle w:val="TableParagraph"/>
              <w:spacing w:line="240" w:lineRule="auto" w:before="0"/>
              <w:ind w:right="99"/>
              <w:jc w:val="both"/>
              <w:rPr>
                <w:sz w:val="24"/>
              </w:rPr>
            </w:pPr>
            <w:r>
              <w:rPr>
                <w:sz w:val="24"/>
              </w:rPr>
              <w:t>Metode </w:t>
            </w:r>
            <w:r>
              <w:rPr>
                <w:sz w:val="24"/>
              </w:rPr>
              <w:t>yang digunakan ialah kuantitatif dengan model</w:t>
            </w:r>
            <w:r>
              <w:rPr>
                <w:spacing w:val="63"/>
                <w:w w:val="150"/>
                <w:sz w:val="24"/>
              </w:rPr>
              <w:t>   </w:t>
            </w:r>
            <w:r>
              <w:rPr>
                <w:spacing w:val="-2"/>
                <w:sz w:val="24"/>
              </w:rPr>
              <w:t>analisis</w:t>
            </w:r>
          </w:p>
          <w:p>
            <w:pPr>
              <w:pStyle w:val="TableParagraph"/>
              <w:spacing w:line="240" w:lineRule="auto" w:before="0"/>
              <w:ind w:right="98"/>
              <w:jc w:val="both"/>
              <w:rPr>
                <w:sz w:val="24"/>
              </w:rPr>
            </w:pPr>
            <w:r>
              <w:rPr>
                <w:sz w:val="24"/>
              </w:rPr>
              <w:t>regresi </w:t>
            </w:r>
            <w:r>
              <w:rPr>
                <w:sz w:val="24"/>
              </w:rPr>
              <w:t>linear </w:t>
            </w:r>
            <w:r>
              <w:rPr>
                <w:spacing w:val="-2"/>
                <w:sz w:val="24"/>
              </w:rPr>
              <w:t>berganda</w:t>
            </w:r>
          </w:p>
        </w:tc>
        <w:tc>
          <w:tcPr>
            <w:tcW w:w="2192" w:type="dxa"/>
          </w:tcPr>
          <w:p>
            <w:pPr>
              <w:pStyle w:val="TableParagraph"/>
              <w:tabs>
                <w:tab w:pos="1494" w:val="left" w:leader="none"/>
              </w:tabs>
              <w:spacing w:line="275" w:lineRule="exact" w:before="0"/>
              <w:rPr>
                <w:i/>
                <w:sz w:val="24"/>
              </w:rPr>
            </w:pPr>
            <w:r>
              <w:rPr>
                <w:i/>
                <w:spacing w:val="-5"/>
                <w:sz w:val="24"/>
              </w:rPr>
              <w:t>Oil</w:t>
            </w:r>
            <w:r>
              <w:rPr>
                <w:i/>
                <w:sz w:val="24"/>
              </w:rPr>
              <w:tab/>
            </w:r>
            <w:r>
              <w:rPr>
                <w:i/>
                <w:spacing w:val="-2"/>
                <w:sz w:val="24"/>
              </w:rPr>
              <w:t>prices</w:t>
            </w:r>
          </w:p>
          <w:p>
            <w:pPr>
              <w:pStyle w:val="TableParagraph"/>
              <w:tabs>
                <w:tab w:pos="824" w:val="left" w:leader="none"/>
                <w:tab w:pos="882" w:val="left" w:leader="none"/>
                <w:tab w:pos="1066" w:val="left" w:leader="none"/>
                <w:tab w:pos="1563" w:val="left" w:leader="none"/>
                <w:tab w:pos="1734" w:val="left" w:leader="none"/>
              </w:tabs>
              <w:spacing w:line="240" w:lineRule="auto" w:before="0"/>
              <w:ind w:right="96"/>
              <w:rPr>
                <w:sz w:val="24"/>
              </w:rPr>
            </w:pPr>
            <w:r>
              <w:rPr>
                <w:sz w:val="24"/>
              </w:rPr>
              <w:t>berpengaruh</w:t>
            </w:r>
            <w:r>
              <w:rPr>
                <w:spacing w:val="66"/>
                <w:sz w:val="24"/>
              </w:rPr>
              <w:t> </w:t>
            </w:r>
            <w:r>
              <w:rPr>
                <w:sz w:val="24"/>
              </w:rPr>
              <w:t>positif signifikan</w:t>
            </w:r>
            <w:r>
              <w:rPr>
                <w:spacing w:val="80"/>
                <w:sz w:val="24"/>
              </w:rPr>
              <w:t> </w:t>
            </w:r>
            <w:r>
              <w:rPr>
                <w:sz w:val="24"/>
              </w:rPr>
              <w:t>terhadap </w:t>
            </w:r>
            <w:r>
              <w:rPr>
                <w:spacing w:val="-2"/>
                <w:sz w:val="24"/>
              </w:rPr>
              <w:t>ISSI,</w:t>
            </w:r>
            <w:r>
              <w:rPr>
                <w:sz w:val="24"/>
              </w:rPr>
              <w:tab/>
              <w:tab/>
              <w:tab/>
            </w:r>
            <w:r>
              <w:rPr>
                <w:spacing w:val="-2"/>
                <w:sz w:val="24"/>
              </w:rPr>
              <w:t>sedangkan </w:t>
            </w:r>
            <w:r>
              <w:rPr>
                <w:sz w:val="24"/>
              </w:rPr>
              <w:t>inflasi,</w:t>
            </w:r>
            <w:r>
              <w:rPr>
                <w:spacing w:val="80"/>
                <w:sz w:val="24"/>
              </w:rPr>
              <w:t> </w:t>
            </w:r>
            <w:r>
              <w:rPr>
                <w:sz w:val="24"/>
              </w:rPr>
              <w:t>nilai</w:t>
            </w:r>
            <w:r>
              <w:rPr>
                <w:spacing w:val="80"/>
                <w:sz w:val="24"/>
              </w:rPr>
              <w:t> </w:t>
            </w:r>
            <w:r>
              <w:rPr>
                <w:sz w:val="24"/>
              </w:rPr>
              <w:t>tukar, </w:t>
            </w:r>
            <w:r>
              <w:rPr>
                <w:spacing w:val="-4"/>
                <w:sz w:val="24"/>
              </w:rPr>
              <w:t>suku</w:t>
            </w:r>
            <w:r>
              <w:rPr>
                <w:sz w:val="24"/>
              </w:rPr>
              <w:tab/>
            </w:r>
            <w:r>
              <w:rPr>
                <w:spacing w:val="-2"/>
                <w:sz w:val="24"/>
              </w:rPr>
              <w:t>bunga,</w:t>
            </w:r>
            <w:r>
              <w:rPr>
                <w:sz w:val="24"/>
              </w:rPr>
              <w:tab/>
              <w:tab/>
            </w:r>
            <w:r>
              <w:rPr>
                <w:spacing w:val="-4"/>
                <w:sz w:val="24"/>
              </w:rPr>
              <w:t>dan </w:t>
            </w:r>
            <w:r>
              <w:rPr>
                <w:sz w:val="24"/>
              </w:rPr>
              <w:t>jumlah</w:t>
            </w:r>
            <w:r>
              <w:rPr>
                <w:spacing w:val="-15"/>
                <w:sz w:val="24"/>
              </w:rPr>
              <w:t> </w:t>
            </w:r>
            <w:r>
              <w:rPr>
                <w:sz w:val="24"/>
              </w:rPr>
              <w:t>uang</w:t>
            </w:r>
            <w:r>
              <w:rPr>
                <w:spacing w:val="-15"/>
                <w:sz w:val="24"/>
              </w:rPr>
              <w:t> </w:t>
            </w:r>
            <w:r>
              <w:rPr>
                <w:sz w:val="24"/>
              </w:rPr>
              <w:t>beredar </w:t>
            </w:r>
            <w:r>
              <w:rPr>
                <w:spacing w:val="-2"/>
                <w:sz w:val="24"/>
              </w:rPr>
              <w:t>tidak</w:t>
            </w:r>
            <w:r>
              <w:rPr>
                <w:sz w:val="24"/>
              </w:rPr>
              <w:tab/>
              <w:tab/>
            </w:r>
            <w:r>
              <w:rPr>
                <w:spacing w:val="-2"/>
                <w:sz w:val="24"/>
              </w:rPr>
              <w:t>berpengaruh </w:t>
            </w:r>
            <w:r>
              <w:rPr>
                <w:sz w:val="24"/>
              </w:rPr>
              <w:t>signifikan</w:t>
            </w:r>
            <w:r>
              <w:rPr>
                <w:spacing w:val="80"/>
                <w:sz w:val="24"/>
              </w:rPr>
              <w:t> </w:t>
            </w:r>
            <w:r>
              <w:rPr>
                <w:sz w:val="24"/>
              </w:rPr>
              <w:t>terhadap ISSI.</w:t>
            </w:r>
            <w:r>
              <w:rPr>
                <w:spacing w:val="-8"/>
                <w:sz w:val="24"/>
              </w:rPr>
              <w:t> </w:t>
            </w:r>
            <w:r>
              <w:rPr>
                <w:sz w:val="24"/>
              </w:rPr>
              <w:t>Adapun</w:t>
            </w:r>
            <w:r>
              <w:rPr>
                <w:spacing w:val="-7"/>
                <w:sz w:val="24"/>
              </w:rPr>
              <w:t> </w:t>
            </w:r>
            <w:r>
              <w:rPr>
                <w:i/>
                <w:sz w:val="24"/>
              </w:rPr>
              <w:t>socio- </w:t>
            </w:r>
            <w:r>
              <w:rPr>
                <w:i/>
                <w:spacing w:val="-2"/>
                <w:sz w:val="24"/>
              </w:rPr>
              <w:t>political</w:t>
            </w:r>
            <w:r>
              <w:rPr>
                <w:i/>
                <w:sz w:val="24"/>
              </w:rPr>
              <w:tab/>
              <w:tab/>
            </w:r>
            <w:r>
              <w:rPr>
                <w:i/>
                <w:spacing w:val="-2"/>
                <w:sz w:val="24"/>
              </w:rPr>
              <w:t>index </w:t>
            </w:r>
            <w:r>
              <w:rPr>
                <w:spacing w:val="-2"/>
                <w:sz w:val="24"/>
              </w:rPr>
              <w:t>berhasil</w:t>
            </w:r>
            <w:r>
              <w:rPr>
                <w:spacing w:val="80"/>
                <w:sz w:val="24"/>
              </w:rPr>
              <w:t> </w:t>
            </w:r>
            <w:r>
              <w:rPr>
                <w:spacing w:val="-2"/>
                <w:sz w:val="24"/>
              </w:rPr>
              <w:t>memoderasi pengaruh</w:t>
            </w:r>
          </w:p>
          <w:p>
            <w:pPr>
              <w:pStyle w:val="TableParagraph"/>
              <w:spacing w:line="270" w:lineRule="atLeast" w:before="0"/>
              <w:rPr>
                <w:sz w:val="24"/>
              </w:rPr>
            </w:pPr>
            <w:r>
              <w:rPr>
                <w:spacing w:val="-2"/>
                <w:sz w:val="24"/>
              </w:rPr>
              <w:t>makroekonomi </w:t>
            </w:r>
            <w:r>
              <w:rPr>
                <w:sz w:val="24"/>
              </w:rPr>
              <w:t>terhadap ISSI</w:t>
            </w:r>
          </w:p>
        </w:tc>
      </w:tr>
    </w:tbl>
    <w:p>
      <w:pPr>
        <w:pStyle w:val="TableParagraph"/>
        <w:spacing w:after="0" w:line="270" w:lineRule="atLeast"/>
        <w:rPr>
          <w:sz w:val="24"/>
        </w:rPr>
        <w:sectPr>
          <w:pgSz w:w="11910" w:h="16840"/>
          <w:pgMar w:header="0" w:footer="1000" w:top="1360" w:bottom="1200" w:left="1417" w:right="1275"/>
        </w:sectPr>
      </w:pPr>
    </w:p>
    <w:tbl>
      <w:tblPr>
        <w:tblW w:w="0" w:type="auto"/>
        <w:jc w:val="left"/>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1412"/>
        <w:gridCol w:w="1997"/>
        <w:gridCol w:w="1997"/>
        <w:gridCol w:w="2192"/>
      </w:tblGrid>
      <w:tr>
        <w:trPr>
          <w:trHeight w:val="3864" w:hRule="atLeast"/>
        </w:trPr>
        <w:tc>
          <w:tcPr>
            <w:tcW w:w="569" w:type="dxa"/>
          </w:tcPr>
          <w:p>
            <w:pPr>
              <w:pStyle w:val="TableParagraph"/>
              <w:spacing w:line="275" w:lineRule="exact" w:before="0"/>
              <w:rPr>
                <w:sz w:val="24"/>
              </w:rPr>
            </w:pPr>
            <w:r>
              <w:rPr>
                <w:spacing w:val="-5"/>
                <w:sz w:val="24"/>
              </w:rPr>
              <w:t>3.</w:t>
            </w:r>
          </w:p>
        </w:tc>
        <w:tc>
          <w:tcPr>
            <w:tcW w:w="1412" w:type="dxa"/>
          </w:tcPr>
          <w:p>
            <w:pPr>
              <w:pStyle w:val="TableParagraph"/>
              <w:tabs>
                <w:tab w:pos="954" w:val="left" w:leader="none"/>
              </w:tabs>
              <w:spacing w:line="240" w:lineRule="auto" w:before="0"/>
              <w:ind w:right="99"/>
              <w:rPr>
                <w:sz w:val="24"/>
              </w:rPr>
            </w:pPr>
            <w:r>
              <w:rPr>
                <w:spacing w:val="-4"/>
                <w:sz w:val="24"/>
              </w:rPr>
              <w:t>Asep </w:t>
            </w:r>
            <w:r>
              <w:rPr>
                <w:spacing w:val="-2"/>
                <w:sz w:val="24"/>
              </w:rPr>
              <w:t>Kholidul Mufid</w:t>
            </w:r>
            <w:r>
              <w:rPr>
                <w:sz w:val="24"/>
              </w:rPr>
              <w:tab/>
            </w:r>
            <w:r>
              <w:rPr>
                <w:spacing w:val="-4"/>
                <w:sz w:val="24"/>
              </w:rPr>
              <w:t>dan </w:t>
            </w:r>
            <w:r>
              <w:rPr>
                <w:spacing w:val="-2"/>
                <w:sz w:val="24"/>
              </w:rPr>
              <w:t>Norma Rosyidah (2024)</w:t>
            </w:r>
          </w:p>
        </w:tc>
        <w:tc>
          <w:tcPr>
            <w:tcW w:w="1997" w:type="dxa"/>
          </w:tcPr>
          <w:p>
            <w:pPr>
              <w:pStyle w:val="TableParagraph"/>
              <w:tabs>
                <w:tab w:pos="1232" w:val="left" w:leader="none"/>
              </w:tabs>
              <w:spacing w:line="240" w:lineRule="auto" w:before="0"/>
              <w:ind w:right="97"/>
              <w:rPr>
                <w:sz w:val="24"/>
              </w:rPr>
            </w:pPr>
            <w:r>
              <w:rPr>
                <w:spacing w:val="-2"/>
                <w:sz w:val="24"/>
              </w:rPr>
              <w:t>Pengaruh</w:t>
            </w:r>
            <w:r>
              <w:rPr>
                <w:spacing w:val="-13"/>
                <w:sz w:val="24"/>
              </w:rPr>
              <w:t> </w:t>
            </w:r>
            <w:r>
              <w:rPr>
                <w:spacing w:val="-2"/>
                <w:sz w:val="24"/>
              </w:rPr>
              <w:t>Variabel Makroekonomi Terhadap</w:t>
            </w:r>
            <w:r>
              <w:rPr>
                <w:sz w:val="24"/>
              </w:rPr>
              <w:tab/>
            </w:r>
            <w:r>
              <w:rPr>
                <w:spacing w:val="-44"/>
                <w:sz w:val="24"/>
              </w:rPr>
              <w:t> </w:t>
            </w:r>
            <w:r>
              <w:rPr>
                <w:spacing w:val="-2"/>
                <w:sz w:val="24"/>
              </w:rPr>
              <w:t>Indeks Harga</w:t>
            </w:r>
            <w:r>
              <w:rPr>
                <w:sz w:val="24"/>
              </w:rPr>
              <w:tab/>
            </w:r>
            <w:r>
              <w:rPr>
                <w:spacing w:val="-4"/>
                <w:sz w:val="24"/>
              </w:rPr>
              <w:t>Saham</w:t>
            </w:r>
          </w:p>
          <w:p>
            <w:pPr>
              <w:pStyle w:val="TableParagraph"/>
              <w:tabs>
                <w:tab w:pos="1208" w:val="left" w:leader="none"/>
              </w:tabs>
              <w:spacing w:line="240" w:lineRule="auto" w:before="0"/>
              <w:ind w:right="96"/>
              <w:rPr>
                <w:sz w:val="24"/>
              </w:rPr>
            </w:pPr>
            <w:r>
              <w:rPr>
                <w:spacing w:val="-4"/>
                <w:sz w:val="24"/>
              </w:rPr>
              <w:t>Pada</w:t>
            </w:r>
            <w:r>
              <w:rPr>
                <w:sz w:val="24"/>
              </w:rPr>
              <w:tab/>
            </w:r>
            <w:r>
              <w:rPr>
                <w:spacing w:val="-2"/>
                <w:sz w:val="24"/>
              </w:rPr>
              <w:t>Jakarta </w:t>
            </w:r>
            <w:r>
              <w:rPr>
                <w:sz w:val="24"/>
              </w:rPr>
              <w:t>Islamic Index 70</w:t>
            </w:r>
          </w:p>
        </w:tc>
        <w:tc>
          <w:tcPr>
            <w:tcW w:w="1997" w:type="dxa"/>
          </w:tcPr>
          <w:p>
            <w:pPr>
              <w:pStyle w:val="TableParagraph"/>
              <w:tabs>
                <w:tab w:pos="887" w:val="left" w:leader="none"/>
                <w:tab w:pos="1635" w:val="left" w:leader="none"/>
              </w:tabs>
              <w:spacing w:line="240" w:lineRule="auto" w:before="0"/>
              <w:ind w:right="96"/>
              <w:rPr>
                <w:sz w:val="24"/>
              </w:rPr>
            </w:pPr>
            <w:r>
              <w:rPr>
                <w:spacing w:val="-2"/>
                <w:sz w:val="24"/>
              </w:rPr>
              <w:t>Penelitian</w:t>
            </w:r>
            <w:r>
              <w:rPr>
                <w:sz w:val="24"/>
              </w:rPr>
              <w:tab/>
            </w:r>
            <w:r>
              <w:rPr>
                <w:spacing w:val="-4"/>
                <w:sz w:val="24"/>
              </w:rPr>
              <w:t>ini </w:t>
            </w:r>
            <w:r>
              <w:rPr>
                <w:spacing w:val="-2"/>
                <w:sz w:val="24"/>
              </w:rPr>
              <w:t>menggunakan </w:t>
            </w:r>
            <w:r>
              <w:rPr>
                <w:sz w:val="24"/>
              </w:rPr>
              <w:t>metode</w:t>
            </w:r>
            <w:r>
              <w:rPr>
                <w:spacing w:val="-4"/>
                <w:sz w:val="24"/>
              </w:rPr>
              <w:t> </w:t>
            </w:r>
            <w:r>
              <w:rPr>
                <w:sz w:val="24"/>
              </w:rPr>
              <w:t>kuantitatif dan</w:t>
            </w:r>
            <w:r>
              <w:rPr>
                <w:spacing w:val="-15"/>
                <w:sz w:val="24"/>
              </w:rPr>
              <w:t> </w:t>
            </w:r>
            <w:r>
              <w:rPr>
                <w:sz w:val="24"/>
              </w:rPr>
              <w:t>teknik</w:t>
            </w:r>
            <w:r>
              <w:rPr>
                <w:spacing w:val="-15"/>
                <w:sz w:val="24"/>
              </w:rPr>
              <w:t> </w:t>
            </w:r>
            <w:r>
              <w:rPr>
                <w:sz w:val="24"/>
              </w:rPr>
              <w:t>analisis </w:t>
            </w:r>
            <w:r>
              <w:rPr>
                <w:spacing w:val="-4"/>
                <w:sz w:val="24"/>
              </w:rPr>
              <w:t>yang</w:t>
            </w:r>
            <w:r>
              <w:rPr>
                <w:sz w:val="24"/>
              </w:rPr>
              <w:tab/>
            </w:r>
            <w:r>
              <w:rPr>
                <w:spacing w:val="-2"/>
                <w:sz w:val="24"/>
              </w:rPr>
              <w:t>digunakan </w:t>
            </w:r>
            <w:r>
              <w:rPr>
                <w:sz w:val="24"/>
              </w:rPr>
              <w:t>ialah</w:t>
            </w:r>
            <w:r>
              <w:rPr>
                <w:spacing w:val="-15"/>
                <w:sz w:val="24"/>
              </w:rPr>
              <w:t> </w:t>
            </w:r>
            <w:r>
              <w:rPr>
                <w:sz w:val="24"/>
              </w:rPr>
              <w:t>regresi</w:t>
            </w:r>
            <w:r>
              <w:rPr>
                <w:spacing w:val="-15"/>
                <w:sz w:val="24"/>
              </w:rPr>
              <w:t> </w:t>
            </w:r>
            <w:r>
              <w:rPr>
                <w:sz w:val="24"/>
              </w:rPr>
              <w:t>linear </w:t>
            </w:r>
            <w:r>
              <w:rPr>
                <w:spacing w:val="-2"/>
                <w:sz w:val="24"/>
              </w:rPr>
              <w:t>berganda</w:t>
            </w:r>
          </w:p>
        </w:tc>
        <w:tc>
          <w:tcPr>
            <w:tcW w:w="2192" w:type="dxa"/>
          </w:tcPr>
          <w:p>
            <w:pPr>
              <w:pStyle w:val="TableParagraph"/>
              <w:tabs>
                <w:tab w:pos="1736" w:val="left" w:leader="none"/>
              </w:tabs>
              <w:spacing w:line="240" w:lineRule="auto" w:before="0"/>
              <w:ind w:right="97"/>
              <w:jc w:val="both"/>
              <w:rPr>
                <w:sz w:val="24"/>
              </w:rPr>
            </w:pPr>
            <w:r>
              <w:rPr>
                <w:sz w:val="24"/>
              </w:rPr>
              <w:t>Variabel </w:t>
            </w:r>
            <w:r>
              <w:rPr>
                <w:sz w:val="24"/>
              </w:rPr>
              <w:t>inflasi memiliki pengaruh </w:t>
            </w:r>
            <w:r>
              <w:rPr>
                <w:spacing w:val="-2"/>
                <w:sz w:val="24"/>
              </w:rPr>
              <w:t>positif</w:t>
            </w:r>
            <w:r>
              <w:rPr>
                <w:sz w:val="24"/>
              </w:rPr>
              <w:tab/>
            </w:r>
            <w:r>
              <w:rPr>
                <w:spacing w:val="-5"/>
                <w:sz w:val="24"/>
              </w:rPr>
              <w:t>dan</w:t>
            </w:r>
          </w:p>
          <w:p>
            <w:pPr>
              <w:pStyle w:val="TableParagraph"/>
              <w:tabs>
                <w:tab w:pos="793" w:val="left" w:leader="none"/>
                <w:tab w:pos="1059" w:val="left" w:leader="none"/>
                <w:tab w:pos="1359" w:val="left" w:leader="none"/>
                <w:tab w:pos="1412" w:val="left" w:leader="none"/>
              </w:tabs>
              <w:spacing w:line="240" w:lineRule="auto" w:before="0"/>
              <w:ind w:right="99"/>
              <w:rPr>
                <w:sz w:val="24"/>
              </w:rPr>
            </w:pPr>
            <w:r>
              <w:rPr>
                <w:spacing w:val="-2"/>
                <w:sz w:val="24"/>
              </w:rPr>
              <w:t>signifikan, </w:t>
            </w:r>
            <w:r>
              <w:rPr>
                <w:sz w:val="24"/>
              </w:rPr>
              <w:t>sedangkan</w:t>
            </w:r>
            <w:r>
              <w:rPr>
                <w:spacing w:val="80"/>
                <w:sz w:val="24"/>
              </w:rPr>
              <w:t> </w:t>
            </w:r>
            <w:r>
              <w:rPr>
                <w:sz w:val="24"/>
              </w:rPr>
              <w:t>variabel </w:t>
            </w:r>
            <w:r>
              <w:rPr>
                <w:spacing w:val="-4"/>
                <w:sz w:val="24"/>
              </w:rPr>
              <w:t>kurs</w:t>
            </w:r>
            <w:r>
              <w:rPr>
                <w:sz w:val="24"/>
              </w:rPr>
              <w:tab/>
            </w:r>
            <w:r>
              <w:rPr>
                <w:spacing w:val="-4"/>
                <w:sz w:val="24"/>
              </w:rPr>
              <w:t>dan</w:t>
            </w:r>
            <w:r>
              <w:rPr>
                <w:sz w:val="24"/>
              </w:rPr>
              <w:tab/>
              <w:tab/>
            </w:r>
            <w:r>
              <w:rPr>
                <w:spacing w:val="-2"/>
                <w:sz w:val="24"/>
              </w:rPr>
              <w:t>jumlah </w:t>
            </w:r>
            <w:r>
              <w:rPr>
                <w:spacing w:val="-4"/>
                <w:sz w:val="24"/>
              </w:rPr>
              <w:t>uang</w:t>
            </w:r>
            <w:r>
              <w:rPr>
                <w:sz w:val="24"/>
              </w:rPr>
              <w:tab/>
              <w:tab/>
              <w:tab/>
            </w:r>
            <w:r>
              <w:rPr>
                <w:spacing w:val="-2"/>
                <w:sz w:val="24"/>
              </w:rPr>
              <w:t>beredar </w:t>
            </w:r>
            <w:r>
              <w:rPr>
                <w:sz w:val="24"/>
              </w:rPr>
              <w:t>berpengaruh</w:t>
            </w:r>
            <w:r>
              <w:rPr>
                <w:spacing w:val="10"/>
                <w:sz w:val="24"/>
              </w:rPr>
              <w:t> </w:t>
            </w:r>
            <w:r>
              <w:rPr>
                <w:sz w:val="24"/>
              </w:rPr>
              <w:t>negatif </w:t>
            </w:r>
            <w:r>
              <w:rPr>
                <w:spacing w:val="-5"/>
                <w:sz w:val="24"/>
              </w:rPr>
              <w:t>dan</w:t>
            </w:r>
            <w:r>
              <w:rPr>
                <w:sz w:val="24"/>
              </w:rPr>
              <w:tab/>
              <w:tab/>
            </w:r>
            <w:r>
              <w:rPr>
                <w:spacing w:val="-2"/>
                <w:sz w:val="24"/>
              </w:rPr>
              <w:t>signifikan.</w:t>
            </w:r>
          </w:p>
          <w:p>
            <w:pPr>
              <w:pStyle w:val="TableParagraph"/>
              <w:tabs>
                <w:tab w:pos="1127" w:val="left" w:leader="none"/>
              </w:tabs>
              <w:spacing w:line="270" w:lineRule="atLeast" w:before="0"/>
              <w:ind w:right="99"/>
              <w:rPr>
                <w:sz w:val="24"/>
              </w:rPr>
            </w:pPr>
            <w:r>
              <w:rPr>
                <w:spacing w:val="-2"/>
                <w:sz w:val="24"/>
              </w:rPr>
              <w:t>Meski</w:t>
            </w:r>
            <w:r>
              <w:rPr>
                <w:sz w:val="24"/>
              </w:rPr>
              <w:tab/>
            </w:r>
            <w:r>
              <w:rPr>
                <w:spacing w:val="-2"/>
                <w:sz w:val="24"/>
              </w:rPr>
              <w:t>demikian, </w:t>
            </w:r>
            <w:r>
              <w:rPr>
                <w:sz w:val="24"/>
              </w:rPr>
              <w:t>variabel</w:t>
            </w:r>
            <w:r>
              <w:rPr>
                <w:spacing w:val="40"/>
                <w:sz w:val="24"/>
              </w:rPr>
              <w:t> </w:t>
            </w:r>
            <w:r>
              <w:rPr>
                <w:sz w:val="24"/>
              </w:rPr>
              <w:t>PDB</w:t>
            </w:r>
            <w:r>
              <w:rPr>
                <w:spacing w:val="40"/>
                <w:sz w:val="24"/>
              </w:rPr>
              <w:t> </w:t>
            </w:r>
            <w:r>
              <w:rPr>
                <w:sz w:val="24"/>
              </w:rPr>
              <w:t>tidak </w:t>
            </w:r>
            <w:r>
              <w:rPr>
                <w:spacing w:val="-2"/>
                <w:sz w:val="24"/>
              </w:rPr>
              <w:t>berpengaruh </w:t>
            </w:r>
            <w:r>
              <w:rPr>
                <w:sz w:val="24"/>
              </w:rPr>
              <w:t>signifikan</w:t>
            </w:r>
            <w:r>
              <w:rPr>
                <w:spacing w:val="80"/>
                <w:sz w:val="24"/>
              </w:rPr>
              <w:t> </w:t>
            </w:r>
            <w:r>
              <w:rPr>
                <w:sz w:val="24"/>
              </w:rPr>
              <w:t>terhadap </w:t>
            </w:r>
            <w:r>
              <w:rPr>
                <w:spacing w:val="-2"/>
                <w:sz w:val="24"/>
              </w:rPr>
              <w:t>JII70</w:t>
            </w:r>
          </w:p>
        </w:tc>
      </w:tr>
      <w:tr>
        <w:trPr>
          <w:trHeight w:val="6348" w:hRule="atLeast"/>
        </w:trPr>
        <w:tc>
          <w:tcPr>
            <w:tcW w:w="569" w:type="dxa"/>
          </w:tcPr>
          <w:p>
            <w:pPr>
              <w:pStyle w:val="TableParagraph"/>
              <w:spacing w:line="276" w:lineRule="exact" w:before="0"/>
              <w:rPr>
                <w:sz w:val="24"/>
              </w:rPr>
            </w:pPr>
            <w:r>
              <w:rPr>
                <w:spacing w:val="-5"/>
                <w:sz w:val="24"/>
              </w:rPr>
              <w:t>4.</w:t>
            </w:r>
          </w:p>
        </w:tc>
        <w:tc>
          <w:tcPr>
            <w:tcW w:w="1412" w:type="dxa"/>
          </w:tcPr>
          <w:p>
            <w:pPr>
              <w:pStyle w:val="TableParagraph"/>
              <w:spacing w:line="240" w:lineRule="auto" w:before="0"/>
              <w:ind w:right="100"/>
              <w:rPr>
                <w:sz w:val="24"/>
              </w:rPr>
            </w:pPr>
            <w:r>
              <w:rPr>
                <w:spacing w:val="-2"/>
                <w:sz w:val="24"/>
              </w:rPr>
              <w:t>Yudhistira </w:t>
            </w:r>
            <w:r>
              <w:rPr>
                <w:sz w:val="24"/>
              </w:rPr>
              <w:t>Ardana</w:t>
            </w:r>
            <w:r>
              <w:rPr>
                <w:spacing w:val="40"/>
                <w:sz w:val="24"/>
              </w:rPr>
              <w:t> </w:t>
            </w:r>
            <w:r>
              <w:rPr>
                <w:sz w:val="24"/>
              </w:rPr>
              <w:t>dan </w:t>
            </w:r>
            <w:r>
              <w:rPr>
                <w:spacing w:val="-4"/>
                <w:sz w:val="24"/>
              </w:rPr>
              <w:t>Dian </w:t>
            </w:r>
            <w:r>
              <w:rPr>
                <w:spacing w:val="-2"/>
                <w:sz w:val="24"/>
              </w:rPr>
              <w:t>Sugiarti (2024)</w:t>
            </w:r>
          </w:p>
        </w:tc>
        <w:tc>
          <w:tcPr>
            <w:tcW w:w="1997" w:type="dxa"/>
          </w:tcPr>
          <w:p>
            <w:pPr>
              <w:pStyle w:val="TableParagraph"/>
              <w:tabs>
                <w:tab w:pos="1343" w:val="left" w:leader="none"/>
              </w:tabs>
              <w:spacing w:line="240" w:lineRule="auto" w:before="0"/>
              <w:ind w:right="96"/>
              <w:rPr>
                <w:i/>
                <w:sz w:val="24"/>
              </w:rPr>
            </w:pPr>
            <w:r>
              <w:rPr>
                <w:spacing w:val="-2"/>
                <w:sz w:val="24"/>
              </w:rPr>
              <w:t>Mengukur Determinasi Variabel Makroekonomi </w:t>
            </w:r>
            <w:r>
              <w:rPr>
                <w:sz w:val="24"/>
              </w:rPr>
              <w:t>dan</w:t>
            </w:r>
            <w:r>
              <w:rPr>
                <w:spacing w:val="-8"/>
                <w:sz w:val="24"/>
              </w:rPr>
              <w:t> </w:t>
            </w:r>
            <w:r>
              <w:rPr>
                <w:sz w:val="24"/>
              </w:rPr>
              <w:t>Indeks</w:t>
            </w:r>
            <w:r>
              <w:rPr>
                <w:spacing w:val="-8"/>
                <w:sz w:val="24"/>
              </w:rPr>
              <w:t> </w:t>
            </w:r>
            <w:r>
              <w:rPr>
                <w:sz w:val="24"/>
              </w:rPr>
              <w:t>Saham </w:t>
            </w:r>
            <w:r>
              <w:rPr>
                <w:spacing w:val="-2"/>
                <w:sz w:val="24"/>
              </w:rPr>
              <w:t>Syariah</w:t>
            </w:r>
            <w:r>
              <w:rPr>
                <w:spacing w:val="-13"/>
                <w:sz w:val="24"/>
              </w:rPr>
              <w:t> </w:t>
            </w:r>
            <w:r>
              <w:rPr>
                <w:spacing w:val="-2"/>
                <w:sz w:val="24"/>
              </w:rPr>
              <w:t>Indonesia: Analisis</w:t>
            </w:r>
            <w:r>
              <w:rPr>
                <w:sz w:val="24"/>
              </w:rPr>
              <w:tab/>
            </w:r>
            <w:r>
              <w:rPr>
                <w:i/>
                <w:spacing w:val="-2"/>
                <w:sz w:val="24"/>
              </w:rPr>
              <w:t>Error </w:t>
            </w:r>
            <w:r>
              <w:rPr>
                <w:i/>
                <w:sz w:val="24"/>
              </w:rPr>
              <w:t>Correction Model</w:t>
            </w:r>
          </w:p>
        </w:tc>
        <w:tc>
          <w:tcPr>
            <w:tcW w:w="1997" w:type="dxa"/>
          </w:tcPr>
          <w:p>
            <w:pPr>
              <w:pStyle w:val="TableParagraph"/>
              <w:tabs>
                <w:tab w:pos="1341" w:val="left" w:leader="none"/>
                <w:tab w:pos="1635" w:val="left" w:leader="none"/>
              </w:tabs>
              <w:spacing w:line="240" w:lineRule="auto" w:before="0"/>
              <w:ind w:right="96"/>
              <w:rPr>
                <w:sz w:val="24"/>
              </w:rPr>
            </w:pPr>
            <w:r>
              <w:rPr>
                <w:spacing w:val="-2"/>
                <w:sz w:val="24"/>
              </w:rPr>
              <w:t>Penelitian</w:t>
            </w:r>
            <w:r>
              <w:rPr>
                <w:sz w:val="24"/>
              </w:rPr>
              <w:tab/>
              <w:tab/>
            </w:r>
            <w:r>
              <w:rPr>
                <w:spacing w:val="-4"/>
                <w:sz w:val="24"/>
              </w:rPr>
              <w:t>ini </w:t>
            </w:r>
            <w:r>
              <w:rPr>
                <w:spacing w:val="-2"/>
                <w:sz w:val="24"/>
              </w:rPr>
              <w:t>merupakan penelitian </w:t>
            </w:r>
            <w:r>
              <w:rPr>
                <w:sz w:val="24"/>
              </w:rPr>
              <w:t>kuantitatif</w:t>
            </w:r>
            <w:r>
              <w:rPr>
                <w:spacing w:val="5"/>
                <w:sz w:val="24"/>
              </w:rPr>
              <w:t> </w:t>
            </w:r>
            <w:r>
              <w:rPr>
                <w:sz w:val="24"/>
              </w:rPr>
              <w:t>dengan </w:t>
            </w:r>
            <w:r>
              <w:rPr>
                <w:spacing w:val="-2"/>
                <w:sz w:val="24"/>
              </w:rPr>
              <w:t>menggunakan metode</w:t>
            </w:r>
            <w:r>
              <w:rPr>
                <w:sz w:val="24"/>
              </w:rPr>
              <w:tab/>
            </w:r>
            <w:r>
              <w:rPr>
                <w:i/>
                <w:spacing w:val="-4"/>
                <w:sz w:val="24"/>
              </w:rPr>
              <w:t>Error </w:t>
            </w:r>
            <w:r>
              <w:rPr>
                <w:i/>
                <w:sz w:val="24"/>
              </w:rPr>
              <w:t>Correction</w:t>
            </w:r>
            <w:r>
              <w:rPr>
                <w:i/>
                <w:spacing w:val="17"/>
                <w:sz w:val="24"/>
              </w:rPr>
              <w:t> </w:t>
            </w:r>
            <w:r>
              <w:rPr>
                <w:i/>
                <w:sz w:val="24"/>
              </w:rPr>
              <w:t>Model </w:t>
            </w:r>
            <w:r>
              <w:rPr>
                <w:spacing w:val="-2"/>
                <w:sz w:val="24"/>
              </w:rPr>
              <w:t>(ECM)</w:t>
            </w:r>
          </w:p>
        </w:tc>
        <w:tc>
          <w:tcPr>
            <w:tcW w:w="2192" w:type="dxa"/>
          </w:tcPr>
          <w:p>
            <w:pPr>
              <w:pStyle w:val="TableParagraph"/>
              <w:spacing w:line="276" w:lineRule="exact" w:before="0"/>
              <w:jc w:val="both"/>
              <w:rPr>
                <w:sz w:val="24"/>
              </w:rPr>
            </w:pPr>
            <w:r>
              <w:rPr>
                <w:sz w:val="24"/>
              </w:rPr>
              <w:t>Dalam</w:t>
            </w:r>
            <w:r>
              <w:rPr>
                <w:spacing w:val="63"/>
                <w:w w:val="150"/>
                <w:sz w:val="24"/>
              </w:rPr>
              <w:t>    </w:t>
            </w:r>
            <w:r>
              <w:rPr>
                <w:spacing w:val="-2"/>
                <w:sz w:val="24"/>
              </w:rPr>
              <w:t>periode</w:t>
            </w:r>
          </w:p>
          <w:p>
            <w:pPr>
              <w:pStyle w:val="TableParagraph"/>
              <w:tabs>
                <w:tab w:pos="1359" w:val="left" w:leader="none"/>
                <w:tab w:pos="1736" w:val="left" w:leader="none"/>
              </w:tabs>
              <w:spacing w:line="240" w:lineRule="auto" w:before="0"/>
              <w:ind w:right="97"/>
              <w:jc w:val="both"/>
              <w:rPr>
                <w:sz w:val="24"/>
              </w:rPr>
            </w:pPr>
            <w:r>
              <w:rPr>
                <w:sz w:val="24"/>
              </w:rPr>
              <w:t>jangka </w:t>
            </w:r>
            <w:r>
              <w:rPr>
                <w:sz w:val="24"/>
              </w:rPr>
              <w:t>pendek, inflasi dan jumlah </w:t>
            </w:r>
            <w:r>
              <w:rPr>
                <w:spacing w:val="-4"/>
                <w:sz w:val="24"/>
              </w:rPr>
              <w:t>uang</w:t>
            </w:r>
            <w:r>
              <w:rPr>
                <w:sz w:val="24"/>
              </w:rPr>
              <w:tab/>
            </w:r>
            <w:r>
              <w:rPr>
                <w:spacing w:val="-2"/>
                <w:sz w:val="24"/>
              </w:rPr>
              <w:t>beredar </w:t>
            </w:r>
            <w:r>
              <w:rPr>
                <w:sz w:val="24"/>
              </w:rPr>
              <w:t>berpengaruh negatif dan signifikan, sedangkan harga minyak dan emas dunia berpengaruh </w:t>
            </w:r>
            <w:r>
              <w:rPr>
                <w:spacing w:val="-2"/>
                <w:sz w:val="24"/>
              </w:rPr>
              <w:t>positif</w:t>
            </w:r>
            <w:r>
              <w:rPr>
                <w:sz w:val="24"/>
              </w:rPr>
              <w:tab/>
              <w:tab/>
            </w:r>
            <w:r>
              <w:rPr>
                <w:spacing w:val="-5"/>
                <w:sz w:val="24"/>
              </w:rPr>
              <w:t>dan</w:t>
            </w:r>
          </w:p>
          <w:p>
            <w:pPr>
              <w:pStyle w:val="TableParagraph"/>
              <w:tabs>
                <w:tab w:pos="846" w:val="left" w:leader="none"/>
                <w:tab w:pos="1119" w:val="left" w:leader="none"/>
                <w:tab w:pos="1189" w:val="left" w:leader="none"/>
                <w:tab w:pos="1259" w:val="left" w:leader="none"/>
                <w:tab w:pos="1419" w:val="left" w:leader="none"/>
                <w:tab w:pos="1544" w:val="left" w:leader="none"/>
                <w:tab w:pos="1734" w:val="left" w:leader="none"/>
              </w:tabs>
              <w:spacing w:line="240" w:lineRule="auto" w:before="0"/>
              <w:ind w:right="99"/>
              <w:rPr>
                <w:sz w:val="24"/>
              </w:rPr>
            </w:pPr>
            <w:r>
              <w:rPr>
                <w:sz w:val="24"/>
              </w:rPr>
              <w:t>signifikan</w:t>
            </w:r>
            <w:r>
              <w:rPr>
                <w:spacing w:val="80"/>
                <w:sz w:val="24"/>
              </w:rPr>
              <w:t> </w:t>
            </w:r>
            <w:r>
              <w:rPr>
                <w:sz w:val="24"/>
              </w:rPr>
              <w:t>terhadap ISSI.</w:t>
            </w:r>
            <w:r>
              <w:rPr>
                <w:spacing w:val="-9"/>
                <w:sz w:val="24"/>
              </w:rPr>
              <w:t> </w:t>
            </w:r>
            <w:r>
              <w:rPr>
                <w:sz w:val="24"/>
              </w:rPr>
              <w:t>Adapun</w:t>
            </w:r>
            <w:r>
              <w:rPr>
                <w:spacing w:val="-9"/>
                <w:sz w:val="24"/>
              </w:rPr>
              <w:t> </w:t>
            </w:r>
            <w:r>
              <w:rPr>
                <w:sz w:val="24"/>
              </w:rPr>
              <w:t>dalam </w:t>
            </w:r>
            <w:r>
              <w:rPr>
                <w:spacing w:val="-2"/>
                <w:sz w:val="24"/>
              </w:rPr>
              <w:t>jangka</w:t>
            </w:r>
            <w:r>
              <w:rPr>
                <w:sz w:val="24"/>
              </w:rPr>
              <w:tab/>
              <w:tab/>
              <w:tab/>
              <w:tab/>
            </w:r>
            <w:r>
              <w:rPr>
                <w:spacing w:val="-2"/>
                <w:sz w:val="24"/>
              </w:rPr>
              <w:t>panjang, </w:t>
            </w:r>
            <w:r>
              <w:rPr>
                <w:sz w:val="24"/>
              </w:rPr>
              <w:t>jumlah</w:t>
            </w:r>
            <w:r>
              <w:rPr>
                <w:spacing w:val="-15"/>
                <w:sz w:val="24"/>
              </w:rPr>
              <w:t> </w:t>
            </w:r>
            <w:r>
              <w:rPr>
                <w:sz w:val="24"/>
              </w:rPr>
              <w:t>uang</w:t>
            </w:r>
            <w:r>
              <w:rPr>
                <w:spacing w:val="-15"/>
                <w:sz w:val="24"/>
              </w:rPr>
              <w:t> </w:t>
            </w:r>
            <w:r>
              <w:rPr>
                <w:sz w:val="24"/>
              </w:rPr>
              <w:t>beredar </w:t>
            </w:r>
            <w:r>
              <w:rPr>
                <w:spacing w:val="-2"/>
                <w:sz w:val="24"/>
              </w:rPr>
              <w:t>memiliki</w:t>
            </w:r>
            <w:r>
              <w:rPr>
                <w:sz w:val="24"/>
              </w:rPr>
              <w:tab/>
              <w:tab/>
            </w:r>
            <w:r>
              <w:rPr>
                <w:spacing w:val="-2"/>
                <w:sz w:val="24"/>
              </w:rPr>
              <w:t>pengaruh negatif</w:t>
            </w:r>
            <w:r>
              <w:rPr>
                <w:sz w:val="24"/>
              </w:rPr>
              <w:tab/>
              <w:tab/>
              <w:tab/>
              <w:tab/>
              <w:tab/>
              <w:tab/>
              <w:tab/>
            </w:r>
            <w:r>
              <w:rPr>
                <w:spacing w:val="-4"/>
                <w:sz w:val="24"/>
              </w:rPr>
              <w:t>dan </w:t>
            </w:r>
            <w:r>
              <w:rPr>
                <w:spacing w:val="-2"/>
                <w:sz w:val="24"/>
              </w:rPr>
              <w:t>signifikan, sedangkan</w:t>
            </w:r>
            <w:r>
              <w:rPr>
                <w:sz w:val="24"/>
              </w:rPr>
              <w:tab/>
              <w:tab/>
              <w:tab/>
              <w:tab/>
            </w:r>
            <w:r>
              <w:rPr>
                <w:spacing w:val="-2"/>
                <w:sz w:val="24"/>
              </w:rPr>
              <w:t>inflasi, </w:t>
            </w:r>
            <w:r>
              <w:rPr>
                <w:sz w:val="24"/>
              </w:rPr>
              <w:t>harga</w:t>
            </w:r>
            <w:r>
              <w:rPr>
                <w:spacing w:val="77"/>
                <w:sz w:val="24"/>
              </w:rPr>
              <w:t> </w:t>
            </w:r>
            <w:r>
              <w:rPr>
                <w:sz w:val="24"/>
              </w:rPr>
              <w:t>minyak,</w:t>
            </w:r>
            <w:r>
              <w:rPr>
                <w:spacing w:val="79"/>
                <w:sz w:val="24"/>
              </w:rPr>
              <w:t> </w:t>
            </w:r>
            <w:r>
              <w:rPr>
                <w:sz w:val="24"/>
              </w:rPr>
              <w:t>dan </w:t>
            </w:r>
            <w:r>
              <w:rPr>
                <w:spacing w:val="-2"/>
                <w:sz w:val="24"/>
              </w:rPr>
              <w:t>harga</w:t>
            </w:r>
            <w:r>
              <w:rPr>
                <w:sz w:val="24"/>
              </w:rPr>
              <w:tab/>
            </w:r>
            <w:r>
              <w:rPr>
                <w:spacing w:val="-4"/>
                <w:sz w:val="24"/>
              </w:rPr>
              <w:t>emas</w:t>
            </w:r>
            <w:r>
              <w:rPr>
                <w:sz w:val="24"/>
              </w:rPr>
              <w:tab/>
              <w:tab/>
            </w:r>
            <w:r>
              <w:rPr>
                <w:spacing w:val="-4"/>
                <w:sz w:val="24"/>
              </w:rPr>
              <w:t>dunia </w:t>
            </w:r>
            <w:r>
              <w:rPr>
                <w:sz w:val="24"/>
              </w:rPr>
              <w:t>berpengaruh</w:t>
            </w:r>
            <w:r>
              <w:rPr>
                <w:spacing w:val="63"/>
                <w:sz w:val="24"/>
              </w:rPr>
              <w:t> </w:t>
            </w:r>
            <w:r>
              <w:rPr>
                <w:sz w:val="24"/>
              </w:rPr>
              <w:t>positif </w:t>
            </w:r>
            <w:r>
              <w:rPr>
                <w:spacing w:val="-5"/>
                <w:sz w:val="24"/>
              </w:rPr>
              <w:t>dan</w:t>
            </w:r>
            <w:r>
              <w:rPr>
                <w:sz w:val="24"/>
              </w:rPr>
              <w:tab/>
              <w:tab/>
            </w:r>
            <w:r>
              <w:rPr>
                <w:spacing w:val="-2"/>
                <w:sz w:val="24"/>
              </w:rPr>
              <w:t>signifikan</w:t>
            </w:r>
          </w:p>
          <w:p>
            <w:pPr>
              <w:pStyle w:val="TableParagraph"/>
              <w:spacing w:before="1"/>
              <w:rPr>
                <w:sz w:val="24"/>
              </w:rPr>
            </w:pPr>
            <w:r>
              <w:rPr>
                <w:sz w:val="24"/>
              </w:rPr>
              <w:t>terhadap</w:t>
            </w:r>
            <w:r>
              <w:rPr>
                <w:spacing w:val="-2"/>
                <w:sz w:val="24"/>
              </w:rPr>
              <w:t> </w:t>
            </w:r>
            <w:r>
              <w:rPr>
                <w:spacing w:val="-4"/>
                <w:sz w:val="24"/>
              </w:rPr>
              <w:t>ISSI</w:t>
            </w:r>
          </w:p>
        </w:tc>
      </w:tr>
      <w:tr>
        <w:trPr>
          <w:trHeight w:val="3588" w:hRule="atLeast"/>
        </w:trPr>
        <w:tc>
          <w:tcPr>
            <w:tcW w:w="569" w:type="dxa"/>
          </w:tcPr>
          <w:p>
            <w:pPr>
              <w:pStyle w:val="TableParagraph"/>
              <w:spacing w:line="275" w:lineRule="exact" w:before="0"/>
              <w:rPr>
                <w:sz w:val="24"/>
              </w:rPr>
            </w:pPr>
            <w:r>
              <w:rPr>
                <w:spacing w:val="-5"/>
                <w:sz w:val="24"/>
              </w:rPr>
              <w:t>5.</w:t>
            </w:r>
          </w:p>
        </w:tc>
        <w:tc>
          <w:tcPr>
            <w:tcW w:w="1412" w:type="dxa"/>
          </w:tcPr>
          <w:p>
            <w:pPr>
              <w:pStyle w:val="TableParagraph"/>
              <w:spacing w:line="240" w:lineRule="auto" w:before="0"/>
              <w:ind w:right="227"/>
              <w:rPr>
                <w:sz w:val="24"/>
              </w:rPr>
            </w:pPr>
            <w:r>
              <w:rPr>
                <w:spacing w:val="-2"/>
                <w:sz w:val="24"/>
              </w:rPr>
              <w:t>Achmad Hidayat, </w:t>
            </w:r>
            <w:r>
              <w:rPr>
                <w:spacing w:val="-4"/>
                <w:sz w:val="24"/>
              </w:rPr>
              <w:t>Novi </w:t>
            </w:r>
            <w:r>
              <w:rPr>
                <w:spacing w:val="-2"/>
                <w:sz w:val="24"/>
              </w:rPr>
              <w:t>Mubyarto, </w:t>
            </w:r>
            <w:r>
              <w:rPr>
                <w:sz w:val="24"/>
              </w:rPr>
              <w:t>dkk </w:t>
            </w:r>
            <w:r>
              <w:rPr>
                <w:spacing w:val="-2"/>
                <w:sz w:val="24"/>
              </w:rPr>
              <w:t>(2021)</w:t>
            </w:r>
          </w:p>
        </w:tc>
        <w:tc>
          <w:tcPr>
            <w:tcW w:w="1997" w:type="dxa"/>
          </w:tcPr>
          <w:p>
            <w:pPr>
              <w:pStyle w:val="TableParagraph"/>
              <w:tabs>
                <w:tab w:pos="1340" w:val="left" w:leader="none"/>
              </w:tabs>
              <w:spacing w:line="240" w:lineRule="auto" w:before="0"/>
              <w:ind w:right="96"/>
              <w:jc w:val="both"/>
              <w:rPr>
                <w:sz w:val="24"/>
              </w:rPr>
            </w:pPr>
            <w:r>
              <w:rPr>
                <w:sz w:val="24"/>
              </w:rPr>
              <w:t>Indeks </w:t>
            </w:r>
            <w:r>
              <w:rPr>
                <w:sz w:val="24"/>
              </w:rPr>
              <w:t>Saham </w:t>
            </w:r>
            <w:r>
              <w:rPr>
                <w:spacing w:val="-2"/>
                <w:sz w:val="24"/>
              </w:rPr>
              <w:t>Syariah</w:t>
            </w:r>
            <w:r>
              <w:rPr>
                <w:spacing w:val="-13"/>
                <w:sz w:val="24"/>
              </w:rPr>
              <w:t> </w:t>
            </w:r>
            <w:r>
              <w:rPr>
                <w:spacing w:val="-2"/>
                <w:sz w:val="24"/>
              </w:rPr>
              <w:t>Indonesia: </w:t>
            </w:r>
            <w:r>
              <w:rPr>
                <w:sz w:val="24"/>
              </w:rPr>
              <w:t>Pengaruh Faktor Makro Ekonomi di Masa Pandemi </w:t>
            </w:r>
            <w:r>
              <w:rPr>
                <w:spacing w:val="-4"/>
                <w:sz w:val="24"/>
              </w:rPr>
              <w:t>dan</w:t>
            </w:r>
            <w:r>
              <w:rPr>
                <w:sz w:val="24"/>
              </w:rPr>
              <w:tab/>
            </w:r>
            <w:r>
              <w:rPr>
                <w:spacing w:val="-4"/>
                <w:sz w:val="24"/>
              </w:rPr>
              <w:t>Pasca </w:t>
            </w:r>
            <w:r>
              <w:rPr>
                <w:spacing w:val="-2"/>
                <w:sz w:val="24"/>
              </w:rPr>
              <w:t>Pandemi</w:t>
            </w:r>
          </w:p>
        </w:tc>
        <w:tc>
          <w:tcPr>
            <w:tcW w:w="1997" w:type="dxa"/>
          </w:tcPr>
          <w:p>
            <w:pPr>
              <w:pStyle w:val="TableParagraph"/>
              <w:tabs>
                <w:tab w:pos="1338" w:val="left" w:leader="none"/>
                <w:tab w:pos="1635" w:val="left" w:leader="none"/>
              </w:tabs>
              <w:spacing w:line="240" w:lineRule="auto" w:before="0"/>
              <w:ind w:right="96"/>
              <w:rPr>
                <w:sz w:val="24"/>
              </w:rPr>
            </w:pPr>
            <w:r>
              <w:rPr>
                <w:spacing w:val="-2"/>
                <w:sz w:val="24"/>
              </w:rPr>
              <w:t>Penelitian</w:t>
            </w:r>
            <w:r>
              <w:rPr>
                <w:sz w:val="24"/>
              </w:rPr>
              <w:tab/>
              <w:tab/>
            </w:r>
            <w:r>
              <w:rPr>
                <w:spacing w:val="-4"/>
                <w:sz w:val="24"/>
              </w:rPr>
              <w:t>ini </w:t>
            </w:r>
            <w:r>
              <w:rPr>
                <w:spacing w:val="-2"/>
                <w:sz w:val="24"/>
              </w:rPr>
              <w:t>menggunakan </w:t>
            </w:r>
            <w:r>
              <w:rPr>
                <w:sz w:val="24"/>
              </w:rPr>
              <w:t>metode</w:t>
            </w:r>
            <w:r>
              <w:rPr>
                <w:spacing w:val="-4"/>
                <w:sz w:val="24"/>
              </w:rPr>
              <w:t> </w:t>
            </w:r>
            <w:r>
              <w:rPr>
                <w:sz w:val="24"/>
              </w:rPr>
              <w:t>kuantitatif dan</w:t>
            </w:r>
            <w:r>
              <w:rPr>
                <w:spacing w:val="-15"/>
                <w:sz w:val="24"/>
              </w:rPr>
              <w:t> </w:t>
            </w:r>
            <w:r>
              <w:rPr>
                <w:sz w:val="24"/>
              </w:rPr>
              <w:t>teknik</w:t>
            </w:r>
            <w:r>
              <w:rPr>
                <w:spacing w:val="-15"/>
                <w:sz w:val="24"/>
              </w:rPr>
              <w:t> </w:t>
            </w:r>
            <w:r>
              <w:rPr>
                <w:sz w:val="24"/>
              </w:rPr>
              <w:t>analisis </w:t>
            </w:r>
            <w:r>
              <w:rPr>
                <w:spacing w:val="-2"/>
                <w:sz w:val="24"/>
              </w:rPr>
              <w:t>regresi</w:t>
            </w:r>
            <w:r>
              <w:rPr>
                <w:sz w:val="24"/>
              </w:rPr>
              <w:tab/>
            </w:r>
            <w:r>
              <w:rPr>
                <w:spacing w:val="-2"/>
                <w:sz w:val="24"/>
              </w:rPr>
              <w:t>linear berganda</w:t>
            </w:r>
          </w:p>
        </w:tc>
        <w:tc>
          <w:tcPr>
            <w:tcW w:w="2192" w:type="dxa"/>
          </w:tcPr>
          <w:p>
            <w:pPr>
              <w:pStyle w:val="TableParagraph"/>
              <w:tabs>
                <w:tab w:pos="1378" w:val="left" w:leader="none"/>
                <w:tab w:pos="1736" w:val="left" w:leader="none"/>
              </w:tabs>
              <w:spacing w:line="240" w:lineRule="auto" w:before="0"/>
              <w:ind w:right="97"/>
              <w:jc w:val="both"/>
              <w:rPr>
                <w:sz w:val="24"/>
              </w:rPr>
            </w:pPr>
            <w:r>
              <w:rPr>
                <w:spacing w:val="-2"/>
                <w:sz w:val="24"/>
              </w:rPr>
              <w:t>Secara</w:t>
            </w:r>
            <w:r>
              <w:rPr>
                <w:sz w:val="24"/>
              </w:rPr>
              <w:tab/>
            </w:r>
            <w:r>
              <w:rPr>
                <w:spacing w:val="-2"/>
                <w:sz w:val="24"/>
              </w:rPr>
              <w:t>parsial, </w:t>
            </w:r>
            <w:r>
              <w:rPr>
                <w:sz w:val="24"/>
              </w:rPr>
              <w:t>variabel suku bunga dan kurs rupiah berpengaruh negatif dan signifikan, sedangkan variabel inflasi berpengaruh </w:t>
            </w:r>
            <w:r>
              <w:rPr>
                <w:spacing w:val="-2"/>
                <w:sz w:val="24"/>
              </w:rPr>
              <w:t>positif</w:t>
            </w:r>
            <w:r>
              <w:rPr>
                <w:sz w:val="24"/>
              </w:rPr>
              <w:tab/>
              <w:tab/>
            </w:r>
            <w:r>
              <w:rPr>
                <w:spacing w:val="-5"/>
                <w:sz w:val="24"/>
              </w:rPr>
              <w:t>dan</w:t>
            </w:r>
          </w:p>
          <w:p>
            <w:pPr>
              <w:pStyle w:val="TableParagraph"/>
              <w:tabs>
                <w:tab w:pos="1318" w:val="left" w:leader="none"/>
                <w:tab w:pos="1482" w:val="left" w:leader="none"/>
              </w:tabs>
              <w:spacing w:line="270" w:lineRule="atLeast" w:before="0"/>
              <w:ind w:right="99"/>
              <w:jc w:val="both"/>
              <w:rPr>
                <w:sz w:val="24"/>
              </w:rPr>
            </w:pPr>
            <w:r>
              <w:rPr>
                <w:sz w:val="24"/>
              </w:rPr>
              <w:t>signifikan </w:t>
            </w:r>
            <w:r>
              <w:rPr>
                <w:sz w:val="24"/>
              </w:rPr>
              <w:t>terhadap </w:t>
            </w:r>
            <w:r>
              <w:rPr>
                <w:spacing w:val="-2"/>
                <w:sz w:val="24"/>
              </w:rPr>
              <w:t>ISSI.</w:t>
            </w:r>
            <w:r>
              <w:rPr>
                <w:sz w:val="24"/>
              </w:rPr>
              <w:tab/>
            </w:r>
            <w:r>
              <w:rPr>
                <w:spacing w:val="-2"/>
                <w:sz w:val="24"/>
              </w:rPr>
              <w:t>Adapun </w:t>
            </w:r>
            <w:r>
              <w:rPr>
                <w:sz w:val="24"/>
              </w:rPr>
              <w:t>variabel</w:t>
            </w:r>
            <w:r>
              <w:rPr>
                <w:spacing w:val="-15"/>
                <w:sz w:val="24"/>
              </w:rPr>
              <w:t> </w:t>
            </w:r>
            <w:r>
              <w:rPr>
                <w:sz w:val="24"/>
              </w:rPr>
              <w:t>suku</w:t>
            </w:r>
            <w:r>
              <w:rPr>
                <w:spacing w:val="-15"/>
                <w:sz w:val="24"/>
              </w:rPr>
              <w:t> </w:t>
            </w:r>
            <w:r>
              <w:rPr>
                <w:sz w:val="24"/>
              </w:rPr>
              <w:t>bunga, kurs rupiah, dan </w:t>
            </w:r>
            <w:r>
              <w:rPr>
                <w:spacing w:val="-2"/>
                <w:sz w:val="24"/>
              </w:rPr>
              <w:t>inflasi</w:t>
            </w:r>
            <w:r>
              <w:rPr>
                <w:sz w:val="24"/>
              </w:rPr>
              <w:tab/>
              <w:tab/>
            </w:r>
            <w:r>
              <w:rPr>
                <w:spacing w:val="-2"/>
                <w:sz w:val="24"/>
              </w:rPr>
              <w:t>secara</w:t>
            </w:r>
          </w:p>
        </w:tc>
      </w:tr>
    </w:tbl>
    <w:p>
      <w:pPr>
        <w:pStyle w:val="TableParagraph"/>
        <w:spacing w:after="0" w:line="270" w:lineRule="atLeast"/>
        <w:jc w:val="both"/>
        <w:rPr>
          <w:sz w:val="24"/>
        </w:rPr>
        <w:sectPr>
          <w:type w:val="continuous"/>
          <w:pgSz w:w="11910" w:h="16840"/>
          <w:pgMar w:header="0" w:footer="1000" w:top="1400" w:bottom="1200" w:left="1417" w:right="1275"/>
        </w:sectPr>
      </w:pPr>
    </w:p>
    <w:tbl>
      <w:tblPr>
        <w:tblW w:w="0" w:type="auto"/>
        <w:jc w:val="left"/>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1412"/>
        <w:gridCol w:w="1997"/>
        <w:gridCol w:w="1997"/>
        <w:gridCol w:w="2192"/>
      </w:tblGrid>
      <w:tr>
        <w:trPr>
          <w:trHeight w:val="552" w:hRule="atLeast"/>
        </w:trPr>
        <w:tc>
          <w:tcPr>
            <w:tcW w:w="569" w:type="dxa"/>
          </w:tcPr>
          <w:p>
            <w:pPr>
              <w:pStyle w:val="TableParagraph"/>
              <w:spacing w:line="240" w:lineRule="auto" w:before="0"/>
              <w:ind w:left="0"/>
              <w:rPr>
                <w:sz w:val="24"/>
              </w:rPr>
            </w:pPr>
          </w:p>
        </w:tc>
        <w:tc>
          <w:tcPr>
            <w:tcW w:w="1412" w:type="dxa"/>
          </w:tcPr>
          <w:p>
            <w:pPr>
              <w:pStyle w:val="TableParagraph"/>
              <w:spacing w:line="240" w:lineRule="auto" w:before="0"/>
              <w:ind w:left="0"/>
              <w:rPr>
                <w:sz w:val="24"/>
              </w:rPr>
            </w:pPr>
          </w:p>
        </w:tc>
        <w:tc>
          <w:tcPr>
            <w:tcW w:w="1997" w:type="dxa"/>
          </w:tcPr>
          <w:p>
            <w:pPr>
              <w:pStyle w:val="TableParagraph"/>
              <w:spacing w:line="240" w:lineRule="auto" w:before="0"/>
              <w:ind w:left="0"/>
              <w:rPr>
                <w:sz w:val="24"/>
              </w:rPr>
            </w:pPr>
          </w:p>
        </w:tc>
        <w:tc>
          <w:tcPr>
            <w:tcW w:w="1997" w:type="dxa"/>
          </w:tcPr>
          <w:p>
            <w:pPr>
              <w:pStyle w:val="TableParagraph"/>
              <w:spacing w:line="240" w:lineRule="auto" w:before="0"/>
              <w:ind w:left="0"/>
              <w:rPr>
                <w:sz w:val="24"/>
              </w:rPr>
            </w:pPr>
          </w:p>
        </w:tc>
        <w:tc>
          <w:tcPr>
            <w:tcW w:w="2192" w:type="dxa"/>
          </w:tcPr>
          <w:p>
            <w:pPr>
              <w:pStyle w:val="TableParagraph"/>
              <w:spacing w:line="276" w:lineRule="exact" w:before="0"/>
              <w:ind w:right="143"/>
              <w:rPr>
                <w:sz w:val="24"/>
              </w:rPr>
            </w:pPr>
            <w:r>
              <w:rPr>
                <w:spacing w:val="-2"/>
                <w:sz w:val="24"/>
              </w:rPr>
              <w:t>bersama-sama </w:t>
            </w:r>
            <w:r>
              <w:rPr>
                <w:sz w:val="24"/>
              </w:rPr>
              <w:t>mempengaruhi</w:t>
            </w:r>
            <w:r>
              <w:rPr>
                <w:spacing w:val="-15"/>
                <w:sz w:val="24"/>
              </w:rPr>
              <w:t> </w:t>
            </w:r>
            <w:r>
              <w:rPr>
                <w:sz w:val="24"/>
              </w:rPr>
              <w:t>ISSI</w:t>
            </w:r>
          </w:p>
        </w:tc>
      </w:tr>
      <w:tr>
        <w:trPr>
          <w:trHeight w:val="4968" w:hRule="atLeast"/>
        </w:trPr>
        <w:tc>
          <w:tcPr>
            <w:tcW w:w="569" w:type="dxa"/>
          </w:tcPr>
          <w:p>
            <w:pPr>
              <w:pStyle w:val="TableParagraph"/>
              <w:spacing w:line="275" w:lineRule="exact" w:before="0"/>
              <w:rPr>
                <w:sz w:val="24"/>
              </w:rPr>
            </w:pPr>
            <w:r>
              <w:rPr>
                <w:spacing w:val="-5"/>
                <w:sz w:val="24"/>
              </w:rPr>
              <w:t>6.</w:t>
            </w:r>
          </w:p>
        </w:tc>
        <w:tc>
          <w:tcPr>
            <w:tcW w:w="1412" w:type="dxa"/>
          </w:tcPr>
          <w:p>
            <w:pPr>
              <w:pStyle w:val="TableParagraph"/>
              <w:tabs>
                <w:tab w:pos="793" w:val="left" w:leader="none"/>
              </w:tabs>
              <w:spacing w:line="240" w:lineRule="auto" w:before="0"/>
              <w:ind w:right="100"/>
              <w:rPr>
                <w:sz w:val="24"/>
              </w:rPr>
            </w:pPr>
            <w:r>
              <w:rPr>
                <w:sz w:val="24"/>
              </w:rPr>
              <w:t>Auliya</w:t>
            </w:r>
            <w:r>
              <w:rPr>
                <w:spacing w:val="28"/>
                <w:sz w:val="24"/>
              </w:rPr>
              <w:t> </w:t>
            </w:r>
            <w:r>
              <w:rPr>
                <w:sz w:val="24"/>
              </w:rPr>
              <w:t>Dwi </w:t>
            </w:r>
            <w:r>
              <w:rPr>
                <w:spacing w:val="-2"/>
                <w:sz w:val="24"/>
              </w:rPr>
              <w:t>Faisatun Umaiyah </w:t>
            </w:r>
            <w:r>
              <w:rPr>
                <w:spacing w:val="-4"/>
                <w:sz w:val="24"/>
              </w:rPr>
              <w:t>dan</w:t>
            </w:r>
            <w:r>
              <w:rPr>
                <w:sz w:val="24"/>
              </w:rPr>
              <w:tab/>
            </w:r>
            <w:r>
              <w:rPr>
                <w:spacing w:val="-4"/>
                <w:sz w:val="24"/>
              </w:rPr>
              <w:t>Bayu </w:t>
            </w:r>
            <w:r>
              <w:rPr>
                <w:spacing w:val="-2"/>
                <w:sz w:val="24"/>
              </w:rPr>
              <w:t>Nurhadi (2024)</w:t>
            </w:r>
          </w:p>
        </w:tc>
        <w:tc>
          <w:tcPr>
            <w:tcW w:w="1997" w:type="dxa"/>
          </w:tcPr>
          <w:p>
            <w:pPr>
              <w:pStyle w:val="TableParagraph"/>
              <w:tabs>
                <w:tab w:pos="1155" w:val="left" w:leader="none"/>
                <w:tab w:pos="1249" w:val="left" w:leader="none"/>
                <w:tab w:pos="1340" w:val="left" w:leader="none"/>
                <w:tab w:pos="1393" w:val="left" w:leader="none"/>
              </w:tabs>
              <w:spacing w:line="240" w:lineRule="auto" w:before="0"/>
              <w:ind w:right="96"/>
              <w:rPr>
                <w:i/>
                <w:sz w:val="24"/>
              </w:rPr>
            </w:pPr>
            <w:r>
              <w:rPr>
                <w:sz w:val="24"/>
              </w:rPr>
              <w:t>Dampak</w:t>
            </w:r>
            <w:r>
              <w:rPr>
                <w:spacing w:val="40"/>
                <w:sz w:val="24"/>
              </w:rPr>
              <w:t> </w:t>
            </w:r>
            <w:r>
              <w:rPr>
                <w:i/>
                <w:sz w:val="24"/>
              </w:rPr>
              <w:t>BI7-</w:t>
            </w:r>
            <w:r>
              <w:rPr>
                <w:i/>
                <w:sz w:val="24"/>
              </w:rPr>
              <w:t>Day </w:t>
            </w:r>
            <w:r>
              <w:rPr>
                <w:i/>
                <w:spacing w:val="-2"/>
                <w:sz w:val="24"/>
              </w:rPr>
              <w:t>Reverse</w:t>
            </w:r>
            <w:r>
              <w:rPr>
                <w:i/>
                <w:sz w:val="24"/>
              </w:rPr>
              <w:tab/>
              <w:tab/>
              <w:tab/>
              <w:tab/>
            </w:r>
            <w:r>
              <w:rPr>
                <w:i/>
                <w:spacing w:val="-4"/>
                <w:sz w:val="24"/>
              </w:rPr>
              <w:t>Repo </w:t>
            </w:r>
            <w:r>
              <w:rPr>
                <w:i/>
                <w:sz w:val="24"/>
              </w:rPr>
              <w:t>Rate</w:t>
            </w:r>
            <w:r>
              <w:rPr>
                <w:i/>
                <w:spacing w:val="-13"/>
                <w:sz w:val="24"/>
              </w:rPr>
              <w:t> </w:t>
            </w:r>
            <w:r>
              <w:rPr>
                <w:sz w:val="24"/>
              </w:rPr>
              <w:t>dan</w:t>
            </w:r>
            <w:r>
              <w:rPr>
                <w:spacing w:val="-11"/>
                <w:sz w:val="24"/>
              </w:rPr>
              <w:t> </w:t>
            </w:r>
            <w:r>
              <w:rPr>
                <w:i/>
                <w:sz w:val="24"/>
              </w:rPr>
              <w:t>Fed</w:t>
            </w:r>
            <w:r>
              <w:rPr>
                <w:i/>
                <w:spacing w:val="-13"/>
                <w:sz w:val="24"/>
              </w:rPr>
              <w:t> </w:t>
            </w:r>
            <w:r>
              <w:rPr>
                <w:i/>
                <w:sz w:val="24"/>
              </w:rPr>
              <w:t>Rate </w:t>
            </w:r>
            <w:r>
              <w:rPr>
                <w:spacing w:val="-2"/>
                <w:sz w:val="24"/>
              </w:rPr>
              <w:t>Terhadap</w:t>
            </w:r>
            <w:r>
              <w:rPr>
                <w:sz w:val="24"/>
              </w:rPr>
              <w:tab/>
              <w:tab/>
            </w:r>
            <w:r>
              <w:rPr>
                <w:spacing w:val="-2"/>
                <w:sz w:val="24"/>
              </w:rPr>
              <w:t>Indeks Saham</w:t>
            </w:r>
            <w:r>
              <w:rPr>
                <w:sz w:val="24"/>
              </w:rPr>
              <w:tab/>
            </w:r>
            <w:r>
              <w:rPr>
                <w:spacing w:val="-2"/>
                <w:sz w:val="24"/>
              </w:rPr>
              <w:t>Syariah </w:t>
            </w:r>
            <w:r>
              <w:rPr>
                <w:sz w:val="24"/>
              </w:rPr>
              <w:t>Indonesia</w:t>
            </w:r>
            <w:r>
              <w:rPr>
                <w:spacing w:val="57"/>
                <w:sz w:val="24"/>
              </w:rPr>
              <w:t> </w:t>
            </w:r>
            <w:r>
              <w:rPr>
                <w:sz w:val="24"/>
              </w:rPr>
              <w:t>dengan </w:t>
            </w:r>
            <w:r>
              <w:rPr>
                <w:spacing w:val="-2"/>
                <w:sz w:val="24"/>
              </w:rPr>
              <w:t>Pendekatan</w:t>
            </w:r>
            <w:r>
              <w:rPr>
                <w:spacing w:val="80"/>
                <w:sz w:val="24"/>
              </w:rPr>
              <w:t> </w:t>
            </w:r>
            <w:r>
              <w:rPr>
                <w:i/>
                <w:spacing w:val="-2"/>
                <w:sz w:val="24"/>
              </w:rPr>
              <w:t>Vector</w:t>
            </w:r>
            <w:r>
              <w:rPr>
                <w:i/>
                <w:sz w:val="24"/>
              </w:rPr>
              <w:tab/>
              <w:tab/>
              <w:tab/>
            </w:r>
            <w:r>
              <w:rPr>
                <w:i/>
                <w:spacing w:val="-2"/>
                <w:sz w:val="24"/>
              </w:rPr>
              <w:t>Error </w:t>
            </w:r>
            <w:r>
              <w:rPr>
                <w:i/>
                <w:sz w:val="24"/>
              </w:rPr>
              <w:t>Correction Model</w:t>
            </w:r>
          </w:p>
        </w:tc>
        <w:tc>
          <w:tcPr>
            <w:tcW w:w="1997" w:type="dxa"/>
          </w:tcPr>
          <w:p>
            <w:pPr>
              <w:pStyle w:val="TableParagraph"/>
              <w:tabs>
                <w:tab w:pos="1167" w:val="left" w:leader="none"/>
                <w:tab w:pos="1542" w:val="left" w:leader="none"/>
                <w:tab w:pos="1635" w:val="left" w:leader="none"/>
              </w:tabs>
              <w:spacing w:line="240" w:lineRule="auto" w:before="0"/>
              <w:ind w:right="96"/>
              <w:rPr>
                <w:sz w:val="24"/>
              </w:rPr>
            </w:pPr>
            <w:r>
              <w:rPr>
                <w:spacing w:val="-2"/>
                <w:sz w:val="24"/>
              </w:rPr>
              <w:t>Penelitian</w:t>
            </w:r>
            <w:r>
              <w:rPr>
                <w:sz w:val="24"/>
              </w:rPr>
              <w:tab/>
              <w:tab/>
              <w:tab/>
            </w:r>
            <w:r>
              <w:rPr>
                <w:spacing w:val="-4"/>
                <w:sz w:val="24"/>
              </w:rPr>
              <w:t>ini </w:t>
            </w:r>
            <w:r>
              <w:rPr>
                <w:spacing w:val="-2"/>
                <w:sz w:val="24"/>
              </w:rPr>
              <w:t>menggunakan </w:t>
            </w:r>
            <w:r>
              <w:rPr>
                <w:sz w:val="24"/>
              </w:rPr>
              <w:t>metode</w:t>
            </w:r>
            <w:r>
              <w:rPr>
                <w:spacing w:val="31"/>
                <w:sz w:val="24"/>
              </w:rPr>
              <w:t> </w:t>
            </w:r>
            <w:r>
              <w:rPr>
                <w:sz w:val="24"/>
              </w:rPr>
              <w:t>penelitian </w:t>
            </w:r>
            <w:r>
              <w:rPr>
                <w:spacing w:val="-2"/>
                <w:sz w:val="24"/>
              </w:rPr>
              <w:t>kuantitatif</w:t>
            </w:r>
            <w:r>
              <w:rPr>
                <w:sz w:val="24"/>
              </w:rPr>
              <w:tab/>
              <w:tab/>
            </w:r>
            <w:r>
              <w:rPr>
                <w:spacing w:val="-4"/>
                <w:sz w:val="24"/>
              </w:rPr>
              <w:t>dan </w:t>
            </w:r>
            <w:r>
              <w:rPr>
                <w:spacing w:val="-2"/>
                <w:sz w:val="24"/>
              </w:rPr>
              <w:t>teknik</w:t>
            </w:r>
            <w:r>
              <w:rPr>
                <w:sz w:val="24"/>
              </w:rPr>
              <w:tab/>
            </w:r>
            <w:r>
              <w:rPr>
                <w:spacing w:val="-2"/>
                <w:sz w:val="24"/>
              </w:rPr>
              <w:t>analisis</w:t>
            </w:r>
          </w:p>
          <w:p>
            <w:pPr>
              <w:pStyle w:val="TableParagraph"/>
              <w:spacing w:line="240" w:lineRule="auto" w:before="0"/>
              <w:ind w:right="97"/>
              <w:jc w:val="both"/>
              <w:rPr>
                <w:sz w:val="24"/>
              </w:rPr>
            </w:pPr>
            <w:r>
              <w:rPr>
                <w:i/>
                <w:sz w:val="24"/>
              </w:rPr>
              <w:t>Vector Error Correction </w:t>
            </w:r>
            <w:r>
              <w:rPr>
                <w:i/>
                <w:sz w:val="24"/>
              </w:rPr>
              <w:t>Model </w:t>
            </w:r>
            <w:r>
              <w:rPr>
                <w:spacing w:val="-2"/>
                <w:sz w:val="24"/>
              </w:rPr>
              <w:t>(VECM)</w:t>
            </w:r>
          </w:p>
        </w:tc>
        <w:tc>
          <w:tcPr>
            <w:tcW w:w="2192" w:type="dxa"/>
          </w:tcPr>
          <w:p>
            <w:pPr>
              <w:pStyle w:val="TableParagraph"/>
              <w:tabs>
                <w:tab w:pos="1119" w:val="left" w:leader="none"/>
                <w:tab w:pos="1439" w:val="left" w:leader="none"/>
                <w:tab w:pos="1594" w:val="left" w:leader="none"/>
              </w:tabs>
              <w:spacing w:line="240" w:lineRule="auto" w:before="0"/>
              <w:ind w:right="96"/>
              <w:jc w:val="both"/>
              <w:rPr>
                <w:sz w:val="24"/>
              </w:rPr>
            </w:pPr>
            <w:r>
              <w:rPr>
                <w:spacing w:val="-4"/>
                <w:sz w:val="24"/>
              </w:rPr>
              <w:t>Dalam</w:t>
            </w:r>
            <w:r>
              <w:rPr>
                <w:sz w:val="24"/>
              </w:rPr>
              <w:tab/>
              <w:tab/>
            </w:r>
            <w:r>
              <w:rPr>
                <w:spacing w:val="-2"/>
                <w:sz w:val="24"/>
              </w:rPr>
              <w:t>jangka </w:t>
            </w:r>
            <w:r>
              <w:rPr>
                <w:sz w:val="24"/>
              </w:rPr>
              <w:t>pendek, </w:t>
            </w:r>
            <w:r>
              <w:rPr>
                <w:i/>
                <w:sz w:val="24"/>
              </w:rPr>
              <w:t>BI7-Day Reverse Repo Rate </w:t>
            </w:r>
            <w:r>
              <w:rPr>
                <w:sz w:val="24"/>
              </w:rPr>
              <w:t>berpengaruh positif dan</w:t>
            </w:r>
            <w:r>
              <w:rPr>
                <w:spacing w:val="-15"/>
                <w:sz w:val="24"/>
              </w:rPr>
              <w:t> </w:t>
            </w:r>
            <w:r>
              <w:rPr>
                <w:sz w:val="24"/>
              </w:rPr>
              <w:t>tidak</w:t>
            </w:r>
            <w:r>
              <w:rPr>
                <w:spacing w:val="-14"/>
                <w:sz w:val="24"/>
              </w:rPr>
              <w:t> </w:t>
            </w:r>
            <w:r>
              <w:rPr>
                <w:sz w:val="24"/>
              </w:rPr>
              <w:t>signifikan, sedangkan</w:t>
            </w:r>
            <w:r>
              <w:rPr>
                <w:spacing w:val="-4"/>
                <w:sz w:val="24"/>
              </w:rPr>
              <w:t> </w:t>
            </w:r>
            <w:r>
              <w:rPr>
                <w:i/>
                <w:sz w:val="24"/>
              </w:rPr>
              <w:t>Fed</w:t>
            </w:r>
            <w:r>
              <w:rPr>
                <w:i/>
                <w:spacing w:val="-4"/>
                <w:sz w:val="24"/>
              </w:rPr>
              <w:t> </w:t>
            </w:r>
            <w:r>
              <w:rPr>
                <w:i/>
                <w:sz w:val="24"/>
              </w:rPr>
              <w:t>Rate </w:t>
            </w:r>
            <w:r>
              <w:rPr>
                <w:sz w:val="24"/>
              </w:rPr>
              <w:t>berpengaruh negatif </w:t>
            </w:r>
            <w:r>
              <w:rPr>
                <w:spacing w:val="-4"/>
                <w:sz w:val="24"/>
              </w:rPr>
              <w:t>dan</w:t>
            </w:r>
            <w:r>
              <w:rPr>
                <w:sz w:val="24"/>
              </w:rPr>
              <w:tab/>
            </w:r>
            <w:r>
              <w:rPr>
                <w:spacing w:val="-2"/>
                <w:sz w:val="24"/>
              </w:rPr>
              <w:t>signifikan terhadap</w:t>
            </w:r>
            <w:r>
              <w:rPr>
                <w:sz w:val="24"/>
              </w:rPr>
              <w:tab/>
              <w:tab/>
              <w:tab/>
            </w:r>
            <w:r>
              <w:rPr>
                <w:spacing w:val="-4"/>
                <w:sz w:val="24"/>
              </w:rPr>
              <w:t>ISSI.</w:t>
            </w:r>
          </w:p>
          <w:p>
            <w:pPr>
              <w:pStyle w:val="TableParagraph"/>
              <w:tabs>
                <w:tab w:pos="1119" w:val="left" w:leader="none"/>
                <w:tab w:pos="1255" w:val="left" w:leader="none"/>
                <w:tab w:pos="1439" w:val="left" w:leader="none"/>
              </w:tabs>
              <w:spacing w:line="240" w:lineRule="auto" w:before="0"/>
              <w:ind w:right="98"/>
              <w:rPr>
                <w:sz w:val="24"/>
              </w:rPr>
            </w:pPr>
            <w:r>
              <w:rPr>
                <w:spacing w:val="-4"/>
                <w:sz w:val="24"/>
              </w:rPr>
              <w:t>Dalam</w:t>
            </w:r>
            <w:r>
              <w:rPr>
                <w:sz w:val="24"/>
              </w:rPr>
              <w:tab/>
              <w:tab/>
              <w:tab/>
            </w:r>
            <w:r>
              <w:rPr>
                <w:spacing w:val="-2"/>
                <w:sz w:val="24"/>
              </w:rPr>
              <w:t>jangka panjang,</w:t>
            </w:r>
            <w:r>
              <w:rPr>
                <w:sz w:val="24"/>
              </w:rPr>
              <w:tab/>
              <w:tab/>
            </w:r>
            <w:r>
              <w:rPr>
                <w:i/>
                <w:spacing w:val="-2"/>
                <w:sz w:val="24"/>
              </w:rPr>
              <w:t>BI7-Day </w:t>
            </w:r>
            <w:r>
              <w:rPr>
                <w:i/>
                <w:sz w:val="24"/>
              </w:rPr>
              <w:t>Reverse</w:t>
            </w:r>
            <w:r>
              <w:rPr>
                <w:i/>
                <w:spacing w:val="40"/>
                <w:sz w:val="24"/>
              </w:rPr>
              <w:t> </w:t>
            </w:r>
            <w:r>
              <w:rPr>
                <w:i/>
                <w:sz w:val="24"/>
              </w:rPr>
              <w:t>Repo</w:t>
            </w:r>
            <w:r>
              <w:rPr>
                <w:i/>
                <w:spacing w:val="40"/>
                <w:sz w:val="24"/>
              </w:rPr>
              <w:t> </w:t>
            </w:r>
            <w:r>
              <w:rPr>
                <w:i/>
                <w:sz w:val="24"/>
              </w:rPr>
              <w:t>Rate </w:t>
            </w:r>
            <w:r>
              <w:rPr>
                <w:sz w:val="24"/>
              </w:rPr>
              <w:t>berpengaruh</w:t>
            </w:r>
            <w:r>
              <w:rPr>
                <w:spacing w:val="64"/>
                <w:sz w:val="24"/>
              </w:rPr>
              <w:t> </w:t>
            </w:r>
            <w:r>
              <w:rPr>
                <w:sz w:val="24"/>
              </w:rPr>
              <w:t>positif </w:t>
            </w:r>
            <w:r>
              <w:rPr>
                <w:spacing w:val="-2"/>
                <w:sz w:val="24"/>
              </w:rPr>
              <w:t>signifikan, </w:t>
            </w:r>
            <w:r>
              <w:rPr>
                <w:sz w:val="24"/>
              </w:rPr>
              <w:t>sedangkan</w:t>
            </w:r>
            <w:r>
              <w:rPr>
                <w:spacing w:val="-5"/>
                <w:sz w:val="24"/>
              </w:rPr>
              <w:t> </w:t>
            </w:r>
            <w:r>
              <w:rPr>
                <w:i/>
                <w:sz w:val="24"/>
              </w:rPr>
              <w:t>Fed</w:t>
            </w:r>
            <w:r>
              <w:rPr>
                <w:i/>
                <w:spacing w:val="-5"/>
                <w:sz w:val="24"/>
              </w:rPr>
              <w:t> </w:t>
            </w:r>
            <w:r>
              <w:rPr>
                <w:i/>
                <w:sz w:val="24"/>
              </w:rPr>
              <w:t>Rate </w:t>
            </w:r>
            <w:r>
              <w:rPr>
                <w:sz w:val="24"/>
              </w:rPr>
              <w:t>berpengaruh</w:t>
            </w:r>
            <w:r>
              <w:rPr>
                <w:spacing w:val="11"/>
                <w:sz w:val="24"/>
              </w:rPr>
              <w:t> </w:t>
            </w:r>
            <w:r>
              <w:rPr>
                <w:sz w:val="24"/>
              </w:rPr>
              <w:t>negatif </w:t>
            </w:r>
            <w:r>
              <w:rPr>
                <w:spacing w:val="-5"/>
                <w:sz w:val="24"/>
              </w:rPr>
              <w:t>dan</w:t>
            </w:r>
            <w:r>
              <w:rPr>
                <w:sz w:val="24"/>
              </w:rPr>
              <w:tab/>
            </w:r>
            <w:r>
              <w:rPr>
                <w:spacing w:val="-2"/>
                <w:sz w:val="24"/>
              </w:rPr>
              <w:t>signifikan</w:t>
            </w:r>
          </w:p>
          <w:p>
            <w:pPr>
              <w:pStyle w:val="TableParagraph"/>
              <w:spacing w:before="0"/>
              <w:jc w:val="both"/>
              <w:rPr>
                <w:sz w:val="24"/>
              </w:rPr>
            </w:pPr>
            <w:r>
              <w:rPr>
                <w:sz w:val="24"/>
              </w:rPr>
              <w:t>terhadap</w:t>
            </w:r>
            <w:r>
              <w:rPr>
                <w:spacing w:val="-2"/>
                <w:sz w:val="24"/>
              </w:rPr>
              <w:t> </w:t>
            </w:r>
            <w:r>
              <w:rPr>
                <w:spacing w:val="-4"/>
                <w:sz w:val="24"/>
              </w:rPr>
              <w:t>ISSI</w:t>
            </w:r>
          </w:p>
        </w:tc>
      </w:tr>
      <w:tr>
        <w:trPr>
          <w:trHeight w:val="6072" w:hRule="atLeast"/>
        </w:trPr>
        <w:tc>
          <w:tcPr>
            <w:tcW w:w="569" w:type="dxa"/>
          </w:tcPr>
          <w:p>
            <w:pPr>
              <w:pStyle w:val="TableParagraph"/>
              <w:spacing w:line="275" w:lineRule="exact" w:before="0"/>
              <w:rPr>
                <w:sz w:val="24"/>
              </w:rPr>
            </w:pPr>
            <w:r>
              <w:rPr>
                <w:spacing w:val="-5"/>
                <w:sz w:val="24"/>
              </w:rPr>
              <w:t>7.</w:t>
            </w:r>
          </w:p>
        </w:tc>
        <w:tc>
          <w:tcPr>
            <w:tcW w:w="1412" w:type="dxa"/>
          </w:tcPr>
          <w:p>
            <w:pPr>
              <w:pStyle w:val="TableParagraph"/>
              <w:spacing w:line="240" w:lineRule="auto" w:before="0"/>
              <w:ind w:right="100"/>
              <w:rPr>
                <w:sz w:val="24"/>
              </w:rPr>
            </w:pPr>
            <w:r>
              <w:rPr>
                <w:spacing w:val="-2"/>
                <w:sz w:val="24"/>
              </w:rPr>
              <w:t>Safiinatul Jannah Noviyani, Rusdi Hidayat Nugroho (2022)</w:t>
            </w:r>
          </w:p>
        </w:tc>
        <w:tc>
          <w:tcPr>
            <w:tcW w:w="1997" w:type="dxa"/>
          </w:tcPr>
          <w:p>
            <w:pPr>
              <w:pStyle w:val="TableParagraph"/>
              <w:tabs>
                <w:tab w:pos="1148" w:val="left" w:leader="none"/>
                <w:tab w:pos="1249" w:val="left" w:leader="none"/>
                <w:tab w:pos="1343" w:val="left" w:leader="none"/>
                <w:tab w:pos="1422" w:val="left" w:leader="none"/>
              </w:tabs>
              <w:spacing w:line="240" w:lineRule="auto" w:before="0"/>
              <w:ind w:right="96"/>
              <w:rPr>
                <w:sz w:val="24"/>
              </w:rPr>
            </w:pPr>
            <w:r>
              <w:rPr>
                <w:spacing w:val="-2"/>
                <w:sz w:val="24"/>
              </w:rPr>
              <w:t>Pengaruh</w:t>
            </w:r>
            <w:r>
              <w:rPr>
                <w:sz w:val="24"/>
              </w:rPr>
              <w:tab/>
              <w:tab/>
            </w:r>
            <w:r>
              <w:rPr>
                <w:spacing w:val="-2"/>
                <w:sz w:val="24"/>
              </w:rPr>
              <w:t>Indeks </w:t>
            </w:r>
            <w:r>
              <w:rPr>
                <w:i/>
                <w:spacing w:val="-4"/>
                <w:sz w:val="24"/>
              </w:rPr>
              <w:t>Dow</w:t>
            </w:r>
            <w:r>
              <w:rPr>
                <w:i/>
                <w:sz w:val="24"/>
              </w:rPr>
              <w:tab/>
              <w:tab/>
              <w:tab/>
            </w:r>
            <w:r>
              <w:rPr>
                <w:i/>
                <w:spacing w:val="-2"/>
                <w:sz w:val="24"/>
              </w:rPr>
              <w:t>Jones Industrial</w:t>
            </w:r>
            <w:r>
              <w:rPr>
                <w:i/>
                <w:spacing w:val="80"/>
                <w:sz w:val="24"/>
              </w:rPr>
              <w:t> </w:t>
            </w:r>
            <w:r>
              <w:rPr>
                <w:i/>
                <w:spacing w:val="-2"/>
                <w:sz w:val="24"/>
              </w:rPr>
              <w:t>Average</w:t>
            </w:r>
            <w:r>
              <w:rPr>
                <w:i/>
                <w:sz w:val="24"/>
              </w:rPr>
              <w:tab/>
            </w:r>
            <w:r>
              <w:rPr>
                <w:spacing w:val="-2"/>
                <w:sz w:val="24"/>
              </w:rPr>
              <w:t>(DJIA), </w:t>
            </w:r>
            <w:r>
              <w:rPr>
                <w:sz w:val="24"/>
              </w:rPr>
              <w:t>Tingkat</w:t>
            </w:r>
            <w:r>
              <w:rPr>
                <w:spacing w:val="-11"/>
                <w:sz w:val="24"/>
              </w:rPr>
              <w:t> </w:t>
            </w:r>
            <w:r>
              <w:rPr>
                <w:sz w:val="24"/>
              </w:rPr>
              <w:t>Inflasi,</w:t>
            </w:r>
            <w:r>
              <w:rPr>
                <w:spacing w:val="-12"/>
                <w:sz w:val="24"/>
              </w:rPr>
              <w:t> </w:t>
            </w:r>
            <w:r>
              <w:rPr>
                <w:i/>
                <w:sz w:val="24"/>
              </w:rPr>
              <w:t>BI 7-Day Repo</w:t>
            </w:r>
            <w:r>
              <w:rPr>
                <w:i/>
                <w:spacing w:val="16"/>
                <w:sz w:val="24"/>
              </w:rPr>
              <w:t> </w:t>
            </w:r>
            <w:r>
              <w:rPr>
                <w:i/>
                <w:sz w:val="24"/>
              </w:rPr>
              <w:t>Rate</w:t>
            </w:r>
            <w:r>
              <w:rPr>
                <w:sz w:val="24"/>
              </w:rPr>
              <w:t>, </w:t>
            </w:r>
            <w:r>
              <w:rPr>
                <w:spacing w:val="-5"/>
                <w:sz w:val="24"/>
              </w:rPr>
              <w:t>dan</w:t>
            </w:r>
            <w:r>
              <w:rPr>
                <w:sz w:val="24"/>
              </w:rPr>
              <w:tab/>
              <w:tab/>
              <w:tab/>
              <w:tab/>
            </w:r>
            <w:r>
              <w:rPr>
                <w:spacing w:val="-4"/>
                <w:sz w:val="24"/>
              </w:rPr>
              <w:t>Kurs</w:t>
            </w:r>
          </w:p>
          <w:p>
            <w:pPr>
              <w:pStyle w:val="TableParagraph"/>
              <w:spacing w:line="240" w:lineRule="auto" w:before="0"/>
              <w:rPr>
                <w:sz w:val="24"/>
              </w:rPr>
            </w:pPr>
            <w:r>
              <w:rPr>
                <w:spacing w:val="-2"/>
                <w:sz w:val="24"/>
              </w:rPr>
              <w:t>USD/IDR</w:t>
            </w:r>
          </w:p>
          <w:p>
            <w:pPr>
              <w:pStyle w:val="TableParagraph"/>
              <w:spacing w:line="240" w:lineRule="auto" w:before="0"/>
              <w:ind w:right="96"/>
              <w:jc w:val="both"/>
              <w:rPr>
                <w:sz w:val="24"/>
              </w:rPr>
            </w:pPr>
            <w:r>
              <w:rPr>
                <w:sz w:val="24"/>
              </w:rPr>
              <w:t>Terhadap </w:t>
            </w:r>
            <w:r>
              <w:rPr>
                <w:sz w:val="24"/>
              </w:rPr>
              <w:t>Indeks Saham Syariah Indonesia (ISSI) di Bursa Efek Indonesia (BEI)</w:t>
            </w:r>
          </w:p>
        </w:tc>
        <w:tc>
          <w:tcPr>
            <w:tcW w:w="1997" w:type="dxa"/>
          </w:tcPr>
          <w:p>
            <w:pPr>
              <w:pStyle w:val="TableParagraph"/>
              <w:tabs>
                <w:tab w:pos="887" w:val="left" w:leader="none"/>
                <w:tab w:pos="1635" w:val="left" w:leader="none"/>
              </w:tabs>
              <w:spacing w:line="240" w:lineRule="auto" w:before="0"/>
              <w:ind w:right="96"/>
              <w:rPr>
                <w:sz w:val="24"/>
              </w:rPr>
            </w:pPr>
            <w:r>
              <w:rPr>
                <w:spacing w:val="-2"/>
                <w:sz w:val="24"/>
              </w:rPr>
              <w:t>Penelitian</w:t>
            </w:r>
            <w:r>
              <w:rPr>
                <w:sz w:val="24"/>
              </w:rPr>
              <w:tab/>
            </w:r>
            <w:r>
              <w:rPr>
                <w:spacing w:val="-4"/>
                <w:sz w:val="24"/>
              </w:rPr>
              <w:t>ini </w:t>
            </w:r>
            <w:r>
              <w:rPr>
                <w:spacing w:val="-2"/>
                <w:sz w:val="24"/>
              </w:rPr>
              <w:t>menggunakan </w:t>
            </w:r>
            <w:r>
              <w:rPr>
                <w:sz w:val="24"/>
              </w:rPr>
              <w:t>metode</w:t>
            </w:r>
            <w:r>
              <w:rPr>
                <w:spacing w:val="-4"/>
                <w:sz w:val="24"/>
              </w:rPr>
              <w:t> </w:t>
            </w:r>
            <w:r>
              <w:rPr>
                <w:sz w:val="24"/>
              </w:rPr>
              <w:t>kuantitatif dan</w:t>
            </w:r>
            <w:r>
              <w:rPr>
                <w:spacing w:val="-15"/>
                <w:sz w:val="24"/>
              </w:rPr>
              <w:t> </w:t>
            </w:r>
            <w:r>
              <w:rPr>
                <w:sz w:val="24"/>
              </w:rPr>
              <w:t>teknik</w:t>
            </w:r>
            <w:r>
              <w:rPr>
                <w:spacing w:val="-15"/>
                <w:sz w:val="24"/>
              </w:rPr>
              <w:t> </w:t>
            </w:r>
            <w:r>
              <w:rPr>
                <w:sz w:val="24"/>
              </w:rPr>
              <w:t>analisis </w:t>
            </w:r>
            <w:r>
              <w:rPr>
                <w:spacing w:val="-4"/>
                <w:sz w:val="24"/>
              </w:rPr>
              <w:t>yang</w:t>
            </w:r>
            <w:r>
              <w:rPr>
                <w:sz w:val="24"/>
              </w:rPr>
              <w:tab/>
            </w:r>
            <w:r>
              <w:rPr>
                <w:spacing w:val="-2"/>
                <w:sz w:val="24"/>
              </w:rPr>
              <w:t>digunakan </w:t>
            </w:r>
            <w:r>
              <w:rPr>
                <w:sz w:val="24"/>
              </w:rPr>
              <w:t>ialah</w:t>
            </w:r>
            <w:r>
              <w:rPr>
                <w:spacing w:val="-15"/>
                <w:sz w:val="24"/>
              </w:rPr>
              <w:t> </w:t>
            </w:r>
            <w:r>
              <w:rPr>
                <w:sz w:val="24"/>
              </w:rPr>
              <w:t>regresi</w:t>
            </w:r>
            <w:r>
              <w:rPr>
                <w:spacing w:val="-15"/>
                <w:sz w:val="24"/>
              </w:rPr>
              <w:t> </w:t>
            </w:r>
            <w:r>
              <w:rPr>
                <w:sz w:val="24"/>
              </w:rPr>
              <w:t>linear </w:t>
            </w:r>
            <w:r>
              <w:rPr>
                <w:spacing w:val="-2"/>
                <w:sz w:val="24"/>
              </w:rPr>
              <w:t>berganda</w:t>
            </w:r>
          </w:p>
        </w:tc>
        <w:tc>
          <w:tcPr>
            <w:tcW w:w="2192" w:type="dxa"/>
          </w:tcPr>
          <w:p>
            <w:pPr>
              <w:pStyle w:val="TableParagraph"/>
              <w:tabs>
                <w:tab w:pos="1379" w:val="left" w:leader="none"/>
                <w:tab w:pos="1736" w:val="left" w:leader="none"/>
              </w:tabs>
              <w:spacing w:line="240" w:lineRule="auto" w:before="0"/>
              <w:ind w:right="97"/>
              <w:jc w:val="both"/>
              <w:rPr>
                <w:sz w:val="24"/>
              </w:rPr>
            </w:pPr>
            <w:r>
              <w:rPr>
                <w:spacing w:val="-2"/>
                <w:sz w:val="24"/>
              </w:rPr>
              <w:t>Secara</w:t>
            </w:r>
            <w:r>
              <w:rPr>
                <w:sz w:val="24"/>
              </w:rPr>
              <w:tab/>
            </w:r>
            <w:r>
              <w:rPr>
                <w:spacing w:val="-2"/>
                <w:sz w:val="24"/>
              </w:rPr>
              <w:t>parsial, </w:t>
            </w:r>
            <w:r>
              <w:rPr>
                <w:sz w:val="24"/>
              </w:rPr>
              <w:t>Indeks </w:t>
            </w:r>
            <w:r>
              <w:rPr>
                <w:i/>
                <w:sz w:val="24"/>
              </w:rPr>
              <w:t>Dow Jones Industrial Average </w:t>
            </w:r>
            <w:r>
              <w:rPr>
                <w:sz w:val="24"/>
              </w:rPr>
              <w:t>(DJIA) dan tingkat inflasi berpengaruh </w:t>
            </w:r>
            <w:r>
              <w:rPr>
                <w:spacing w:val="-2"/>
                <w:sz w:val="24"/>
              </w:rPr>
              <w:t>positif</w:t>
            </w:r>
            <w:r>
              <w:rPr>
                <w:sz w:val="24"/>
              </w:rPr>
              <w:tab/>
              <w:tab/>
            </w:r>
            <w:r>
              <w:rPr>
                <w:spacing w:val="-5"/>
                <w:sz w:val="24"/>
              </w:rPr>
              <w:t>dan</w:t>
            </w:r>
          </w:p>
          <w:p>
            <w:pPr>
              <w:pStyle w:val="TableParagraph"/>
              <w:tabs>
                <w:tab w:pos="1667" w:val="left" w:leader="none"/>
              </w:tabs>
              <w:spacing w:line="240" w:lineRule="auto" w:before="0"/>
              <w:ind w:right="98"/>
              <w:jc w:val="both"/>
              <w:rPr>
                <w:sz w:val="24"/>
              </w:rPr>
            </w:pPr>
            <w:r>
              <w:rPr>
                <w:sz w:val="24"/>
              </w:rPr>
              <w:t>signifikan </w:t>
            </w:r>
            <w:r>
              <w:rPr>
                <w:sz w:val="24"/>
              </w:rPr>
              <w:t>terhadap ISSI. Sedangkan </w:t>
            </w:r>
            <w:r>
              <w:rPr>
                <w:i/>
                <w:sz w:val="24"/>
              </w:rPr>
              <w:t>BI 7-Day Repo Rate </w:t>
            </w:r>
            <w:r>
              <w:rPr>
                <w:spacing w:val="-5"/>
                <w:sz w:val="24"/>
              </w:rPr>
              <w:t>dan</w:t>
            </w:r>
            <w:r>
              <w:rPr>
                <w:sz w:val="24"/>
              </w:rPr>
              <w:tab/>
            </w:r>
            <w:r>
              <w:rPr>
                <w:spacing w:val="-4"/>
                <w:sz w:val="24"/>
              </w:rPr>
              <w:t>kurs</w:t>
            </w:r>
          </w:p>
          <w:p>
            <w:pPr>
              <w:pStyle w:val="TableParagraph"/>
              <w:tabs>
                <w:tab w:pos="1119" w:val="left" w:leader="none"/>
                <w:tab w:pos="1594" w:val="left" w:leader="none"/>
              </w:tabs>
              <w:spacing w:line="240" w:lineRule="auto" w:before="0"/>
              <w:ind w:right="99"/>
              <w:jc w:val="both"/>
              <w:rPr>
                <w:sz w:val="24"/>
              </w:rPr>
            </w:pPr>
            <w:r>
              <w:rPr>
                <w:sz w:val="24"/>
              </w:rPr>
              <w:t>berpengaruh </w:t>
            </w:r>
            <w:r>
              <w:rPr>
                <w:sz w:val="24"/>
              </w:rPr>
              <w:t>negatif </w:t>
            </w:r>
            <w:r>
              <w:rPr>
                <w:spacing w:val="-4"/>
                <w:sz w:val="24"/>
              </w:rPr>
              <w:t>dan</w:t>
            </w:r>
            <w:r>
              <w:rPr>
                <w:sz w:val="24"/>
              </w:rPr>
              <w:tab/>
            </w:r>
            <w:r>
              <w:rPr>
                <w:spacing w:val="-2"/>
                <w:sz w:val="24"/>
              </w:rPr>
              <w:t>signifikan terhadap</w:t>
            </w:r>
            <w:r>
              <w:rPr>
                <w:sz w:val="24"/>
              </w:rPr>
              <w:tab/>
              <w:tab/>
            </w:r>
            <w:r>
              <w:rPr>
                <w:spacing w:val="-4"/>
                <w:sz w:val="24"/>
              </w:rPr>
              <w:t>ISSI.</w:t>
            </w:r>
          </w:p>
          <w:p>
            <w:pPr>
              <w:pStyle w:val="TableParagraph"/>
              <w:spacing w:line="240" w:lineRule="auto" w:before="0"/>
              <w:ind w:right="97"/>
              <w:jc w:val="both"/>
              <w:rPr>
                <w:sz w:val="24"/>
              </w:rPr>
            </w:pPr>
            <w:r>
              <w:rPr>
                <w:sz w:val="24"/>
              </w:rPr>
              <w:t>Secara </w:t>
            </w:r>
            <w:r>
              <w:rPr>
                <w:sz w:val="24"/>
              </w:rPr>
              <w:t>simultan, Indeks </w:t>
            </w:r>
            <w:r>
              <w:rPr>
                <w:i/>
                <w:sz w:val="24"/>
              </w:rPr>
              <w:t>Dow Jones Industrial Average </w:t>
            </w:r>
            <w:r>
              <w:rPr>
                <w:sz w:val="24"/>
              </w:rPr>
              <w:t>(DJIA), tingkat inflasi, </w:t>
            </w:r>
            <w:r>
              <w:rPr>
                <w:i/>
                <w:sz w:val="24"/>
              </w:rPr>
              <w:t>BI 7-Day Repo Rate</w:t>
            </w:r>
            <w:r>
              <w:rPr>
                <w:sz w:val="24"/>
              </w:rPr>
              <w:t>, dan kurs memiliki</w:t>
            </w:r>
            <w:r>
              <w:rPr>
                <w:spacing w:val="47"/>
                <w:sz w:val="24"/>
              </w:rPr>
              <w:t>  </w:t>
            </w:r>
            <w:r>
              <w:rPr>
                <w:spacing w:val="-2"/>
                <w:sz w:val="24"/>
              </w:rPr>
              <w:t>pengaruh</w:t>
            </w:r>
          </w:p>
          <w:p>
            <w:pPr>
              <w:pStyle w:val="TableParagraph"/>
              <w:spacing w:line="270" w:lineRule="atLeast" w:before="0"/>
              <w:ind w:right="100"/>
              <w:jc w:val="both"/>
              <w:rPr>
                <w:sz w:val="24"/>
              </w:rPr>
            </w:pPr>
            <w:r>
              <w:rPr>
                <w:sz w:val="24"/>
              </w:rPr>
              <w:t>signifikan </w:t>
            </w:r>
            <w:r>
              <w:rPr>
                <w:sz w:val="24"/>
              </w:rPr>
              <w:t>terhadap </w:t>
            </w:r>
            <w:r>
              <w:rPr>
                <w:spacing w:val="-4"/>
                <w:sz w:val="24"/>
              </w:rPr>
              <w:t>ISSI</w:t>
            </w:r>
          </w:p>
        </w:tc>
      </w:tr>
      <w:tr>
        <w:trPr>
          <w:trHeight w:val="2207" w:hRule="atLeast"/>
        </w:trPr>
        <w:tc>
          <w:tcPr>
            <w:tcW w:w="569" w:type="dxa"/>
          </w:tcPr>
          <w:p>
            <w:pPr>
              <w:pStyle w:val="TableParagraph"/>
              <w:spacing w:line="275" w:lineRule="exact" w:before="0"/>
              <w:rPr>
                <w:sz w:val="24"/>
              </w:rPr>
            </w:pPr>
            <w:r>
              <w:rPr>
                <w:spacing w:val="-5"/>
                <w:sz w:val="24"/>
              </w:rPr>
              <w:t>8.</w:t>
            </w:r>
          </w:p>
        </w:tc>
        <w:tc>
          <w:tcPr>
            <w:tcW w:w="1412" w:type="dxa"/>
          </w:tcPr>
          <w:p>
            <w:pPr>
              <w:pStyle w:val="TableParagraph"/>
              <w:spacing w:line="240" w:lineRule="auto" w:before="0"/>
              <w:rPr>
                <w:sz w:val="24"/>
              </w:rPr>
            </w:pPr>
            <w:r>
              <w:rPr>
                <w:spacing w:val="-4"/>
                <w:sz w:val="24"/>
              </w:rPr>
              <w:t>Azim </w:t>
            </w:r>
            <w:r>
              <w:rPr>
                <w:spacing w:val="-2"/>
                <w:sz w:val="24"/>
              </w:rPr>
              <w:t>Zulkarnain </w:t>
            </w:r>
            <w:r>
              <w:rPr>
                <w:sz w:val="24"/>
              </w:rPr>
              <w:t>dan</w:t>
            </w:r>
            <w:r>
              <w:rPr>
                <w:spacing w:val="40"/>
                <w:sz w:val="24"/>
              </w:rPr>
              <w:t> </w:t>
            </w:r>
            <w:r>
              <w:rPr>
                <w:sz w:val="24"/>
              </w:rPr>
              <w:t>Sufyati HS (2024)</w:t>
            </w:r>
          </w:p>
        </w:tc>
        <w:tc>
          <w:tcPr>
            <w:tcW w:w="1997" w:type="dxa"/>
          </w:tcPr>
          <w:p>
            <w:pPr>
              <w:pStyle w:val="TableParagraph"/>
              <w:spacing w:line="240" w:lineRule="auto" w:before="0"/>
              <w:ind w:right="96"/>
              <w:jc w:val="both"/>
              <w:rPr>
                <w:sz w:val="24"/>
              </w:rPr>
            </w:pPr>
            <w:r>
              <w:rPr>
                <w:sz w:val="24"/>
              </w:rPr>
              <w:t>Pengaruh </w:t>
            </w:r>
            <w:r>
              <w:rPr>
                <w:sz w:val="24"/>
              </w:rPr>
              <w:t>Faktor- Faktor Ekonomi Makro Terhadap Jakarta Islamic Index (JII)</w:t>
            </w:r>
          </w:p>
        </w:tc>
        <w:tc>
          <w:tcPr>
            <w:tcW w:w="1997" w:type="dxa"/>
          </w:tcPr>
          <w:p>
            <w:pPr>
              <w:pStyle w:val="TableParagraph"/>
              <w:tabs>
                <w:tab w:pos="1635" w:val="left" w:leader="none"/>
              </w:tabs>
              <w:spacing w:line="240" w:lineRule="auto" w:before="0"/>
              <w:ind w:right="96"/>
              <w:rPr>
                <w:sz w:val="24"/>
              </w:rPr>
            </w:pPr>
            <w:r>
              <w:rPr>
                <w:spacing w:val="-2"/>
                <w:sz w:val="24"/>
              </w:rPr>
              <w:t>Penelitian</w:t>
            </w:r>
            <w:r>
              <w:rPr>
                <w:sz w:val="24"/>
              </w:rPr>
              <w:tab/>
            </w:r>
            <w:r>
              <w:rPr>
                <w:spacing w:val="-4"/>
                <w:sz w:val="24"/>
              </w:rPr>
              <w:t>ini </w:t>
            </w:r>
            <w:r>
              <w:rPr>
                <w:spacing w:val="-2"/>
                <w:sz w:val="24"/>
              </w:rPr>
              <w:t>menggunakan pendekatan kuantitatif.</w:t>
            </w:r>
          </w:p>
          <w:p>
            <w:pPr>
              <w:pStyle w:val="TableParagraph"/>
              <w:spacing w:line="270" w:lineRule="atLeast" w:before="0"/>
              <w:ind w:right="97"/>
              <w:jc w:val="both"/>
              <w:rPr>
                <w:sz w:val="24"/>
              </w:rPr>
            </w:pPr>
            <w:r>
              <w:rPr>
                <w:sz w:val="24"/>
              </w:rPr>
              <w:t>Metode </w:t>
            </w:r>
            <w:r>
              <w:rPr>
                <w:sz w:val="24"/>
              </w:rPr>
              <w:t>analisis yang digunakan ialah</w:t>
            </w:r>
            <w:r>
              <w:rPr>
                <w:spacing w:val="-15"/>
                <w:sz w:val="24"/>
              </w:rPr>
              <w:t> </w:t>
            </w:r>
            <w:r>
              <w:rPr>
                <w:sz w:val="24"/>
              </w:rPr>
              <w:t>regresi</w:t>
            </w:r>
            <w:r>
              <w:rPr>
                <w:spacing w:val="-15"/>
                <w:sz w:val="24"/>
              </w:rPr>
              <w:t> </w:t>
            </w:r>
            <w:r>
              <w:rPr>
                <w:sz w:val="24"/>
              </w:rPr>
              <w:t>linear </w:t>
            </w:r>
            <w:r>
              <w:rPr>
                <w:spacing w:val="-2"/>
                <w:sz w:val="24"/>
              </w:rPr>
              <w:t>berganda.</w:t>
            </w:r>
          </w:p>
        </w:tc>
        <w:tc>
          <w:tcPr>
            <w:tcW w:w="2192" w:type="dxa"/>
          </w:tcPr>
          <w:p>
            <w:pPr>
              <w:pStyle w:val="TableParagraph"/>
              <w:tabs>
                <w:tab w:pos="1119" w:val="left" w:leader="none"/>
                <w:tab w:pos="1467" w:val="left" w:leader="none"/>
              </w:tabs>
              <w:spacing w:line="276" w:lineRule="exact" w:before="0"/>
              <w:ind w:right="98"/>
              <w:jc w:val="both"/>
              <w:rPr>
                <w:sz w:val="24"/>
              </w:rPr>
            </w:pPr>
            <w:r>
              <w:rPr>
                <w:sz w:val="24"/>
              </w:rPr>
              <w:t>Secara parsial, </w:t>
            </w:r>
            <w:r>
              <w:rPr>
                <w:sz w:val="24"/>
              </w:rPr>
              <w:t>nilai </w:t>
            </w:r>
            <w:r>
              <w:rPr>
                <w:spacing w:val="-2"/>
                <w:sz w:val="24"/>
              </w:rPr>
              <w:t>tukar</w:t>
            </w:r>
            <w:r>
              <w:rPr>
                <w:sz w:val="24"/>
              </w:rPr>
              <w:tab/>
              <w:tab/>
            </w:r>
            <w:r>
              <w:rPr>
                <w:spacing w:val="-2"/>
                <w:sz w:val="24"/>
              </w:rPr>
              <w:t>rupiah </w:t>
            </w:r>
            <w:r>
              <w:rPr>
                <w:sz w:val="24"/>
              </w:rPr>
              <w:t>berpengaruh negatif </w:t>
            </w:r>
            <w:r>
              <w:rPr>
                <w:spacing w:val="-4"/>
                <w:sz w:val="24"/>
              </w:rPr>
              <w:t>dan</w:t>
            </w:r>
            <w:r>
              <w:rPr>
                <w:sz w:val="24"/>
              </w:rPr>
              <w:tab/>
            </w:r>
            <w:r>
              <w:rPr>
                <w:spacing w:val="-2"/>
                <w:sz w:val="24"/>
              </w:rPr>
              <w:t>signifikan </w:t>
            </w:r>
            <w:r>
              <w:rPr>
                <w:sz w:val="24"/>
              </w:rPr>
              <w:t>terhadap indeks JII, sedangkan inflasi, suku</w:t>
            </w:r>
            <w:r>
              <w:rPr>
                <w:spacing w:val="-15"/>
                <w:sz w:val="24"/>
              </w:rPr>
              <w:t> </w:t>
            </w:r>
            <w:r>
              <w:rPr>
                <w:sz w:val="24"/>
              </w:rPr>
              <w:t>bunga</w:t>
            </w:r>
            <w:r>
              <w:rPr>
                <w:spacing w:val="-15"/>
                <w:sz w:val="24"/>
              </w:rPr>
              <w:t> </w:t>
            </w:r>
            <w:r>
              <w:rPr>
                <w:sz w:val="24"/>
              </w:rPr>
              <w:t>SBI,</w:t>
            </w:r>
            <w:r>
              <w:rPr>
                <w:spacing w:val="-15"/>
                <w:sz w:val="24"/>
              </w:rPr>
              <w:t> </w:t>
            </w:r>
            <w:r>
              <w:rPr>
                <w:sz w:val="24"/>
              </w:rPr>
              <w:t>dan PDB</w:t>
            </w:r>
            <w:r>
              <w:rPr>
                <w:spacing w:val="64"/>
                <w:w w:val="150"/>
                <w:sz w:val="24"/>
              </w:rPr>
              <w:t>  </w:t>
            </w:r>
            <w:r>
              <w:rPr>
                <w:spacing w:val="-2"/>
                <w:sz w:val="24"/>
              </w:rPr>
              <w:t>berpengaruh</w:t>
            </w:r>
          </w:p>
        </w:tc>
      </w:tr>
    </w:tbl>
    <w:p>
      <w:pPr>
        <w:pStyle w:val="TableParagraph"/>
        <w:spacing w:after="0" w:line="276" w:lineRule="exact"/>
        <w:jc w:val="both"/>
        <w:rPr>
          <w:sz w:val="24"/>
        </w:rPr>
        <w:sectPr>
          <w:type w:val="continuous"/>
          <w:pgSz w:w="11910" w:h="16840"/>
          <w:pgMar w:header="0" w:footer="1000" w:top="1400" w:bottom="1200" w:left="1417" w:right="1275"/>
        </w:sectPr>
      </w:pPr>
    </w:p>
    <w:tbl>
      <w:tblPr>
        <w:tblW w:w="0" w:type="auto"/>
        <w:jc w:val="left"/>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1412"/>
        <w:gridCol w:w="1997"/>
        <w:gridCol w:w="1997"/>
        <w:gridCol w:w="2192"/>
      </w:tblGrid>
      <w:tr>
        <w:trPr>
          <w:trHeight w:val="2483" w:hRule="atLeast"/>
        </w:trPr>
        <w:tc>
          <w:tcPr>
            <w:tcW w:w="569" w:type="dxa"/>
          </w:tcPr>
          <w:p>
            <w:pPr>
              <w:pStyle w:val="TableParagraph"/>
              <w:spacing w:line="240" w:lineRule="auto" w:before="0"/>
              <w:ind w:left="0"/>
              <w:rPr>
                <w:sz w:val="24"/>
              </w:rPr>
            </w:pPr>
          </w:p>
        </w:tc>
        <w:tc>
          <w:tcPr>
            <w:tcW w:w="1412" w:type="dxa"/>
          </w:tcPr>
          <w:p>
            <w:pPr>
              <w:pStyle w:val="TableParagraph"/>
              <w:spacing w:line="240" w:lineRule="auto" w:before="0"/>
              <w:ind w:left="0"/>
              <w:rPr>
                <w:sz w:val="24"/>
              </w:rPr>
            </w:pPr>
          </w:p>
        </w:tc>
        <w:tc>
          <w:tcPr>
            <w:tcW w:w="1997" w:type="dxa"/>
          </w:tcPr>
          <w:p>
            <w:pPr>
              <w:pStyle w:val="TableParagraph"/>
              <w:spacing w:line="240" w:lineRule="auto" w:before="0"/>
              <w:ind w:left="0"/>
              <w:rPr>
                <w:sz w:val="24"/>
              </w:rPr>
            </w:pPr>
          </w:p>
        </w:tc>
        <w:tc>
          <w:tcPr>
            <w:tcW w:w="1997" w:type="dxa"/>
          </w:tcPr>
          <w:p>
            <w:pPr>
              <w:pStyle w:val="TableParagraph"/>
              <w:spacing w:line="240" w:lineRule="auto" w:before="0"/>
              <w:ind w:left="0"/>
              <w:rPr>
                <w:sz w:val="24"/>
              </w:rPr>
            </w:pPr>
          </w:p>
        </w:tc>
        <w:tc>
          <w:tcPr>
            <w:tcW w:w="2192" w:type="dxa"/>
          </w:tcPr>
          <w:p>
            <w:pPr>
              <w:pStyle w:val="TableParagraph"/>
              <w:spacing w:line="240" w:lineRule="auto" w:before="0"/>
              <w:ind w:right="100"/>
              <w:jc w:val="both"/>
              <w:rPr>
                <w:sz w:val="24"/>
              </w:rPr>
            </w:pPr>
            <w:r>
              <w:rPr>
                <w:sz w:val="24"/>
              </w:rPr>
              <w:t>negatif dan </w:t>
            </w:r>
            <w:r>
              <w:rPr>
                <w:sz w:val="24"/>
              </w:rPr>
              <w:t>tidak signifikan terhadap indeks JII. Secara simultan,</w:t>
            </w:r>
            <w:r>
              <w:rPr>
                <w:spacing w:val="-15"/>
                <w:sz w:val="24"/>
              </w:rPr>
              <w:t> </w:t>
            </w:r>
            <w:r>
              <w:rPr>
                <w:sz w:val="24"/>
              </w:rPr>
              <w:t>nilai</w:t>
            </w:r>
            <w:r>
              <w:rPr>
                <w:spacing w:val="-15"/>
                <w:sz w:val="24"/>
              </w:rPr>
              <w:t> </w:t>
            </w:r>
            <w:r>
              <w:rPr>
                <w:sz w:val="24"/>
              </w:rPr>
              <w:t>tukar, inflasi, suku bunga SBI, dan PDB </w:t>
            </w:r>
            <w:r>
              <w:rPr>
                <w:spacing w:val="-2"/>
                <w:sz w:val="24"/>
              </w:rPr>
              <w:t>berpengaruh</w:t>
            </w:r>
          </w:p>
          <w:p>
            <w:pPr>
              <w:pStyle w:val="TableParagraph"/>
              <w:spacing w:line="270" w:lineRule="atLeast" w:before="0"/>
              <w:ind w:right="100"/>
              <w:jc w:val="both"/>
              <w:rPr>
                <w:sz w:val="24"/>
              </w:rPr>
            </w:pPr>
            <w:r>
              <w:rPr>
                <w:sz w:val="24"/>
              </w:rPr>
              <w:t>terhadap </w:t>
            </w:r>
            <w:r>
              <w:rPr>
                <w:sz w:val="24"/>
              </w:rPr>
              <w:t>perubahan indeks JII</w:t>
            </w:r>
          </w:p>
        </w:tc>
      </w:tr>
      <w:tr>
        <w:trPr>
          <w:trHeight w:val="3312" w:hRule="atLeast"/>
        </w:trPr>
        <w:tc>
          <w:tcPr>
            <w:tcW w:w="569" w:type="dxa"/>
          </w:tcPr>
          <w:p>
            <w:pPr>
              <w:pStyle w:val="TableParagraph"/>
              <w:spacing w:line="275" w:lineRule="exact" w:before="0"/>
              <w:ind w:left="0" w:right="161"/>
              <w:jc w:val="center"/>
              <w:rPr>
                <w:sz w:val="24"/>
              </w:rPr>
            </w:pPr>
            <w:r>
              <w:rPr>
                <w:spacing w:val="-5"/>
                <w:sz w:val="24"/>
              </w:rPr>
              <w:t>9.</w:t>
            </w:r>
          </w:p>
        </w:tc>
        <w:tc>
          <w:tcPr>
            <w:tcW w:w="1412" w:type="dxa"/>
          </w:tcPr>
          <w:p>
            <w:pPr>
              <w:pStyle w:val="TableParagraph"/>
              <w:spacing w:line="240" w:lineRule="auto" w:before="0"/>
              <w:ind w:right="99"/>
              <w:jc w:val="both"/>
              <w:rPr>
                <w:sz w:val="24"/>
              </w:rPr>
            </w:pPr>
            <w:r>
              <w:rPr>
                <w:sz w:val="24"/>
              </w:rPr>
              <w:t>Arfandi </w:t>
            </w:r>
            <w:r>
              <w:rPr>
                <w:sz w:val="24"/>
              </w:rPr>
              <w:t>SN dan Santy Ery Rahayu </w:t>
            </w:r>
            <w:r>
              <w:rPr>
                <w:spacing w:val="-2"/>
                <w:sz w:val="24"/>
              </w:rPr>
              <w:t>(2022)</w:t>
            </w:r>
          </w:p>
        </w:tc>
        <w:tc>
          <w:tcPr>
            <w:tcW w:w="1997" w:type="dxa"/>
          </w:tcPr>
          <w:p>
            <w:pPr>
              <w:pStyle w:val="TableParagraph"/>
              <w:spacing w:line="240" w:lineRule="auto" w:before="0"/>
              <w:ind w:right="97"/>
              <w:jc w:val="both"/>
              <w:rPr>
                <w:sz w:val="24"/>
              </w:rPr>
            </w:pPr>
            <w:r>
              <w:rPr>
                <w:sz w:val="24"/>
              </w:rPr>
              <w:t>Pengaruh </w:t>
            </w:r>
            <w:r>
              <w:rPr>
                <w:sz w:val="24"/>
              </w:rPr>
              <w:t>Indeks Saham</w:t>
            </w:r>
            <w:r>
              <w:rPr>
                <w:spacing w:val="71"/>
                <w:sz w:val="24"/>
              </w:rPr>
              <w:t>   </w:t>
            </w:r>
            <w:r>
              <w:rPr>
                <w:spacing w:val="-2"/>
                <w:sz w:val="24"/>
              </w:rPr>
              <w:t>Syariah</w:t>
            </w:r>
          </w:p>
          <w:p>
            <w:pPr>
              <w:pStyle w:val="TableParagraph"/>
              <w:spacing w:line="240" w:lineRule="auto" w:before="0"/>
              <w:ind w:right="96"/>
              <w:jc w:val="both"/>
              <w:rPr>
                <w:sz w:val="24"/>
              </w:rPr>
            </w:pPr>
            <w:r>
              <w:rPr>
                <w:sz w:val="24"/>
              </w:rPr>
              <w:t>Jepang </w:t>
            </w:r>
            <w:r>
              <w:rPr>
                <w:sz w:val="24"/>
              </w:rPr>
              <w:t>(DJIJP) dan</w:t>
            </w:r>
            <w:r>
              <w:rPr>
                <w:spacing w:val="-8"/>
                <w:sz w:val="24"/>
              </w:rPr>
              <w:t> </w:t>
            </w:r>
            <w:r>
              <w:rPr>
                <w:sz w:val="24"/>
              </w:rPr>
              <w:t>Indeks</w:t>
            </w:r>
            <w:r>
              <w:rPr>
                <w:spacing w:val="-8"/>
                <w:sz w:val="24"/>
              </w:rPr>
              <w:t> </w:t>
            </w:r>
            <w:r>
              <w:rPr>
                <w:sz w:val="24"/>
              </w:rPr>
              <w:t>Saham Syariah Malaysia </w:t>
            </w:r>
            <w:r>
              <w:rPr>
                <w:spacing w:val="-2"/>
                <w:sz w:val="24"/>
              </w:rPr>
              <w:t>(DJMY25D)</w:t>
            </w:r>
          </w:p>
          <w:p>
            <w:pPr>
              <w:pStyle w:val="TableParagraph"/>
              <w:spacing w:line="240" w:lineRule="auto" w:before="0"/>
              <w:ind w:right="97"/>
              <w:jc w:val="both"/>
              <w:rPr>
                <w:sz w:val="24"/>
              </w:rPr>
            </w:pPr>
            <w:r>
              <w:rPr>
                <w:sz w:val="24"/>
              </w:rPr>
              <w:t>Terhadap </w:t>
            </w:r>
            <w:r>
              <w:rPr>
                <w:sz w:val="24"/>
              </w:rPr>
              <w:t>Indeks Saham Syariah Indonesia (ISSI)</w:t>
            </w:r>
          </w:p>
        </w:tc>
        <w:tc>
          <w:tcPr>
            <w:tcW w:w="1997" w:type="dxa"/>
          </w:tcPr>
          <w:p>
            <w:pPr>
              <w:pStyle w:val="TableParagraph"/>
              <w:tabs>
                <w:tab w:pos="1167" w:val="left" w:leader="none"/>
                <w:tab w:pos="1420" w:val="left" w:leader="none"/>
              </w:tabs>
              <w:spacing w:line="240" w:lineRule="auto" w:before="0"/>
              <w:ind w:right="97"/>
              <w:rPr>
                <w:sz w:val="24"/>
              </w:rPr>
            </w:pPr>
            <w:r>
              <w:rPr>
                <w:spacing w:val="-2"/>
                <w:sz w:val="24"/>
              </w:rPr>
              <w:t>Metode</w:t>
            </w:r>
            <w:r>
              <w:rPr>
                <w:sz w:val="24"/>
              </w:rPr>
              <w:tab/>
              <w:tab/>
            </w:r>
            <w:r>
              <w:rPr>
                <w:spacing w:val="-4"/>
                <w:sz w:val="24"/>
              </w:rPr>
              <w:t>yang </w:t>
            </w:r>
            <w:r>
              <w:rPr>
                <w:sz w:val="24"/>
              </w:rPr>
              <w:t>digunakan</w:t>
            </w:r>
            <w:r>
              <w:rPr>
                <w:spacing w:val="80"/>
                <w:sz w:val="24"/>
              </w:rPr>
              <w:t> </w:t>
            </w:r>
            <w:r>
              <w:rPr>
                <w:sz w:val="24"/>
              </w:rPr>
              <w:t>dalam penelitian</w:t>
            </w:r>
            <w:r>
              <w:rPr>
                <w:spacing w:val="-15"/>
                <w:sz w:val="24"/>
              </w:rPr>
              <w:t> </w:t>
            </w:r>
            <w:r>
              <w:rPr>
                <w:sz w:val="24"/>
              </w:rPr>
              <w:t>ini</w:t>
            </w:r>
            <w:r>
              <w:rPr>
                <w:spacing w:val="-15"/>
                <w:sz w:val="24"/>
              </w:rPr>
              <w:t> </w:t>
            </w:r>
            <w:r>
              <w:rPr>
                <w:sz w:val="24"/>
              </w:rPr>
              <w:t>ialah kuantitatif</w:t>
            </w:r>
            <w:r>
              <w:rPr>
                <w:spacing w:val="5"/>
                <w:sz w:val="24"/>
              </w:rPr>
              <w:t> </w:t>
            </w:r>
            <w:r>
              <w:rPr>
                <w:sz w:val="24"/>
              </w:rPr>
              <w:t>dengan </w:t>
            </w:r>
            <w:r>
              <w:rPr>
                <w:spacing w:val="-2"/>
                <w:sz w:val="24"/>
              </w:rPr>
              <w:t>menggunakan teknik</w:t>
            </w:r>
            <w:r>
              <w:rPr>
                <w:sz w:val="24"/>
              </w:rPr>
              <w:tab/>
            </w:r>
            <w:r>
              <w:rPr>
                <w:spacing w:val="-2"/>
                <w:sz w:val="24"/>
              </w:rPr>
              <w:t>analisis</w:t>
            </w:r>
          </w:p>
          <w:p>
            <w:pPr>
              <w:pStyle w:val="TableParagraph"/>
              <w:tabs>
                <w:tab w:pos="1338" w:val="left" w:leader="none"/>
              </w:tabs>
              <w:spacing w:line="240" w:lineRule="auto" w:before="0"/>
              <w:ind w:right="98"/>
              <w:rPr>
                <w:sz w:val="24"/>
              </w:rPr>
            </w:pPr>
            <w:r>
              <w:rPr>
                <w:spacing w:val="-2"/>
                <w:sz w:val="24"/>
              </w:rPr>
              <w:t>regresi</w:t>
            </w:r>
            <w:r>
              <w:rPr>
                <w:sz w:val="24"/>
              </w:rPr>
              <w:tab/>
            </w:r>
            <w:r>
              <w:rPr>
                <w:spacing w:val="-2"/>
                <w:sz w:val="24"/>
              </w:rPr>
              <w:t>linear berganda</w:t>
            </w:r>
          </w:p>
        </w:tc>
        <w:tc>
          <w:tcPr>
            <w:tcW w:w="2192" w:type="dxa"/>
          </w:tcPr>
          <w:p>
            <w:pPr>
              <w:pStyle w:val="TableParagraph"/>
              <w:tabs>
                <w:tab w:pos="1378" w:val="left" w:leader="none"/>
              </w:tabs>
              <w:spacing w:line="240" w:lineRule="auto" w:before="0"/>
              <w:ind w:right="99"/>
              <w:jc w:val="both"/>
              <w:rPr>
                <w:sz w:val="24"/>
              </w:rPr>
            </w:pPr>
            <w:r>
              <w:rPr>
                <w:spacing w:val="-2"/>
                <w:sz w:val="24"/>
              </w:rPr>
              <w:t>Secara</w:t>
            </w:r>
            <w:r>
              <w:rPr>
                <w:sz w:val="24"/>
              </w:rPr>
              <w:tab/>
            </w:r>
            <w:r>
              <w:rPr>
                <w:spacing w:val="-2"/>
                <w:sz w:val="24"/>
              </w:rPr>
              <w:t>parsial, </w:t>
            </w:r>
            <w:r>
              <w:rPr>
                <w:sz w:val="24"/>
              </w:rPr>
              <w:t>variabel DJIJP dan </w:t>
            </w:r>
            <w:r>
              <w:rPr>
                <w:spacing w:val="-2"/>
                <w:sz w:val="24"/>
              </w:rPr>
              <w:t>DJMY25D</w:t>
            </w:r>
          </w:p>
          <w:p>
            <w:pPr>
              <w:pStyle w:val="TableParagraph"/>
              <w:tabs>
                <w:tab w:pos="1119" w:val="left" w:leader="none"/>
                <w:tab w:pos="1594" w:val="left" w:leader="none"/>
              </w:tabs>
              <w:spacing w:line="240" w:lineRule="auto" w:before="0"/>
              <w:ind w:right="99"/>
              <w:jc w:val="both"/>
              <w:rPr>
                <w:sz w:val="24"/>
              </w:rPr>
            </w:pPr>
            <w:r>
              <w:rPr>
                <w:sz w:val="24"/>
              </w:rPr>
              <w:t>berpengaruh </w:t>
            </w:r>
            <w:r>
              <w:rPr>
                <w:sz w:val="24"/>
              </w:rPr>
              <w:t>positif </w:t>
            </w:r>
            <w:r>
              <w:rPr>
                <w:spacing w:val="-4"/>
                <w:sz w:val="24"/>
              </w:rPr>
              <w:t>dan</w:t>
            </w:r>
            <w:r>
              <w:rPr>
                <w:sz w:val="24"/>
              </w:rPr>
              <w:tab/>
            </w:r>
            <w:r>
              <w:rPr>
                <w:spacing w:val="-2"/>
                <w:sz w:val="24"/>
              </w:rPr>
              <w:t>signifikan terhadap</w:t>
            </w:r>
            <w:r>
              <w:rPr>
                <w:sz w:val="24"/>
              </w:rPr>
              <w:tab/>
              <w:tab/>
            </w:r>
            <w:r>
              <w:rPr>
                <w:spacing w:val="-4"/>
                <w:sz w:val="24"/>
              </w:rPr>
              <w:t>ISSI.</w:t>
            </w:r>
          </w:p>
          <w:p>
            <w:pPr>
              <w:pStyle w:val="TableParagraph"/>
              <w:spacing w:line="240" w:lineRule="auto" w:before="0"/>
              <w:jc w:val="both"/>
              <w:rPr>
                <w:sz w:val="24"/>
              </w:rPr>
            </w:pPr>
            <w:r>
              <w:rPr>
                <w:sz w:val="24"/>
              </w:rPr>
              <w:t>Adapun</w:t>
            </w:r>
            <w:r>
              <w:rPr>
                <w:spacing w:val="56"/>
                <w:w w:val="150"/>
                <w:sz w:val="24"/>
              </w:rPr>
              <w:t>   </w:t>
            </w:r>
            <w:r>
              <w:rPr>
                <w:spacing w:val="-2"/>
                <w:sz w:val="24"/>
              </w:rPr>
              <w:t>variabel</w:t>
            </w:r>
          </w:p>
          <w:p>
            <w:pPr>
              <w:pStyle w:val="TableParagraph"/>
              <w:tabs>
                <w:tab w:pos="1731" w:val="left" w:leader="none"/>
              </w:tabs>
              <w:spacing w:line="240" w:lineRule="auto" w:before="0"/>
              <w:rPr>
                <w:sz w:val="24"/>
              </w:rPr>
            </w:pPr>
            <w:r>
              <w:rPr>
                <w:spacing w:val="-2"/>
                <w:sz w:val="24"/>
              </w:rPr>
              <w:t>DJIJP</w:t>
            </w:r>
            <w:r>
              <w:rPr>
                <w:sz w:val="24"/>
              </w:rPr>
              <w:tab/>
            </w:r>
            <w:r>
              <w:rPr>
                <w:spacing w:val="-5"/>
                <w:sz w:val="24"/>
              </w:rPr>
              <w:t>dan</w:t>
            </w:r>
          </w:p>
          <w:p>
            <w:pPr>
              <w:pStyle w:val="TableParagraph"/>
              <w:tabs>
                <w:tab w:pos="1479" w:val="left" w:leader="none"/>
              </w:tabs>
              <w:spacing w:line="270" w:lineRule="atLeast" w:before="0"/>
              <w:ind w:right="99"/>
              <w:rPr>
                <w:sz w:val="24"/>
              </w:rPr>
            </w:pPr>
            <w:r>
              <w:rPr>
                <w:spacing w:val="-2"/>
                <w:sz w:val="24"/>
              </w:rPr>
              <w:t>DJMY25D</w:t>
            </w:r>
            <w:r>
              <w:rPr>
                <w:sz w:val="24"/>
              </w:rPr>
              <w:tab/>
            </w:r>
            <w:r>
              <w:rPr>
                <w:spacing w:val="-2"/>
                <w:sz w:val="24"/>
              </w:rPr>
              <w:t>secara bersama-sama berpengaruh </w:t>
            </w:r>
            <w:r>
              <w:rPr>
                <w:sz w:val="24"/>
              </w:rPr>
              <w:t>terhadap ISSI</w:t>
            </w:r>
          </w:p>
        </w:tc>
      </w:tr>
      <w:tr>
        <w:trPr>
          <w:trHeight w:val="6900" w:hRule="atLeast"/>
        </w:trPr>
        <w:tc>
          <w:tcPr>
            <w:tcW w:w="569" w:type="dxa"/>
          </w:tcPr>
          <w:p>
            <w:pPr>
              <w:pStyle w:val="TableParagraph"/>
              <w:spacing w:line="275" w:lineRule="exact" w:before="0"/>
              <w:ind w:left="0" w:right="41"/>
              <w:jc w:val="center"/>
              <w:rPr>
                <w:sz w:val="24"/>
              </w:rPr>
            </w:pPr>
            <w:r>
              <w:rPr>
                <w:spacing w:val="-5"/>
                <w:sz w:val="24"/>
              </w:rPr>
              <w:t>10.</w:t>
            </w:r>
          </w:p>
        </w:tc>
        <w:tc>
          <w:tcPr>
            <w:tcW w:w="1412" w:type="dxa"/>
          </w:tcPr>
          <w:p>
            <w:pPr>
              <w:pStyle w:val="TableParagraph"/>
              <w:spacing w:line="240" w:lineRule="auto" w:before="0"/>
              <w:rPr>
                <w:sz w:val="24"/>
              </w:rPr>
            </w:pPr>
            <w:r>
              <w:rPr>
                <w:spacing w:val="-4"/>
                <w:sz w:val="24"/>
              </w:rPr>
              <w:t>Handy </w:t>
            </w:r>
            <w:r>
              <w:rPr>
                <w:spacing w:val="-2"/>
                <w:sz w:val="24"/>
              </w:rPr>
              <w:t>Nugraha, Lukman </w:t>
            </w:r>
            <w:r>
              <w:rPr>
                <w:sz w:val="24"/>
              </w:rPr>
              <w:t>Hakim,</w:t>
            </w:r>
            <w:r>
              <w:rPr>
                <w:spacing w:val="36"/>
                <w:sz w:val="24"/>
              </w:rPr>
              <w:t> </w:t>
            </w:r>
            <w:r>
              <w:rPr>
                <w:sz w:val="24"/>
              </w:rPr>
              <w:t>dan </w:t>
            </w:r>
            <w:r>
              <w:rPr>
                <w:spacing w:val="-4"/>
                <w:sz w:val="24"/>
              </w:rPr>
              <w:t>Dwi </w:t>
            </w:r>
            <w:r>
              <w:rPr>
                <w:spacing w:val="-2"/>
                <w:sz w:val="24"/>
              </w:rPr>
              <w:t>Prasetyani (2022)</w:t>
            </w:r>
          </w:p>
        </w:tc>
        <w:tc>
          <w:tcPr>
            <w:tcW w:w="1997" w:type="dxa"/>
          </w:tcPr>
          <w:p>
            <w:pPr>
              <w:pStyle w:val="TableParagraph"/>
              <w:spacing w:line="240" w:lineRule="auto" w:before="0"/>
              <w:rPr>
                <w:sz w:val="24"/>
              </w:rPr>
            </w:pPr>
            <w:r>
              <w:rPr>
                <w:sz w:val="24"/>
              </w:rPr>
              <w:t>Analisis</w:t>
            </w:r>
            <w:r>
              <w:rPr>
                <w:spacing w:val="-3"/>
                <w:sz w:val="24"/>
              </w:rPr>
              <w:t> </w:t>
            </w:r>
            <w:r>
              <w:rPr>
                <w:sz w:val="24"/>
              </w:rPr>
              <w:t>Pengaruh Indeks</w:t>
            </w:r>
            <w:r>
              <w:rPr>
                <w:spacing w:val="6"/>
                <w:sz w:val="24"/>
              </w:rPr>
              <w:t> </w:t>
            </w:r>
            <w:r>
              <w:rPr>
                <w:sz w:val="24"/>
              </w:rPr>
              <w:t>Keyakinan Konsumen,</w:t>
            </w:r>
            <w:r>
              <w:rPr>
                <w:spacing w:val="80"/>
                <w:sz w:val="24"/>
              </w:rPr>
              <w:t> </w:t>
            </w:r>
            <w:r>
              <w:rPr>
                <w:sz w:val="24"/>
              </w:rPr>
              <w:t>Suku Bunga,</w:t>
            </w:r>
            <w:r>
              <w:rPr>
                <w:spacing w:val="15"/>
                <w:sz w:val="24"/>
              </w:rPr>
              <w:t> </w:t>
            </w:r>
            <w:r>
              <w:rPr>
                <w:sz w:val="24"/>
              </w:rPr>
              <w:t>dan</w:t>
            </w:r>
            <w:r>
              <w:rPr>
                <w:spacing w:val="17"/>
                <w:sz w:val="24"/>
              </w:rPr>
              <w:t> </w:t>
            </w:r>
            <w:r>
              <w:rPr>
                <w:sz w:val="24"/>
              </w:rPr>
              <w:t>IHSG Terhadap</w:t>
            </w:r>
            <w:r>
              <w:rPr>
                <w:spacing w:val="33"/>
                <w:sz w:val="24"/>
              </w:rPr>
              <w:t> </w:t>
            </w:r>
            <w:r>
              <w:rPr>
                <w:sz w:val="24"/>
              </w:rPr>
              <w:t>Industri </w:t>
            </w:r>
            <w:r>
              <w:rPr>
                <w:spacing w:val="-2"/>
                <w:sz w:val="24"/>
              </w:rPr>
              <w:t>Reksadana Indonesia</w:t>
            </w:r>
          </w:p>
        </w:tc>
        <w:tc>
          <w:tcPr>
            <w:tcW w:w="1997" w:type="dxa"/>
          </w:tcPr>
          <w:p>
            <w:pPr>
              <w:pStyle w:val="TableParagraph"/>
              <w:spacing w:line="240" w:lineRule="auto" w:before="0"/>
              <w:ind w:right="96"/>
              <w:jc w:val="both"/>
              <w:rPr>
                <w:sz w:val="24"/>
              </w:rPr>
            </w:pPr>
            <w:r>
              <w:rPr>
                <w:sz w:val="24"/>
              </w:rPr>
              <w:t>Metode </w:t>
            </w:r>
            <w:r>
              <w:rPr>
                <w:sz w:val="24"/>
              </w:rPr>
              <w:t>penelitian yang digunakan ialah kuantitatif. Adapun teknik analisisnya yaitu </w:t>
            </w:r>
            <w:r>
              <w:rPr>
                <w:i/>
                <w:sz w:val="24"/>
              </w:rPr>
              <w:t>Vector Error Correction Model </w:t>
            </w:r>
            <w:r>
              <w:rPr>
                <w:spacing w:val="-2"/>
                <w:sz w:val="24"/>
              </w:rPr>
              <w:t>(VECM)</w:t>
            </w:r>
          </w:p>
        </w:tc>
        <w:tc>
          <w:tcPr>
            <w:tcW w:w="2192" w:type="dxa"/>
          </w:tcPr>
          <w:p>
            <w:pPr>
              <w:pStyle w:val="TableParagraph"/>
              <w:tabs>
                <w:tab w:pos="1439" w:val="left" w:leader="none"/>
              </w:tabs>
              <w:spacing w:line="275" w:lineRule="exact" w:before="0"/>
              <w:rPr>
                <w:sz w:val="24"/>
              </w:rPr>
            </w:pPr>
            <w:r>
              <w:rPr>
                <w:spacing w:val="-4"/>
                <w:sz w:val="24"/>
              </w:rPr>
              <w:t>Dalam</w:t>
            </w:r>
            <w:r>
              <w:rPr>
                <w:sz w:val="24"/>
              </w:rPr>
              <w:tab/>
            </w:r>
            <w:r>
              <w:rPr>
                <w:spacing w:val="-2"/>
                <w:sz w:val="24"/>
              </w:rPr>
              <w:t>jangka</w:t>
            </w:r>
          </w:p>
          <w:p>
            <w:pPr>
              <w:pStyle w:val="TableParagraph"/>
              <w:tabs>
                <w:tab w:pos="853" w:val="left" w:leader="none"/>
                <w:tab w:pos="1040" w:val="left" w:leader="none"/>
                <w:tab w:pos="1119" w:val="left" w:leader="none"/>
                <w:tab w:pos="1259" w:val="left" w:leader="none"/>
                <w:tab w:pos="1441" w:val="left" w:leader="none"/>
                <w:tab w:pos="1573" w:val="left" w:leader="none"/>
                <w:tab w:pos="1731" w:val="left" w:leader="none"/>
              </w:tabs>
              <w:spacing w:line="240" w:lineRule="auto" w:before="0"/>
              <w:ind w:right="97"/>
              <w:rPr>
                <w:sz w:val="24"/>
              </w:rPr>
            </w:pPr>
            <w:r>
              <w:rPr>
                <w:spacing w:val="-2"/>
                <w:sz w:val="24"/>
              </w:rPr>
              <w:t>pendek,</w:t>
            </w:r>
            <w:r>
              <w:rPr>
                <w:sz w:val="24"/>
              </w:rPr>
              <w:tab/>
              <w:tab/>
              <w:tab/>
              <w:tab/>
              <w:tab/>
            </w:r>
            <w:r>
              <w:rPr>
                <w:spacing w:val="-2"/>
                <w:sz w:val="24"/>
              </w:rPr>
              <w:t>Indeks Keyakinan Konsumen </w:t>
            </w:r>
            <w:r>
              <w:rPr>
                <w:sz w:val="24"/>
              </w:rPr>
              <w:t>berpengaruh</w:t>
            </w:r>
            <w:r>
              <w:rPr>
                <w:spacing w:val="12"/>
                <w:sz w:val="24"/>
              </w:rPr>
              <w:t> </w:t>
            </w:r>
            <w:r>
              <w:rPr>
                <w:sz w:val="24"/>
              </w:rPr>
              <w:t>negatif </w:t>
            </w:r>
            <w:r>
              <w:rPr>
                <w:spacing w:val="-4"/>
                <w:sz w:val="24"/>
              </w:rPr>
              <w:t>dan</w:t>
            </w:r>
            <w:r>
              <w:rPr>
                <w:sz w:val="24"/>
              </w:rPr>
              <w:tab/>
              <w:tab/>
              <w:tab/>
            </w:r>
            <w:r>
              <w:rPr>
                <w:spacing w:val="-2"/>
                <w:sz w:val="24"/>
              </w:rPr>
              <w:t>signifikan terhadap</w:t>
            </w:r>
            <w:r>
              <w:rPr>
                <w:sz w:val="24"/>
              </w:rPr>
              <w:tab/>
              <w:tab/>
              <w:tab/>
              <w:tab/>
              <w:tab/>
            </w:r>
            <w:r>
              <w:rPr>
                <w:spacing w:val="-4"/>
                <w:sz w:val="24"/>
              </w:rPr>
              <w:t>NAB </w:t>
            </w:r>
            <w:r>
              <w:rPr>
                <w:spacing w:val="-2"/>
                <w:sz w:val="24"/>
              </w:rPr>
              <w:t>Reksadana, </w:t>
            </w:r>
            <w:r>
              <w:rPr>
                <w:sz w:val="24"/>
              </w:rPr>
              <w:t>sedangkan</w:t>
            </w:r>
            <w:r>
              <w:rPr>
                <w:spacing w:val="80"/>
                <w:sz w:val="24"/>
              </w:rPr>
              <w:t> </w:t>
            </w:r>
            <w:r>
              <w:rPr>
                <w:sz w:val="24"/>
              </w:rPr>
              <w:t>variabel </w:t>
            </w:r>
            <w:r>
              <w:rPr>
                <w:spacing w:val="-4"/>
                <w:sz w:val="24"/>
              </w:rPr>
              <w:t>suku</w:t>
            </w:r>
            <w:r>
              <w:rPr>
                <w:sz w:val="24"/>
              </w:rPr>
              <w:tab/>
            </w:r>
            <w:r>
              <w:rPr>
                <w:spacing w:val="-2"/>
                <w:sz w:val="24"/>
              </w:rPr>
              <w:t>bunga</w:t>
            </w:r>
            <w:r>
              <w:rPr>
                <w:sz w:val="24"/>
              </w:rPr>
              <w:tab/>
              <w:tab/>
              <w:tab/>
            </w:r>
            <w:r>
              <w:rPr>
                <w:spacing w:val="-4"/>
                <w:sz w:val="24"/>
              </w:rPr>
              <w:t>dan IHSG</w:t>
            </w:r>
            <w:r>
              <w:rPr>
                <w:sz w:val="24"/>
              </w:rPr>
              <w:tab/>
              <w:tab/>
              <w:tab/>
              <w:tab/>
              <w:tab/>
              <w:tab/>
            </w:r>
            <w:r>
              <w:rPr>
                <w:spacing w:val="-35"/>
                <w:sz w:val="24"/>
              </w:rPr>
              <w:t> </w:t>
            </w:r>
            <w:r>
              <w:rPr>
                <w:spacing w:val="-2"/>
                <w:sz w:val="24"/>
              </w:rPr>
              <w:t>tidak berpengaruh signifikan.</w:t>
            </w:r>
            <w:r>
              <w:rPr>
                <w:sz w:val="24"/>
              </w:rPr>
              <w:tab/>
              <w:tab/>
              <w:tab/>
            </w:r>
            <w:r>
              <w:rPr>
                <w:spacing w:val="-4"/>
                <w:sz w:val="24"/>
              </w:rPr>
              <w:t>Dalam </w:t>
            </w:r>
            <w:r>
              <w:rPr>
                <w:spacing w:val="-2"/>
                <w:sz w:val="24"/>
              </w:rPr>
              <w:t>jangka</w:t>
            </w:r>
            <w:r>
              <w:rPr>
                <w:sz w:val="24"/>
              </w:rPr>
              <w:tab/>
              <w:tab/>
              <w:tab/>
              <w:tab/>
            </w:r>
            <w:r>
              <w:rPr>
                <w:spacing w:val="-2"/>
                <w:sz w:val="24"/>
              </w:rPr>
              <w:t>panjang, Indeks</w:t>
            </w:r>
            <w:r>
              <w:rPr>
                <w:sz w:val="24"/>
              </w:rPr>
              <w:tab/>
              <w:tab/>
            </w:r>
            <w:r>
              <w:rPr>
                <w:spacing w:val="-2"/>
                <w:sz w:val="24"/>
              </w:rPr>
              <w:t>Keyakinan Konsumen </w:t>
            </w:r>
            <w:r>
              <w:rPr>
                <w:sz w:val="24"/>
              </w:rPr>
              <w:t>berpengaruh</w:t>
            </w:r>
            <w:r>
              <w:rPr>
                <w:spacing w:val="12"/>
                <w:sz w:val="24"/>
              </w:rPr>
              <w:t> </w:t>
            </w:r>
            <w:r>
              <w:rPr>
                <w:sz w:val="24"/>
              </w:rPr>
              <w:t>negatif dan</w:t>
            </w:r>
            <w:r>
              <w:rPr>
                <w:spacing w:val="-3"/>
                <w:sz w:val="24"/>
              </w:rPr>
              <w:t> </w:t>
            </w:r>
            <w:r>
              <w:rPr>
                <w:sz w:val="24"/>
              </w:rPr>
              <w:t>signifikan,</w:t>
            </w:r>
            <w:r>
              <w:rPr>
                <w:spacing w:val="-1"/>
                <w:sz w:val="24"/>
              </w:rPr>
              <w:t> </w:t>
            </w:r>
            <w:r>
              <w:rPr>
                <w:sz w:val="24"/>
              </w:rPr>
              <w:t>suku bunga</w:t>
            </w:r>
            <w:r>
              <w:rPr>
                <w:spacing w:val="80"/>
                <w:sz w:val="24"/>
              </w:rPr>
              <w:t> </w:t>
            </w:r>
            <w:r>
              <w:rPr>
                <w:sz w:val="24"/>
              </w:rPr>
              <w:t>berpengaruh </w:t>
            </w:r>
            <w:r>
              <w:rPr>
                <w:spacing w:val="-2"/>
                <w:sz w:val="24"/>
              </w:rPr>
              <w:t>positif</w:t>
            </w:r>
            <w:r>
              <w:rPr>
                <w:sz w:val="24"/>
              </w:rPr>
              <w:tab/>
              <w:tab/>
              <w:tab/>
              <w:tab/>
              <w:tab/>
              <w:tab/>
              <w:tab/>
            </w:r>
            <w:r>
              <w:rPr>
                <w:spacing w:val="-56"/>
                <w:sz w:val="24"/>
              </w:rPr>
              <w:t> </w:t>
            </w:r>
            <w:r>
              <w:rPr>
                <w:spacing w:val="-4"/>
                <w:sz w:val="24"/>
              </w:rPr>
              <w:t>dan</w:t>
            </w:r>
          </w:p>
          <w:p>
            <w:pPr>
              <w:pStyle w:val="TableParagraph"/>
              <w:tabs>
                <w:tab w:pos="882" w:val="left" w:leader="none"/>
                <w:tab w:pos="1520" w:val="left" w:leader="none"/>
              </w:tabs>
              <w:spacing w:line="270" w:lineRule="atLeast" w:before="0"/>
              <w:ind w:right="99"/>
              <w:rPr>
                <w:sz w:val="24"/>
              </w:rPr>
            </w:pPr>
            <w:r>
              <w:rPr>
                <w:spacing w:val="-2"/>
                <w:sz w:val="24"/>
              </w:rPr>
              <w:t>signifikan, sedangkan</w:t>
            </w:r>
            <w:r>
              <w:rPr>
                <w:sz w:val="24"/>
              </w:rPr>
              <w:tab/>
            </w:r>
            <w:r>
              <w:rPr>
                <w:spacing w:val="-4"/>
                <w:sz w:val="24"/>
              </w:rPr>
              <w:t>IHSG </w:t>
            </w:r>
            <w:r>
              <w:rPr>
                <w:spacing w:val="-2"/>
                <w:sz w:val="24"/>
              </w:rPr>
              <w:t>tidak</w:t>
            </w:r>
            <w:r>
              <w:rPr>
                <w:sz w:val="24"/>
              </w:rPr>
              <w:tab/>
            </w:r>
            <w:r>
              <w:rPr>
                <w:spacing w:val="-2"/>
                <w:sz w:val="24"/>
              </w:rPr>
              <w:t>berpengaruh </w:t>
            </w:r>
            <w:r>
              <w:rPr>
                <w:sz w:val="24"/>
              </w:rPr>
              <w:t>signifikan</w:t>
            </w:r>
            <w:r>
              <w:rPr>
                <w:spacing w:val="80"/>
                <w:sz w:val="24"/>
              </w:rPr>
              <w:t> </w:t>
            </w:r>
            <w:r>
              <w:rPr>
                <w:sz w:val="24"/>
              </w:rPr>
              <w:t>terhadap NAB Reksadana</w:t>
            </w:r>
          </w:p>
        </w:tc>
      </w:tr>
      <w:tr>
        <w:trPr>
          <w:trHeight w:val="1103" w:hRule="atLeast"/>
        </w:trPr>
        <w:tc>
          <w:tcPr>
            <w:tcW w:w="569" w:type="dxa"/>
          </w:tcPr>
          <w:p>
            <w:pPr>
              <w:pStyle w:val="TableParagraph"/>
              <w:spacing w:line="275" w:lineRule="exact" w:before="0"/>
              <w:ind w:left="0" w:right="41"/>
              <w:jc w:val="center"/>
              <w:rPr>
                <w:sz w:val="24"/>
              </w:rPr>
            </w:pPr>
            <w:r>
              <w:rPr>
                <w:spacing w:val="-5"/>
                <w:sz w:val="24"/>
              </w:rPr>
              <w:t>11.</w:t>
            </w:r>
          </w:p>
        </w:tc>
        <w:tc>
          <w:tcPr>
            <w:tcW w:w="1412" w:type="dxa"/>
          </w:tcPr>
          <w:p>
            <w:pPr>
              <w:pStyle w:val="TableParagraph"/>
              <w:spacing w:line="276" w:lineRule="exact" w:before="0"/>
              <w:ind w:right="379"/>
              <w:rPr>
                <w:sz w:val="24"/>
              </w:rPr>
            </w:pPr>
            <w:r>
              <w:rPr>
                <w:spacing w:val="-2"/>
                <w:sz w:val="24"/>
              </w:rPr>
              <w:t>Rizki Fadhel, Fajri Adrianto,</w:t>
            </w:r>
          </w:p>
        </w:tc>
        <w:tc>
          <w:tcPr>
            <w:tcW w:w="1997" w:type="dxa"/>
          </w:tcPr>
          <w:p>
            <w:pPr>
              <w:pStyle w:val="TableParagraph"/>
              <w:spacing w:line="240" w:lineRule="auto" w:before="0"/>
              <w:ind w:right="95"/>
              <w:jc w:val="both"/>
              <w:rPr>
                <w:sz w:val="24"/>
              </w:rPr>
            </w:pPr>
            <w:r>
              <w:rPr>
                <w:sz w:val="24"/>
              </w:rPr>
              <w:t>Analisis</w:t>
            </w:r>
            <w:r>
              <w:rPr>
                <w:spacing w:val="-9"/>
                <w:sz w:val="24"/>
              </w:rPr>
              <w:t> </w:t>
            </w:r>
            <w:r>
              <w:rPr>
                <w:sz w:val="24"/>
              </w:rPr>
              <w:t>Sentimen Investor</w:t>
            </w:r>
            <w:r>
              <w:rPr>
                <w:spacing w:val="-8"/>
                <w:sz w:val="24"/>
              </w:rPr>
              <w:t> </w:t>
            </w:r>
            <w:r>
              <w:rPr>
                <w:sz w:val="24"/>
              </w:rPr>
              <w:t>Terhadap Kinerja</w:t>
            </w:r>
            <w:r>
              <w:rPr>
                <w:spacing w:val="75"/>
                <w:sz w:val="24"/>
              </w:rPr>
              <w:t>   </w:t>
            </w:r>
            <w:r>
              <w:rPr>
                <w:spacing w:val="-2"/>
                <w:sz w:val="24"/>
              </w:rPr>
              <w:t>Saham</w:t>
            </w:r>
          </w:p>
          <w:p>
            <w:pPr>
              <w:pStyle w:val="TableParagraph"/>
              <w:tabs>
                <w:tab w:pos="1700" w:val="left" w:leader="none"/>
              </w:tabs>
              <w:spacing w:before="0"/>
              <w:jc w:val="both"/>
              <w:rPr>
                <w:sz w:val="24"/>
              </w:rPr>
            </w:pPr>
            <w:r>
              <w:rPr>
                <w:spacing w:val="-2"/>
                <w:sz w:val="24"/>
              </w:rPr>
              <w:t>Syariah</w:t>
            </w:r>
            <w:r>
              <w:rPr>
                <w:sz w:val="24"/>
              </w:rPr>
              <w:tab/>
            </w:r>
            <w:r>
              <w:rPr>
                <w:spacing w:val="-5"/>
                <w:sz w:val="24"/>
              </w:rPr>
              <w:t>di</w:t>
            </w:r>
          </w:p>
        </w:tc>
        <w:tc>
          <w:tcPr>
            <w:tcW w:w="1997" w:type="dxa"/>
          </w:tcPr>
          <w:p>
            <w:pPr>
              <w:pStyle w:val="TableParagraph"/>
              <w:spacing w:line="276" w:lineRule="exact" w:before="0"/>
              <w:ind w:right="97"/>
              <w:jc w:val="both"/>
              <w:rPr>
                <w:sz w:val="24"/>
              </w:rPr>
            </w:pPr>
            <w:r>
              <w:rPr>
                <w:sz w:val="24"/>
              </w:rPr>
              <w:t>Metode </w:t>
            </w:r>
            <w:r>
              <w:rPr>
                <w:sz w:val="24"/>
              </w:rPr>
              <w:t>yang digunakan dalam penelitian</w:t>
            </w:r>
            <w:r>
              <w:rPr>
                <w:spacing w:val="-15"/>
                <w:sz w:val="24"/>
              </w:rPr>
              <w:t> </w:t>
            </w:r>
            <w:r>
              <w:rPr>
                <w:sz w:val="24"/>
              </w:rPr>
              <w:t>ini</w:t>
            </w:r>
            <w:r>
              <w:rPr>
                <w:spacing w:val="-15"/>
                <w:sz w:val="24"/>
              </w:rPr>
              <w:t> </w:t>
            </w:r>
            <w:r>
              <w:rPr>
                <w:sz w:val="24"/>
              </w:rPr>
              <w:t>ialah kuantitatif</w:t>
            </w:r>
            <w:r>
              <w:rPr>
                <w:spacing w:val="59"/>
                <w:w w:val="150"/>
                <w:sz w:val="24"/>
              </w:rPr>
              <w:t>   </w:t>
            </w:r>
            <w:r>
              <w:rPr>
                <w:spacing w:val="-5"/>
                <w:sz w:val="24"/>
              </w:rPr>
              <w:t>dan</w:t>
            </w:r>
          </w:p>
        </w:tc>
        <w:tc>
          <w:tcPr>
            <w:tcW w:w="2192" w:type="dxa"/>
          </w:tcPr>
          <w:p>
            <w:pPr>
              <w:pStyle w:val="TableParagraph"/>
              <w:tabs>
                <w:tab w:pos="1387" w:val="left" w:leader="none"/>
              </w:tabs>
              <w:spacing w:line="276" w:lineRule="exact" w:before="0"/>
              <w:ind w:right="98"/>
              <w:jc w:val="both"/>
              <w:rPr>
                <w:i/>
                <w:sz w:val="24"/>
              </w:rPr>
            </w:pPr>
            <w:r>
              <w:rPr>
                <w:sz w:val="24"/>
              </w:rPr>
              <w:t>Penelusuran </w:t>
            </w:r>
            <w:r>
              <w:rPr>
                <w:sz w:val="24"/>
              </w:rPr>
              <w:t>kata ‘</w:t>
            </w:r>
            <w:r>
              <w:rPr>
                <w:i/>
                <w:sz w:val="24"/>
              </w:rPr>
              <w:t>covid</w:t>
            </w:r>
            <w:r>
              <w:rPr>
                <w:sz w:val="24"/>
              </w:rPr>
              <w:t>’</w:t>
            </w:r>
            <w:r>
              <w:rPr>
                <w:spacing w:val="-12"/>
                <w:sz w:val="24"/>
              </w:rPr>
              <w:t> </w:t>
            </w:r>
            <w:r>
              <w:rPr>
                <w:sz w:val="24"/>
              </w:rPr>
              <w:t>pada</w:t>
            </w:r>
            <w:r>
              <w:rPr>
                <w:spacing w:val="-12"/>
                <w:sz w:val="24"/>
              </w:rPr>
              <w:t> </w:t>
            </w:r>
            <w:r>
              <w:rPr>
                <w:sz w:val="24"/>
              </w:rPr>
              <w:t>Google </w:t>
            </w:r>
            <w:r>
              <w:rPr>
                <w:spacing w:val="-2"/>
                <w:sz w:val="24"/>
              </w:rPr>
              <w:t>Trend,</w:t>
            </w:r>
            <w:r>
              <w:rPr>
                <w:sz w:val="24"/>
              </w:rPr>
              <w:tab/>
            </w:r>
            <w:r>
              <w:rPr>
                <w:i/>
                <w:spacing w:val="-2"/>
                <w:sz w:val="24"/>
              </w:rPr>
              <w:t>volume trading,</w:t>
            </w:r>
          </w:p>
        </w:tc>
      </w:tr>
    </w:tbl>
    <w:p>
      <w:pPr>
        <w:pStyle w:val="TableParagraph"/>
        <w:spacing w:after="0" w:line="276" w:lineRule="exact"/>
        <w:jc w:val="both"/>
        <w:rPr>
          <w:i/>
          <w:sz w:val="24"/>
        </w:rPr>
        <w:sectPr>
          <w:type w:val="continuous"/>
          <w:pgSz w:w="11910" w:h="16840"/>
          <w:pgMar w:header="0" w:footer="1000" w:top="1400" w:bottom="1200" w:left="1417" w:right="1275"/>
        </w:sectPr>
      </w:pPr>
    </w:p>
    <w:tbl>
      <w:tblPr>
        <w:tblW w:w="0" w:type="auto"/>
        <w:jc w:val="left"/>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1412"/>
        <w:gridCol w:w="1997"/>
        <w:gridCol w:w="1997"/>
        <w:gridCol w:w="2192"/>
      </w:tblGrid>
      <w:tr>
        <w:trPr>
          <w:trHeight w:val="4692" w:hRule="atLeast"/>
        </w:trPr>
        <w:tc>
          <w:tcPr>
            <w:tcW w:w="569" w:type="dxa"/>
          </w:tcPr>
          <w:p>
            <w:pPr>
              <w:pStyle w:val="TableParagraph"/>
              <w:spacing w:line="240" w:lineRule="auto" w:before="0"/>
              <w:ind w:left="0"/>
              <w:rPr>
                <w:sz w:val="24"/>
              </w:rPr>
            </w:pPr>
          </w:p>
        </w:tc>
        <w:tc>
          <w:tcPr>
            <w:tcW w:w="1412" w:type="dxa"/>
          </w:tcPr>
          <w:p>
            <w:pPr>
              <w:pStyle w:val="TableParagraph"/>
              <w:spacing w:line="240" w:lineRule="auto" w:before="0"/>
              <w:ind w:right="315"/>
              <w:rPr>
                <w:sz w:val="24"/>
              </w:rPr>
            </w:pPr>
            <w:r>
              <w:rPr>
                <w:spacing w:val="-2"/>
                <w:sz w:val="24"/>
              </w:rPr>
              <w:t>Mohamad </w:t>
            </w:r>
            <w:r>
              <w:rPr>
                <w:spacing w:val="-4"/>
                <w:sz w:val="24"/>
              </w:rPr>
              <w:t>Fany </w:t>
            </w:r>
            <w:r>
              <w:rPr>
                <w:spacing w:val="-2"/>
                <w:sz w:val="24"/>
              </w:rPr>
              <w:t>Alfarisi (2022)</w:t>
            </w:r>
          </w:p>
        </w:tc>
        <w:tc>
          <w:tcPr>
            <w:tcW w:w="1997" w:type="dxa"/>
          </w:tcPr>
          <w:p>
            <w:pPr>
              <w:pStyle w:val="TableParagraph"/>
              <w:spacing w:line="240" w:lineRule="auto" w:before="0"/>
              <w:ind w:right="96"/>
              <w:jc w:val="both"/>
              <w:rPr>
                <w:sz w:val="24"/>
              </w:rPr>
            </w:pPr>
            <w:r>
              <w:rPr>
                <w:sz w:val="24"/>
              </w:rPr>
              <w:t>Indonesia </w:t>
            </w:r>
            <w:r>
              <w:rPr>
                <w:sz w:val="24"/>
              </w:rPr>
              <w:t>Selama Masa Pandemi </w:t>
            </w:r>
            <w:r>
              <w:rPr>
                <w:spacing w:val="-2"/>
                <w:sz w:val="24"/>
              </w:rPr>
              <w:t>Covid-19</w:t>
            </w:r>
          </w:p>
        </w:tc>
        <w:tc>
          <w:tcPr>
            <w:tcW w:w="1997" w:type="dxa"/>
          </w:tcPr>
          <w:p>
            <w:pPr>
              <w:pStyle w:val="TableParagraph"/>
              <w:spacing w:line="240" w:lineRule="auto" w:before="0"/>
              <w:ind w:right="96"/>
              <w:jc w:val="both"/>
              <w:rPr>
                <w:sz w:val="24"/>
              </w:rPr>
            </w:pPr>
            <w:r>
              <w:rPr>
                <w:sz w:val="24"/>
              </w:rPr>
              <w:t>memakai </w:t>
            </w:r>
            <w:r>
              <w:rPr>
                <w:sz w:val="24"/>
              </w:rPr>
              <w:t>teknik analisis regresi linear berganda</w:t>
            </w:r>
          </w:p>
        </w:tc>
        <w:tc>
          <w:tcPr>
            <w:tcW w:w="2192" w:type="dxa"/>
          </w:tcPr>
          <w:p>
            <w:pPr>
              <w:pStyle w:val="TableParagraph"/>
              <w:tabs>
                <w:tab w:pos="1119" w:val="left" w:leader="none"/>
              </w:tabs>
              <w:spacing w:line="240" w:lineRule="auto" w:before="0"/>
              <w:ind w:right="99"/>
              <w:jc w:val="both"/>
              <w:rPr>
                <w:i/>
                <w:sz w:val="24"/>
              </w:rPr>
            </w:pPr>
            <w:r>
              <w:rPr>
                <w:sz w:val="24"/>
              </w:rPr>
              <w:t>berpengaruh </w:t>
            </w:r>
            <w:r>
              <w:rPr>
                <w:sz w:val="24"/>
              </w:rPr>
              <w:t>positif </w:t>
            </w:r>
            <w:r>
              <w:rPr>
                <w:spacing w:val="-4"/>
                <w:sz w:val="24"/>
              </w:rPr>
              <w:t>dan</w:t>
            </w:r>
            <w:r>
              <w:rPr>
                <w:sz w:val="24"/>
              </w:rPr>
              <w:tab/>
            </w:r>
            <w:r>
              <w:rPr>
                <w:spacing w:val="-2"/>
                <w:sz w:val="24"/>
              </w:rPr>
              <w:t>signifikan </w:t>
            </w:r>
            <w:r>
              <w:rPr>
                <w:sz w:val="24"/>
              </w:rPr>
              <w:t>terhadap</w:t>
            </w:r>
            <w:r>
              <w:rPr>
                <w:spacing w:val="76"/>
                <w:sz w:val="24"/>
              </w:rPr>
              <w:t>    </w:t>
            </w:r>
            <w:r>
              <w:rPr>
                <w:i/>
                <w:spacing w:val="-2"/>
                <w:sz w:val="24"/>
              </w:rPr>
              <w:t>return</w:t>
            </w:r>
          </w:p>
          <w:p>
            <w:pPr>
              <w:pStyle w:val="TableParagraph"/>
              <w:tabs>
                <w:tab w:pos="1119" w:val="left" w:leader="none"/>
                <w:tab w:pos="1326" w:val="left" w:leader="none"/>
                <w:tab w:pos="1480" w:val="left" w:leader="none"/>
                <w:tab w:pos="1558" w:val="left" w:leader="none"/>
              </w:tabs>
              <w:spacing w:line="240" w:lineRule="auto" w:before="0"/>
              <w:ind w:right="99"/>
              <w:rPr>
                <w:i/>
                <w:sz w:val="24"/>
              </w:rPr>
            </w:pPr>
            <w:r>
              <w:rPr>
                <w:spacing w:val="-2"/>
                <w:sz w:val="24"/>
              </w:rPr>
              <w:t>saham</w:t>
            </w:r>
            <w:r>
              <w:rPr>
                <w:sz w:val="24"/>
              </w:rPr>
              <w:tab/>
              <w:tab/>
            </w:r>
            <w:r>
              <w:rPr>
                <w:spacing w:val="-2"/>
                <w:sz w:val="24"/>
              </w:rPr>
              <w:t>syariah, sedangkan</w:t>
            </w:r>
            <w:r>
              <w:rPr>
                <w:spacing w:val="80"/>
                <w:sz w:val="24"/>
              </w:rPr>
              <w:t> </w:t>
            </w:r>
            <w:r>
              <w:rPr>
                <w:i/>
                <w:spacing w:val="-2"/>
                <w:sz w:val="24"/>
              </w:rPr>
              <w:t>consumer</w:t>
            </w:r>
            <w:r>
              <w:rPr>
                <w:i/>
                <w:spacing w:val="40"/>
                <w:sz w:val="24"/>
              </w:rPr>
              <w:t> </w:t>
            </w:r>
            <w:r>
              <w:rPr>
                <w:i/>
                <w:spacing w:val="-2"/>
                <w:sz w:val="24"/>
              </w:rPr>
              <w:t>confidence</w:t>
            </w:r>
            <w:r>
              <w:rPr>
                <w:i/>
                <w:sz w:val="24"/>
              </w:rPr>
              <w:tab/>
              <w:tab/>
              <w:tab/>
            </w:r>
            <w:r>
              <w:rPr>
                <w:i/>
                <w:spacing w:val="-4"/>
                <w:sz w:val="24"/>
              </w:rPr>
              <w:t>index </w:t>
            </w:r>
            <w:r>
              <w:rPr>
                <w:sz w:val="24"/>
              </w:rPr>
              <w:t>berpengaruh</w:t>
            </w:r>
            <w:r>
              <w:rPr>
                <w:spacing w:val="10"/>
                <w:sz w:val="24"/>
              </w:rPr>
              <w:t> </w:t>
            </w:r>
            <w:r>
              <w:rPr>
                <w:sz w:val="24"/>
              </w:rPr>
              <w:t>negatif </w:t>
            </w:r>
            <w:r>
              <w:rPr>
                <w:spacing w:val="-4"/>
                <w:sz w:val="24"/>
              </w:rPr>
              <w:t>dan</w:t>
            </w:r>
            <w:r>
              <w:rPr>
                <w:sz w:val="24"/>
              </w:rPr>
              <w:tab/>
            </w:r>
            <w:r>
              <w:rPr>
                <w:spacing w:val="-2"/>
                <w:sz w:val="24"/>
              </w:rPr>
              <w:t>signifikan terhadap</w:t>
            </w:r>
            <w:r>
              <w:rPr>
                <w:sz w:val="24"/>
              </w:rPr>
              <w:tab/>
              <w:tab/>
              <w:tab/>
            </w:r>
            <w:r>
              <w:rPr>
                <w:i/>
                <w:spacing w:val="-2"/>
                <w:sz w:val="24"/>
              </w:rPr>
              <w:t>return</w:t>
            </w:r>
          </w:p>
          <w:p>
            <w:pPr>
              <w:pStyle w:val="TableParagraph"/>
              <w:tabs>
                <w:tab w:pos="1400" w:val="left" w:leader="none"/>
              </w:tabs>
              <w:spacing w:line="240" w:lineRule="auto" w:before="0"/>
              <w:ind w:right="99"/>
              <w:jc w:val="both"/>
              <w:rPr>
                <w:i/>
                <w:sz w:val="24"/>
              </w:rPr>
            </w:pPr>
            <w:r>
              <w:rPr>
                <w:sz w:val="24"/>
              </w:rPr>
              <w:t>saham </w:t>
            </w:r>
            <w:r>
              <w:rPr>
                <w:sz w:val="24"/>
              </w:rPr>
              <w:t>syariah. Adapun</w:t>
            </w:r>
            <w:r>
              <w:rPr>
                <w:spacing w:val="-15"/>
                <w:sz w:val="24"/>
              </w:rPr>
              <w:t> </w:t>
            </w:r>
            <w:r>
              <w:rPr>
                <w:sz w:val="24"/>
              </w:rPr>
              <w:t>penelusuran </w:t>
            </w:r>
            <w:r>
              <w:rPr>
                <w:spacing w:val="-4"/>
                <w:sz w:val="24"/>
              </w:rPr>
              <w:t>kata</w:t>
            </w:r>
            <w:r>
              <w:rPr>
                <w:sz w:val="24"/>
              </w:rPr>
              <w:tab/>
            </w:r>
            <w:r>
              <w:rPr>
                <w:spacing w:val="-2"/>
                <w:sz w:val="24"/>
              </w:rPr>
              <w:t>‘krisis’ </w:t>
            </w:r>
            <w:r>
              <w:rPr>
                <w:sz w:val="24"/>
              </w:rPr>
              <w:t>berpengaruh negatif dan tidak signifikan terhadap</w:t>
            </w:r>
            <w:r>
              <w:rPr>
                <w:spacing w:val="76"/>
                <w:sz w:val="24"/>
              </w:rPr>
              <w:t>    </w:t>
            </w:r>
            <w:r>
              <w:rPr>
                <w:i/>
                <w:spacing w:val="-2"/>
                <w:sz w:val="24"/>
              </w:rPr>
              <w:t>return</w:t>
            </w:r>
          </w:p>
          <w:p>
            <w:pPr>
              <w:pStyle w:val="TableParagraph"/>
              <w:spacing w:before="0"/>
              <w:jc w:val="both"/>
              <w:rPr>
                <w:sz w:val="24"/>
              </w:rPr>
            </w:pPr>
            <w:r>
              <w:rPr>
                <w:sz w:val="24"/>
              </w:rPr>
              <w:t>saham</w:t>
            </w:r>
            <w:r>
              <w:rPr>
                <w:spacing w:val="-4"/>
                <w:sz w:val="24"/>
              </w:rPr>
              <w:t> </w:t>
            </w:r>
            <w:r>
              <w:rPr>
                <w:spacing w:val="-2"/>
                <w:sz w:val="24"/>
              </w:rPr>
              <w:t>syariah</w:t>
            </w:r>
          </w:p>
        </w:tc>
      </w:tr>
      <w:tr>
        <w:trPr>
          <w:trHeight w:val="6072" w:hRule="atLeast"/>
        </w:trPr>
        <w:tc>
          <w:tcPr>
            <w:tcW w:w="569" w:type="dxa"/>
          </w:tcPr>
          <w:p>
            <w:pPr>
              <w:pStyle w:val="TableParagraph"/>
              <w:spacing w:line="275" w:lineRule="exact" w:before="0"/>
              <w:ind w:left="0" w:right="41"/>
              <w:jc w:val="center"/>
              <w:rPr>
                <w:sz w:val="24"/>
              </w:rPr>
            </w:pPr>
            <w:r>
              <w:rPr>
                <w:spacing w:val="-5"/>
                <w:sz w:val="24"/>
              </w:rPr>
              <w:t>12.</w:t>
            </w:r>
          </w:p>
        </w:tc>
        <w:tc>
          <w:tcPr>
            <w:tcW w:w="1412" w:type="dxa"/>
          </w:tcPr>
          <w:p>
            <w:pPr>
              <w:pStyle w:val="TableParagraph"/>
              <w:tabs>
                <w:tab w:pos="966" w:val="left" w:leader="none"/>
              </w:tabs>
              <w:spacing w:line="240" w:lineRule="auto" w:before="0"/>
              <w:ind w:right="99"/>
              <w:rPr>
                <w:sz w:val="24"/>
              </w:rPr>
            </w:pPr>
            <w:r>
              <w:rPr>
                <w:spacing w:val="-2"/>
                <w:sz w:val="24"/>
              </w:rPr>
              <w:t>Taufik Akbar,</w:t>
            </w:r>
            <w:r>
              <w:rPr>
                <w:sz w:val="24"/>
              </w:rPr>
              <w:tab/>
            </w:r>
            <w:r>
              <w:rPr>
                <w:spacing w:val="-4"/>
                <w:sz w:val="24"/>
              </w:rPr>
              <w:t>Edi </w:t>
            </w:r>
            <w:r>
              <w:rPr>
                <w:spacing w:val="-2"/>
                <w:sz w:val="24"/>
              </w:rPr>
              <w:t>Murdiyanto, Anita Sumelvia </w:t>
            </w:r>
            <w:r>
              <w:rPr>
                <w:spacing w:val="-4"/>
                <w:sz w:val="24"/>
              </w:rPr>
              <w:t>Dewi</w:t>
            </w:r>
            <w:r>
              <w:rPr>
                <w:spacing w:val="80"/>
                <w:sz w:val="24"/>
              </w:rPr>
              <w:t> </w:t>
            </w:r>
            <w:r>
              <w:rPr>
                <w:spacing w:val="-2"/>
                <w:sz w:val="24"/>
              </w:rPr>
              <w:t>(2022)</w:t>
            </w:r>
          </w:p>
        </w:tc>
        <w:tc>
          <w:tcPr>
            <w:tcW w:w="1997" w:type="dxa"/>
          </w:tcPr>
          <w:p>
            <w:pPr>
              <w:pStyle w:val="TableParagraph"/>
              <w:tabs>
                <w:tab w:pos="848" w:val="left" w:leader="none"/>
                <w:tab w:pos="1287" w:val="left" w:leader="none"/>
              </w:tabs>
              <w:spacing w:line="240" w:lineRule="auto" w:before="0"/>
              <w:ind w:right="93"/>
              <w:rPr>
                <w:sz w:val="24"/>
              </w:rPr>
            </w:pPr>
            <w:r>
              <w:rPr>
                <w:spacing w:val="-2"/>
                <w:sz w:val="24"/>
              </w:rPr>
              <w:t>Sentimen</w:t>
            </w:r>
            <w:r>
              <w:rPr>
                <w:sz w:val="24"/>
              </w:rPr>
              <w:tab/>
            </w:r>
            <w:r>
              <w:rPr>
                <w:spacing w:val="-59"/>
                <w:sz w:val="24"/>
              </w:rPr>
              <w:t> </w:t>
            </w:r>
            <w:r>
              <w:rPr>
                <w:spacing w:val="-2"/>
                <w:sz w:val="24"/>
              </w:rPr>
              <w:t>Bisnis </w:t>
            </w:r>
            <w:r>
              <w:rPr>
                <w:spacing w:val="-4"/>
                <w:sz w:val="24"/>
              </w:rPr>
              <w:t>dan</w:t>
            </w:r>
            <w:r>
              <w:rPr>
                <w:sz w:val="24"/>
              </w:rPr>
              <w:tab/>
            </w:r>
            <w:r>
              <w:rPr>
                <w:spacing w:val="-2"/>
                <w:sz w:val="24"/>
              </w:rPr>
              <w:t>Konsumen </w:t>
            </w:r>
            <w:r>
              <w:rPr>
                <w:spacing w:val="-4"/>
                <w:sz w:val="24"/>
              </w:rPr>
              <w:t>Dalam</w:t>
            </w:r>
            <w:r>
              <w:rPr>
                <w:sz w:val="24"/>
              </w:rPr>
              <w:tab/>
              <w:tab/>
            </w:r>
            <w:r>
              <w:rPr>
                <w:spacing w:val="-2"/>
                <w:sz w:val="24"/>
              </w:rPr>
              <w:t>Siklus Ekonomi Indonesia</w:t>
            </w:r>
          </w:p>
        </w:tc>
        <w:tc>
          <w:tcPr>
            <w:tcW w:w="1997" w:type="dxa"/>
          </w:tcPr>
          <w:p>
            <w:pPr>
              <w:pStyle w:val="TableParagraph"/>
              <w:tabs>
                <w:tab w:pos="1340" w:val="left" w:leader="none"/>
                <w:tab w:pos="1635" w:val="left" w:leader="none"/>
              </w:tabs>
              <w:spacing w:line="240" w:lineRule="auto" w:before="0"/>
              <w:ind w:right="96"/>
              <w:rPr>
                <w:sz w:val="24"/>
              </w:rPr>
            </w:pPr>
            <w:r>
              <w:rPr>
                <w:spacing w:val="-2"/>
                <w:sz w:val="24"/>
              </w:rPr>
              <w:t>Penelitian</w:t>
            </w:r>
            <w:r>
              <w:rPr>
                <w:sz w:val="24"/>
              </w:rPr>
              <w:tab/>
              <w:tab/>
            </w:r>
            <w:r>
              <w:rPr>
                <w:spacing w:val="-4"/>
                <w:sz w:val="24"/>
              </w:rPr>
              <w:t>ini </w:t>
            </w:r>
            <w:r>
              <w:rPr>
                <w:spacing w:val="-2"/>
                <w:sz w:val="24"/>
              </w:rPr>
              <w:t>menggunakan </w:t>
            </w:r>
            <w:r>
              <w:rPr>
                <w:sz w:val="24"/>
              </w:rPr>
              <w:t>metode</w:t>
            </w:r>
            <w:r>
              <w:rPr>
                <w:spacing w:val="-4"/>
                <w:sz w:val="24"/>
              </w:rPr>
              <w:t> </w:t>
            </w:r>
            <w:r>
              <w:rPr>
                <w:sz w:val="24"/>
              </w:rPr>
              <w:t>kuantitatif dan</w:t>
            </w:r>
            <w:r>
              <w:rPr>
                <w:spacing w:val="-15"/>
                <w:sz w:val="24"/>
              </w:rPr>
              <w:t> </w:t>
            </w:r>
            <w:r>
              <w:rPr>
                <w:sz w:val="24"/>
              </w:rPr>
              <w:t>teknik</w:t>
            </w:r>
            <w:r>
              <w:rPr>
                <w:spacing w:val="-15"/>
                <w:sz w:val="24"/>
              </w:rPr>
              <w:t> </w:t>
            </w:r>
            <w:r>
              <w:rPr>
                <w:sz w:val="24"/>
              </w:rPr>
              <w:t>analisis </w:t>
            </w:r>
            <w:r>
              <w:rPr>
                <w:i/>
                <w:spacing w:val="-2"/>
                <w:sz w:val="24"/>
              </w:rPr>
              <w:t>Vector</w:t>
            </w:r>
            <w:r>
              <w:rPr>
                <w:i/>
                <w:sz w:val="24"/>
              </w:rPr>
              <w:tab/>
            </w:r>
            <w:r>
              <w:rPr>
                <w:i/>
                <w:spacing w:val="-2"/>
                <w:sz w:val="24"/>
              </w:rPr>
              <w:t>Error </w:t>
            </w:r>
            <w:r>
              <w:rPr>
                <w:i/>
                <w:sz w:val="24"/>
              </w:rPr>
              <w:t>Correction</w:t>
            </w:r>
            <w:r>
              <w:rPr>
                <w:i/>
                <w:spacing w:val="17"/>
                <w:sz w:val="24"/>
              </w:rPr>
              <w:t> </w:t>
            </w:r>
            <w:r>
              <w:rPr>
                <w:i/>
                <w:sz w:val="24"/>
              </w:rPr>
              <w:t>Model </w:t>
            </w:r>
            <w:r>
              <w:rPr>
                <w:spacing w:val="-2"/>
                <w:sz w:val="24"/>
              </w:rPr>
              <w:t>(VECM)</w:t>
            </w:r>
          </w:p>
        </w:tc>
        <w:tc>
          <w:tcPr>
            <w:tcW w:w="2192" w:type="dxa"/>
          </w:tcPr>
          <w:p>
            <w:pPr>
              <w:pStyle w:val="TableParagraph"/>
              <w:tabs>
                <w:tab w:pos="1652" w:val="left" w:leader="none"/>
              </w:tabs>
              <w:spacing w:line="240" w:lineRule="auto" w:before="0"/>
              <w:ind w:right="97"/>
              <w:jc w:val="both"/>
              <w:rPr>
                <w:sz w:val="24"/>
              </w:rPr>
            </w:pPr>
            <w:r>
              <w:rPr>
                <w:sz w:val="24"/>
              </w:rPr>
              <w:t>Hanya</w:t>
            </w:r>
            <w:r>
              <w:rPr>
                <w:spacing w:val="-5"/>
                <w:sz w:val="24"/>
              </w:rPr>
              <w:t> </w:t>
            </w:r>
            <w:r>
              <w:rPr>
                <w:sz w:val="24"/>
              </w:rPr>
              <w:t>variabel</w:t>
            </w:r>
            <w:r>
              <w:rPr>
                <w:spacing w:val="-4"/>
                <w:sz w:val="24"/>
              </w:rPr>
              <w:t> </w:t>
            </w:r>
            <w:r>
              <w:rPr>
                <w:sz w:val="24"/>
              </w:rPr>
              <w:t>PMI yang memberikan pengaruh signifikan terhadap CCI dalam jangka panjang. Lalu dalam jangka </w:t>
            </w:r>
            <w:r>
              <w:rPr>
                <w:spacing w:val="-2"/>
                <w:sz w:val="24"/>
              </w:rPr>
              <w:t>pendek,</w:t>
            </w:r>
            <w:r>
              <w:rPr>
                <w:sz w:val="24"/>
              </w:rPr>
              <w:tab/>
            </w:r>
            <w:r>
              <w:rPr>
                <w:spacing w:val="-5"/>
                <w:sz w:val="24"/>
              </w:rPr>
              <w:t>PMI</w:t>
            </w:r>
          </w:p>
          <w:p>
            <w:pPr>
              <w:pStyle w:val="TableParagraph"/>
              <w:spacing w:line="240" w:lineRule="auto" w:before="0"/>
              <w:jc w:val="both"/>
              <w:rPr>
                <w:sz w:val="24"/>
              </w:rPr>
            </w:pPr>
            <w:r>
              <w:rPr>
                <w:sz w:val="24"/>
              </w:rPr>
              <w:t>mempunyai</w:t>
            </w:r>
            <w:r>
              <w:rPr>
                <w:spacing w:val="52"/>
                <w:w w:val="150"/>
                <w:sz w:val="24"/>
              </w:rPr>
              <w:t>   </w:t>
            </w:r>
            <w:r>
              <w:rPr>
                <w:spacing w:val="-4"/>
                <w:sz w:val="24"/>
              </w:rPr>
              <w:t>pola</w:t>
            </w:r>
          </w:p>
          <w:p>
            <w:pPr>
              <w:pStyle w:val="TableParagraph"/>
              <w:spacing w:line="240" w:lineRule="auto" w:before="0"/>
              <w:ind w:right="96"/>
              <w:jc w:val="both"/>
              <w:rPr>
                <w:sz w:val="24"/>
              </w:rPr>
            </w:pPr>
            <w:r>
              <w:rPr>
                <w:sz w:val="24"/>
              </w:rPr>
              <w:t>hubungan </w:t>
            </w:r>
            <w:r>
              <w:rPr>
                <w:sz w:val="24"/>
              </w:rPr>
              <w:t>positif dan memberikan pengaruh signifikan terhadap CCI dan IHSG</w:t>
            </w:r>
            <w:r>
              <w:rPr>
                <w:spacing w:val="-15"/>
                <w:sz w:val="24"/>
              </w:rPr>
              <w:t> </w:t>
            </w:r>
            <w:r>
              <w:rPr>
                <w:sz w:val="24"/>
              </w:rPr>
              <w:t>pada</w:t>
            </w:r>
            <w:r>
              <w:rPr>
                <w:spacing w:val="-15"/>
                <w:sz w:val="24"/>
              </w:rPr>
              <w:t> </w:t>
            </w:r>
            <w:r>
              <w:rPr>
                <w:sz w:val="24"/>
              </w:rPr>
              <w:t>lag</w:t>
            </w:r>
            <w:r>
              <w:rPr>
                <w:spacing w:val="-15"/>
                <w:sz w:val="24"/>
              </w:rPr>
              <w:t> </w:t>
            </w:r>
            <w:r>
              <w:rPr>
                <w:sz w:val="24"/>
              </w:rPr>
              <w:t>1</w:t>
            </w:r>
            <w:r>
              <w:rPr>
                <w:spacing w:val="-15"/>
                <w:sz w:val="24"/>
              </w:rPr>
              <w:t> </w:t>
            </w:r>
            <w:r>
              <w:rPr>
                <w:sz w:val="24"/>
              </w:rPr>
              <w:t>dan 2,</w:t>
            </w:r>
            <w:r>
              <w:rPr>
                <w:spacing w:val="-8"/>
                <w:sz w:val="24"/>
              </w:rPr>
              <w:t> </w:t>
            </w:r>
            <w:r>
              <w:rPr>
                <w:sz w:val="24"/>
              </w:rPr>
              <w:t>serta</w:t>
            </w:r>
            <w:r>
              <w:rPr>
                <w:spacing w:val="-7"/>
                <w:sz w:val="24"/>
              </w:rPr>
              <w:t> </w:t>
            </w:r>
            <w:r>
              <w:rPr>
                <w:sz w:val="24"/>
              </w:rPr>
              <w:t>memberikan pengaruh signifikan terhadap IHK pada lag</w:t>
            </w:r>
            <w:r>
              <w:rPr>
                <w:spacing w:val="66"/>
                <w:w w:val="150"/>
                <w:sz w:val="24"/>
              </w:rPr>
              <w:t>   </w:t>
            </w:r>
            <w:r>
              <w:rPr>
                <w:sz w:val="24"/>
              </w:rPr>
              <w:t>2.</w:t>
            </w:r>
            <w:r>
              <w:rPr>
                <w:spacing w:val="67"/>
                <w:w w:val="150"/>
                <w:sz w:val="24"/>
              </w:rPr>
              <w:t>   </w:t>
            </w:r>
            <w:r>
              <w:rPr>
                <w:spacing w:val="-4"/>
                <w:sz w:val="24"/>
              </w:rPr>
              <w:t>IHSG</w:t>
            </w:r>
          </w:p>
          <w:p>
            <w:pPr>
              <w:pStyle w:val="TableParagraph"/>
              <w:spacing w:line="240" w:lineRule="auto" w:before="0"/>
              <w:jc w:val="both"/>
              <w:rPr>
                <w:sz w:val="24"/>
              </w:rPr>
            </w:pPr>
            <w:r>
              <w:rPr>
                <w:sz w:val="24"/>
              </w:rPr>
              <w:t>mempunyai</w:t>
            </w:r>
            <w:r>
              <w:rPr>
                <w:spacing w:val="52"/>
                <w:w w:val="150"/>
                <w:sz w:val="24"/>
              </w:rPr>
              <w:t>   </w:t>
            </w:r>
            <w:r>
              <w:rPr>
                <w:spacing w:val="-4"/>
                <w:sz w:val="24"/>
              </w:rPr>
              <w:t>pola</w:t>
            </w:r>
          </w:p>
          <w:p>
            <w:pPr>
              <w:pStyle w:val="TableParagraph"/>
              <w:tabs>
                <w:tab w:pos="1119" w:val="left" w:leader="none"/>
              </w:tabs>
              <w:spacing w:line="270" w:lineRule="atLeast" w:before="0"/>
              <w:ind w:right="97"/>
              <w:jc w:val="both"/>
              <w:rPr>
                <w:sz w:val="24"/>
              </w:rPr>
            </w:pPr>
            <w:r>
              <w:rPr>
                <w:sz w:val="24"/>
              </w:rPr>
              <w:t>hubungan </w:t>
            </w:r>
            <w:r>
              <w:rPr>
                <w:sz w:val="24"/>
              </w:rPr>
              <w:t>positif</w:t>
            </w:r>
            <w:r>
              <w:rPr>
                <w:spacing w:val="40"/>
                <w:sz w:val="24"/>
              </w:rPr>
              <w:t> </w:t>
            </w:r>
            <w:r>
              <w:rPr>
                <w:spacing w:val="-4"/>
                <w:sz w:val="24"/>
              </w:rPr>
              <w:t>dan</w:t>
            </w:r>
            <w:r>
              <w:rPr>
                <w:sz w:val="24"/>
              </w:rPr>
              <w:tab/>
            </w:r>
            <w:r>
              <w:rPr>
                <w:spacing w:val="-2"/>
                <w:sz w:val="24"/>
              </w:rPr>
              <w:t>signifikan </w:t>
            </w:r>
            <w:r>
              <w:rPr>
                <w:sz w:val="24"/>
              </w:rPr>
              <w:t>terhadap CCI dan IHK pada lag 2</w:t>
            </w:r>
          </w:p>
        </w:tc>
      </w:tr>
      <w:tr>
        <w:trPr>
          <w:trHeight w:val="3036" w:hRule="atLeast"/>
        </w:trPr>
        <w:tc>
          <w:tcPr>
            <w:tcW w:w="569" w:type="dxa"/>
          </w:tcPr>
          <w:p>
            <w:pPr>
              <w:pStyle w:val="TableParagraph"/>
              <w:spacing w:line="275" w:lineRule="exact" w:before="0"/>
              <w:ind w:left="0" w:right="41"/>
              <w:jc w:val="center"/>
              <w:rPr>
                <w:sz w:val="24"/>
              </w:rPr>
            </w:pPr>
            <w:r>
              <w:rPr>
                <w:spacing w:val="-5"/>
                <w:sz w:val="24"/>
              </w:rPr>
              <w:t>13.</w:t>
            </w:r>
          </w:p>
        </w:tc>
        <w:tc>
          <w:tcPr>
            <w:tcW w:w="1412" w:type="dxa"/>
          </w:tcPr>
          <w:p>
            <w:pPr>
              <w:pStyle w:val="TableParagraph"/>
              <w:tabs>
                <w:tab w:pos="968" w:val="left" w:leader="none"/>
              </w:tabs>
              <w:spacing w:line="240" w:lineRule="auto" w:before="0"/>
              <w:ind w:right="97"/>
              <w:rPr>
                <w:sz w:val="24"/>
              </w:rPr>
            </w:pPr>
            <w:r>
              <w:rPr>
                <w:spacing w:val="-2"/>
                <w:sz w:val="24"/>
              </w:rPr>
              <w:t>Putri Fariska, Nugraha, </w:t>
            </w:r>
            <w:r>
              <w:rPr>
                <w:spacing w:val="-4"/>
                <w:sz w:val="24"/>
              </w:rPr>
              <w:t>dan </w:t>
            </w:r>
            <w:r>
              <w:rPr>
                <w:spacing w:val="-2"/>
                <w:sz w:val="24"/>
              </w:rPr>
              <w:t>Mochamad Malik</w:t>
            </w:r>
            <w:r>
              <w:rPr>
                <w:sz w:val="24"/>
              </w:rPr>
              <w:tab/>
            </w:r>
            <w:r>
              <w:rPr>
                <w:spacing w:val="-6"/>
                <w:sz w:val="24"/>
              </w:rPr>
              <w:t>AR </w:t>
            </w:r>
            <w:r>
              <w:rPr>
                <w:spacing w:val="-2"/>
                <w:sz w:val="24"/>
              </w:rPr>
              <w:t>(2020)</w:t>
            </w:r>
          </w:p>
        </w:tc>
        <w:tc>
          <w:tcPr>
            <w:tcW w:w="1997" w:type="dxa"/>
          </w:tcPr>
          <w:p>
            <w:pPr>
              <w:pStyle w:val="TableParagraph"/>
              <w:tabs>
                <w:tab w:pos="850" w:val="left" w:leader="none"/>
                <w:tab w:pos="1419" w:val="left" w:leader="none"/>
                <w:tab w:pos="1702" w:val="left" w:leader="none"/>
              </w:tabs>
              <w:spacing w:line="240" w:lineRule="auto" w:before="0"/>
              <w:ind w:right="95"/>
              <w:rPr>
                <w:sz w:val="24"/>
              </w:rPr>
            </w:pPr>
            <w:r>
              <w:rPr>
                <w:spacing w:val="-2"/>
                <w:sz w:val="24"/>
              </w:rPr>
              <w:t>Hubungan Sentimen</w:t>
            </w:r>
            <w:r>
              <w:rPr>
                <w:spacing w:val="40"/>
                <w:sz w:val="24"/>
              </w:rPr>
              <w:t> </w:t>
            </w:r>
            <w:r>
              <w:rPr>
                <w:sz w:val="24"/>
              </w:rPr>
              <w:t>Investor,</w:t>
            </w:r>
            <w:r>
              <w:rPr>
                <w:spacing w:val="65"/>
                <w:sz w:val="24"/>
              </w:rPr>
              <w:t> </w:t>
            </w:r>
            <w:r>
              <w:rPr>
                <w:sz w:val="24"/>
              </w:rPr>
              <w:t>Volume Perdagangan</w:t>
            </w:r>
            <w:r>
              <w:rPr>
                <w:spacing w:val="80"/>
                <w:sz w:val="24"/>
              </w:rPr>
              <w:t> </w:t>
            </w:r>
            <w:r>
              <w:rPr>
                <w:sz w:val="24"/>
              </w:rPr>
              <w:t>dan </w:t>
            </w:r>
            <w:r>
              <w:rPr>
                <w:spacing w:val="-2"/>
                <w:sz w:val="24"/>
              </w:rPr>
              <w:t>Kebijakan Moneter</w:t>
            </w:r>
            <w:r>
              <w:rPr>
                <w:sz w:val="24"/>
              </w:rPr>
              <w:tab/>
            </w:r>
            <w:r>
              <w:rPr>
                <w:spacing w:val="-4"/>
                <w:sz w:val="24"/>
              </w:rPr>
              <w:t>Pada </w:t>
            </w:r>
            <w:r>
              <w:rPr>
                <w:spacing w:val="-2"/>
                <w:sz w:val="24"/>
              </w:rPr>
              <w:t>Perkembangan Pasar</w:t>
            </w:r>
            <w:r>
              <w:rPr>
                <w:sz w:val="24"/>
              </w:rPr>
              <w:tab/>
            </w:r>
            <w:r>
              <w:rPr>
                <w:spacing w:val="-2"/>
                <w:sz w:val="24"/>
              </w:rPr>
              <w:t>Modal</w:t>
            </w:r>
            <w:r>
              <w:rPr>
                <w:sz w:val="24"/>
              </w:rPr>
              <w:tab/>
            </w:r>
            <w:r>
              <w:rPr>
                <w:spacing w:val="-6"/>
                <w:sz w:val="24"/>
              </w:rPr>
              <w:t>di </w:t>
            </w:r>
            <w:r>
              <w:rPr>
                <w:spacing w:val="-2"/>
                <w:sz w:val="24"/>
              </w:rPr>
              <w:t>Indonesia</w:t>
            </w:r>
          </w:p>
        </w:tc>
        <w:tc>
          <w:tcPr>
            <w:tcW w:w="1997" w:type="dxa"/>
          </w:tcPr>
          <w:p>
            <w:pPr>
              <w:pStyle w:val="TableParagraph"/>
              <w:tabs>
                <w:tab w:pos="1167" w:val="left" w:leader="none"/>
                <w:tab w:pos="1355" w:val="left" w:leader="none"/>
                <w:tab w:pos="1420" w:val="left" w:leader="none"/>
                <w:tab w:pos="1542" w:val="left" w:leader="none"/>
              </w:tabs>
              <w:spacing w:line="240" w:lineRule="auto" w:before="0"/>
              <w:ind w:right="97"/>
              <w:rPr>
                <w:sz w:val="24"/>
              </w:rPr>
            </w:pPr>
            <w:r>
              <w:rPr>
                <w:spacing w:val="-2"/>
                <w:sz w:val="24"/>
              </w:rPr>
              <w:t>Metode</w:t>
            </w:r>
            <w:r>
              <w:rPr>
                <w:sz w:val="24"/>
              </w:rPr>
              <w:tab/>
              <w:tab/>
              <w:tab/>
            </w:r>
            <w:r>
              <w:rPr>
                <w:spacing w:val="-4"/>
                <w:sz w:val="24"/>
              </w:rPr>
              <w:t>yang </w:t>
            </w:r>
            <w:r>
              <w:rPr>
                <w:spacing w:val="-2"/>
                <w:sz w:val="24"/>
              </w:rPr>
              <w:t>digunakan</w:t>
            </w:r>
            <w:r>
              <w:rPr>
                <w:sz w:val="24"/>
              </w:rPr>
              <w:tab/>
              <w:tab/>
              <w:tab/>
            </w:r>
            <w:r>
              <w:rPr>
                <w:spacing w:val="-4"/>
                <w:sz w:val="24"/>
              </w:rPr>
              <w:t>ialah </w:t>
            </w:r>
            <w:r>
              <w:rPr>
                <w:spacing w:val="-2"/>
                <w:sz w:val="24"/>
              </w:rPr>
              <w:t>kuantitatif</w:t>
            </w:r>
            <w:r>
              <w:rPr>
                <w:sz w:val="24"/>
              </w:rPr>
              <w:tab/>
              <w:tab/>
              <w:tab/>
              <w:tab/>
            </w:r>
            <w:r>
              <w:rPr>
                <w:spacing w:val="-4"/>
                <w:sz w:val="24"/>
              </w:rPr>
              <w:t>dan </w:t>
            </w:r>
            <w:r>
              <w:rPr>
                <w:spacing w:val="-2"/>
                <w:sz w:val="24"/>
              </w:rPr>
              <w:t>menggunakan teknik</w:t>
            </w:r>
            <w:r>
              <w:rPr>
                <w:sz w:val="24"/>
              </w:rPr>
              <w:tab/>
            </w:r>
            <w:r>
              <w:rPr>
                <w:spacing w:val="-2"/>
                <w:sz w:val="24"/>
              </w:rPr>
              <w:t>analisis </w:t>
            </w:r>
            <w:r>
              <w:rPr>
                <w:i/>
                <w:sz w:val="24"/>
              </w:rPr>
              <w:t>Impulse</w:t>
            </w:r>
            <w:r>
              <w:rPr>
                <w:i/>
                <w:spacing w:val="16"/>
                <w:sz w:val="24"/>
              </w:rPr>
              <w:t> </w:t>
            </w:r>
            <w:r>
              <w:rPr>
                <w:i/>
                <w:sz w:val="24"/>
              </w:rPr>
              <w:t>Response </w:t>
            </w:r>
            <w:r>
              <w:rPr>
                <w:i/>
                <w:spacing w:val="-2"/>
                <w:sz w:val="24"/>
              </w:rPr>
              <w:t>Function</w:t>
            </w:r>
            <w:r>
              <w:rPr>
                <w:i/>
                <w:sz w:val="24"/>
              </w:rPr>
              <w:tab/>
              <w:tab/>
            </w:r>
            <w:r>
              <w:rPr>
                <w:spacing w:val="-4"/>
                <w:sz w:val="24"/>
              </w:rPr>
              <w:t>(IRF)</w:t>
            </w:r>
          </w:p>
          <w:p>
            <w:pPr>
              <w:pStyle w:val="TableParagraph"/>
              <w:tabs>
                <w:tab w:pos="1247" w:val="left" w:leader="none"/>
              </w:tabs>
              <w:spacing w:line="240" w:lineRule="auto" w:before="0"/>
              <w:ind w:right="99"/>
              <w:rPr>
                <w:sz w:val="24"/>
              </w:rPr>
            </w:pPr>
            <w:r>
              <w:rPr>
                <w:spacing w:val="-4"/>
                <w:sz w:val="24"/>
              </w:rPr>
              <w:t>dan</w:t>
            </w:r>
            <w:r>
              <w:rPr>
                <w:sz w:val="24"/>
              </w:rPr>
              <w:tab/>
            </w:r>
            <w:r>
              <w:rPr>
                <w:i/>
                <w:spacing w:val="-2"/>
                <w:sz w:val="24"/>
              </w:rPr>
              <w:t>Vector Autoregressive </w:t>
            </w:r>
            <w:r>
              <w:rPr>
                <w:spacing w:val="-2"/>
                <w:sz w:val="24"/>
              </w:rPr>
              <w:t>(VAR)</w:t>
            </w:r>
          </w:p>
        </w:tc>
        <w:tc>
          <w:tcPr>
            <w:tcW w:w="2192" w:type="dxa"/>
          </w:tcPr>
          <w:p>
            <w:pPr>
              <w:pStyle w:val="TableParagraph"/>
              <w:tabs>
                <w:tab w:pos="1146" w:val="left" w:leader="none"/>
                <w:tab w:pos="1309" w:val="left" w:leader="none"/>
                <w:tab w:pos="1467" w:val="left" w:leader="none"/>
                <w:tab w:pos="1573" w:val="left" w:leader="none"/>
              </w:tabs>
              <w:spacing w:line="240" w:lineRule="auto" w:before="0"/>
              <w:ind w:right="97"/>
              <w:rPr>
                <w:sz w:val="24"/>
              </w:rPr>
            </w:pPr>
            <w:r>
              <w:rPr>
                <w:spacing w:val="-2"/>
                <w:sz w:val="24"/>
              </w:rPr>
              <w:t>Sentimen</w:t>
            </w:r>
            <w:r>
              <w:rPr>
                <w:sz w:val="24"/>
              </w:rPr>
              <w:tab/>
              <w:tab/>
            </w:r>
            <w:r>
              <w:rPr>
                <w:spacing w:val="-2"/>
                <w:sz w:val="24"/>
              </w:rPr>
              <w:t>investor </w:t>
            </w:r>
            <w:r>
              <w:rPr>
                <w:spacing w:val="-4"/>
                <w:sz w:val="24"/>
              </w:rPr>
              <w:t>dan</w:t>
            </w:r>
            <w:r>
              <w:rPr>
                <w:sz w:val="24"/>
              </w:rPr>
              <w:tab/>
            </w:r>
            <w:r>
              <w:rPr>
                <w:spacing w:val="-2"/>
                <w:sz w:val="24"/>
              </w:rPr>
              <w:t>kebijakan </w:t>
            </w:r>
            <w:r>
              <w:rPr>
                <w:sz w:val="24"/>
              </w:rPr>
              <w:t>moneter</w:t>
            </w:r>
            <w:r>
              <w:rPr>
                <w:spacing w:val="-15"/>
                <w:sz w:val="24"/>
              </w:rPr>
              <w:t> </w:t>
            </w:r>
            <w:r>
              <w:rPr>
                <w:sz w:val="24"/>
              </w:rPr>
              <w:t>mempunyai pengaruh</w:t>
            </w:r>
            <w:r>
              <w:rPr>
                <w:spacing w:val="-15"/>
                <w:sz w:val="24"/>
              </w:rPr>
              <w:t> </w:t>
            </w:r>
            <w:r>
              <w:rPr>
                <w:sz w:val="24"/>
              </w:rPr>
              <w:t>positif</w:t>
            </w:r>
            <w:r>
              <w:rPr>
                <w:spacing w:val="-15"/>
                <w:sz w:val="24"/>
              </w:rPr>
              <w:t> </w:t>
            </w:r>
            <w:r>
              <w:rPr>
                <w:sz w:val="24"/>
              </w:rPr>
              <w:t>dan signifikan</w:t>
            </w:r>
            <w:r>
              <w:rPr>
                <w:spacing w:val="80"/>
                <w:sz w:val="24"/>
              </w:rPr>
              <w:t> </w:t>
            </w:r>
            <w:r>
              <w:rPr>
                <w:sz w:val="24"/>
              </w:rPr>
              <w:t>terhadap </w:t>
            </w:r>
            <w:r>
              <w:rPr>
                <w:spacing w:val="-2"/>
                <w:sz w:val="24"/>
              </w:rPr>
              <w:t>volume</w:t>
            </w:r>
            <w:r>
              <w:rPr>
                <w:spacing w:val="80"/>
                <w:sz w:val="24"/>
              </w:rPr>
              <w:t> </w:t>
            </w:r>
            <w:r>
              <w:rPr>
                <w:spacing w:val="-2"/>
                <w:sz w:val="24"/>
              </w:rPr>
              <w:t>perdagangan</w:t>
            </w:r>
            <w:r>
              <w:rPr>
                <w:sz w:val="24"/>
              </w:rPr>
              <w:tab/>
              <w:tab/>
            </w:r>
            <w:r>
              <w:rPr>
                <w:spacing w:val="-4"/>
                <w:sz w:val="24"/>
              </w:rPr>
              <w:t>pasar </w:t>
            </w:r>
            <w:r>
              <w:rPr>
                <w:sz w:val="24"/>
              </w:rPr>
              <w:t>modal</w:t>
            </w:r>
            <w:r>
              <w:rPr>
                <w:spacing w:val="17"/>
                <w:sz w:val="24"/>
              </w:rPr>
              <w:t> </w:t>
            </w:r>
            <w:r>
              <w:rPr>
                <w:sz w:val="24"/>
              </w:rPr>
              <w:t>di</w:t>
            </w:r>
            <w:r>
              <w:rPr>
                <w:spacing w:val="20"/>
                <w:sz w:val="24"/>
              </w:rPr>
              <w:t> </w:t>
            </w:r>
            <w:r>
              <w:rPr>
                <w:sz w:val="24"/>
              </w:rPr>
              <w:t>Indonesia. </w:t>
            </w:r>
            <w:r>
              <w:rPr>
                <w:spacing w:val="-2"/>
                <w:sz w:val="24"/>
              </w:rPr>
              <w:t>Apabila</w:t>
            </w:r>
            <w:r>
              <w:rPr>
                <w:sz w:val="24"/>
              </w:rPr>
              <w:tab/>
              <w:tab/>
              <w:tab/>
            </w:r>
            <w:r>
              <w:rPr>
                <w:spacing w:val="-2"/>
                <w:sz w:val="24"/>
              </w:rPr>
              <w:t>terjadi</w:t>
            </w:r>
          </w:p>
          <w:p>
            <w:pPr>
              <w:pStyle w:val="TableParagraph"/>
              <w:tabs>
                <w:tab w:pos="1292" w:val="left" w:leader="none"/>
                <w:tab w:pos="1626" w:val="left" w:leader="none"/>
              </w:tabs>
              <w:spacing w:line="270" w:lineRule="atLeast" w:before="0"/>
              <w:ind w:right="99"/>
              <w:rPr>
                <w:sz w:val="24"/>
              </w:rPr>
            </w:pPr>
            <w:r>
              <w:rPr>
                <w:spacing w:val="-2"/>
                <w:sz w:val="24"/>
              </w:rPr>
              <w:t>guncangan</w:t>
            </w:r>
            <w:r>
              <w:rPr>
                <w:sz w:val="24"/>
              </w:rPr>
              <w:tab/>
              <w:tab/>
            </w:r>
            <w:r>
              <w:rPr>
                <w:spacing w:val="-4"/>
                <w:sz w:val="24"/>
              </w:rPr>
              <w:t>pada </w:t>
            </w:r>
            <w:r>
              <w:rPr>
                <w:spacing w:val="-2"/>
                <w:sz w:val="24"/>
              </w:rPr>
              <w:t>kebijakan</w:t>
            </w:r>
            <w:r>
              <w:rPr>
                <w:sz w:val="24"/>
              </w:rPr>
              <w:tab/>
            </w:r>
            <w:r>
              <w:rPr>
                <w:spacing w:val="-2"/>
                <w:sz w:val="24"/>
              </w:rPr>
              <w:t>moneter</w:t>
            </w:r>
          </w:p>
        </w:tc>
      </w:tr>
    </w:tbl>
    <w:p>
      <w:pPr>
        <w:pStyle w:val="TableParagraph"/>
        <w:spacing w:after="0" w:line="270" w:lineRule="atLeast"/>
        <w:rPr>
          <w:sz w:val="24"/>
        </w:rPr>
        <w:sectPr>
          <w:type w:val="continuous"/>
          <w:pgSz w:w="11910" w:h="16840"/>
          <w:pgMar w:header="0" w:footer="1000" w:top="1400" w:bottom="1200" w:left="1417" w:right="1275"/>
        </w:sectPr>
      </w:pPr>
    </w:p>
    <w:tbl>
      <w:tblPr>
        <w:tblW w:w="0" w:type="auto"/>
        <w:jc w:val="left"/>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1412"/>
        <w:gridCol w:w="1997"/>
        <w:gridCol w:w="1997"/>
        <w:gridCol w:w="2192"/>
      </w:tblGrid>
      <w:tr>
        <w:trPr>
          <w:trHeight w:val="2208" w:hRule="atLeast"/>
        </w:trPr>
        <w:tc>
          <w:tcPr>
            <w:tcW w:w="569" w:type="dxa"/>
          </w:tcPr>
          <w:p>
            <w:pPr>
              <w:pStyle w:val="TableParagraph"/>
              <w:spacing w:line="240" w:lineRule="auto" w:before="0"/>
              <w:ind w:left="0"/>
              <w:rPr>
                <w:sz w:val="24"/>
              </w:rPr>
            </w:pPr>
          </w:p>
        </w:tc>
        <w:tc>
          <w:tcPr>
            <w:tcW w:w="1412" w:type="dxa"/>
          </w:tcPr>
          <w:p>
            <w:pPr>
              <w:pStyle w:val="TableParagraph"/>
              <w:spacing w:line="240" w:lineRule="auto" w:before="0"/>
              <w:ind w:left="0"/>
              <w:rPr>
                <w:sz w:val="24"/>
              </w:rPr>
            </w:pPr>
          </w:p>
        </w:tc>
        <w:tc>
          <w:tcPr>
            <w:tcW w:w="1997" w:type="dxa"/>
          </w:tcPr>
          <w:p>
            <w:pPr>
              <w:pStyle w:val="TableParagraph"/>
              <w:spacing w:line="240" w:lineRule="auto" w:before="0"/>
              <w:ind w:left="0"/>
              <w:rPr>
                <w:sz w:val="24"/>
              </w:rPr>
            </w:pPr>
          </w:p>
        </w:tc>
        <w:tc>
          <w:tcPr>
            <w:tcW w:w="1997" w:type="dxa"/>
          </w:tcPr>
          <w:p>
            <w:pPr>
              <w:pStyle w:val="TableParagraph"/>
              <w:spacing w:line="240" w:lineRule="auto" w:before="0"/>
              <w:ind w:left="0"/>
              <w:rPr>
                <w:sz w:val="24"/>
              </w:rPr>
            </w:pPr>
          </w:p>
        </w:tc>
        <w:tc>
          <w:tcPr>
            <w:tcW w:w="2192" w:type="dxa"/>
          </w:tcPr>
          <w:p>
            <w:pPr>
              <w:pStyle w:val="TableParagraph"/>
              <w:tabs>
                <w:tab w:pos="1626" w:val="left" w:leader="none"/>
              </w:tabs>
              <w:spacing w:line="240" w:lineRule="auto" w:before="0"/>
              <w:ind w:right="98"/>
              <w:rPr>
                <w:sz w:val="24"/>
              </w:rPr>
            </w:pPr>
            <w:r>
              <w:rPr>
                <w:spacing w:val="-2"/>
                <w:sz w:val="24"/>
              </w:rPr>
              <w:t>maka</w:t>
            </w:r>
            <w:r>
              <w:rPr>
                <w:spacing w:val="-14"/>
                <w:sz w:val="24"/>
              </w:rPr>
              <w:t> </w:t>
            </w:r>
            <w:r>
              <w:rPr>
                <w:spacing w:val="-2"/>
                <w:sz w:val="24"/>
              </w:rPr>
              <w:t>respon</w:t>
            </w:r>
            <w:r>
              <w:rPr>
                <w:spacing w:val="-13"/>
                <w:sz w:val="24"/>
              </w:rPr>
              <w:t> </w:t>
            </w:r>
            <w:r>
              <w:rPr>
                <w:spacing w:val="-2"/>
                <w:sz w:val="24"/>
              </w:rPr>
              <w:t>volume perdagangan</w:t>
            </w:r>
            <w:r>
              <w:rPr>
                <w:sz w:val="24"/>
              </w:rPr>
              <w:tab/>
            </w:r>
            <w:r>
              <w:rPr>
                <w:spacing w:val="-4"/>
                <w:sz w:val="24"/>
              </w:rPr>
              <w:t>akan </w:t>
            </w:r>
            <w:r>
              <w:rPr>
                <w:sz w:val="24"/>
              </w:rPr>
              <w:t>bersifat</w:t>
            </w:r>
            <w:r>
              <w:rPr>
                <w:spacing w:val="40"/>
                <w:sz w:val="24"/>
              </w:rPr>
              <w:t> </w:t>
            </w:r>
            <w:r>
              <w:rPr>
                <w:sz w:val="24"/>
              </w:rPr>
              <w:t>negatif</w:t>
            </w:r>
            <w:r>
              <w:rPr>
                <w:spacing w:val="40"/>
                <w:sz w:val="24"/>
              </w:rPr>
              <w:t> </w:t>
            </w:r>
            <w:r>
              <w:rPr>
                <w:sz w:val="24"/>
              </w:rPr>
              <w:t>dan </w:t>
            </w:r>
            <w:r>
              <w:rPr>
                <w:spacing w:val="-2"/>
                <w:sz w:val="24"/>
              </w:rPr>
              <w:t>konvergen </w:t>
            </w:r>
            <w:r>
              <w:rPr>
                <w:sz w:val="24"/>
              </w:rPr>
              <w:t>sedangkan</w:t>
            </w:r>
            <w:r>
              <w:rPr>
                <w:spacing w:val="1"/>
                <w:sz w:val="24"/>
              </w:rPr>
              <w:t> </w:t>
            </w:r>
            <w:r>
              <w:rPr>
                <w:sz w:val="24"/>
              </w:rPr>
              <w:t>sentimen </w:t>
            </w:r>
            <w:r>
              <w:rPr>
                <w:spacing w:val="-2"/>
                <w:sz w:val="24"/>
              </w:rPr>
              <w:t>investor</w:t>
            </w:r>
            <w:r>
              <w:rPr>
                <w:sz w:val="24"/>
              </w:rPr>
              <w:tab/>
            </w:r>
            <w:r>
              <w:rPr>
                <w:spacing w:val="-59"/>
                <w:sz w:val="24"/>
              </w:rPr>
              <w:t> </w:t>
            </w:r>
            <w:r>
              <w:rPr>
                <w:spacing w:val="-4"/>
                <w:sz w:val="24"/>
              </w:rPr>
              <w:t>akan</w:t>
            </w:r>
          </w:p>
          <w:p>
            <w:pPr>
              <w:pStyle w:val="TableParagraph"/>
              <w:spacing w:line="270" w:lineRule="atLeast" w:before="0"/>
              <w:rPr>
                <w:sz w:val="24"/>
              </w:rPr>
            </w:pPr>
            <w:r>
              <w:rPr>
                <w:sz w:val="24"/>
              </w:rPr>
              <w:t>bersifat</w:t>
            </w:r>
            <w:r>
              <w:rPr>
                <w:spacing w:val="40"/>
                <w:sz w:val="24"/>
              </w:rPr>
              <w:t> </w:t>
            </w:r>
            <w:r>
              <w:rPr>
                <w:sz w:val="24"/>
              </w:rPr>
              <w:t>positif</w:t>
            </w:r>
            <w:r>
              <w:rPr>
                <w:spacing w:val="40"/>
                <w:sz w:val="24"/>
              </w:rPr>
              <w:t> </w:t>
            </w:r>
            <w:r>
              <w:rPr>
                <w:sz w:val="24"/>
              </w:rPr>
              <w:t>dan </w:t>
            </w:r>
            <w:r>
              <w:rPr>
                <w:spacing w:val="-2"/>
                <w:sz w:val="24"/>
              </w:rPr>
              <w:t>konvergen</w:t>
            </w:r>
          </w:p>
        </w:tc>
      </w:tr>
      <w:tr>
        <w:trPr>
          <w:trHeight w:val="7452" w:hRule="atLeast"/>
        </w:trPr>
        <w:tc>
          <w:tcPr>
            <w:tcW w:w="569" w:type="dxa"/>
          </w:tcPr>
          <w:p>
            <w:pPr>
              <w:pStyle w:val="TableParagraph"/>
              <w:spacing w:line="275" w:lineRule="exact" w:before="0"/>
              <w:ind w:left="0" w:right="41"/>
              <w:jc w:val="center"/>
              <w:rPr>
                <w:sz w:val="24"/>
              </w:rPr>
            </w:pPr>
            <w:r>
              <w:rPr>
                <w:spacing w:val="-5"/>
                <w:sz w:val="24"/>
              </w:rPr>
              <w:t>14.</w:t>
            </w:r>
          </w:p>
        </w:tc>
        <w:tc>
          <w:tcPr>
            <w:tcW w:w="1412" w:type="dxa"/>
          </w:tcPr>
          <w:p>
            <w:pPr>
              <w:pStyle w:val="TableParagraph"/>
              <w:spacing w:line="240" w:lineRule="auto" w:before="0"/>
              <w:rPr>
                <w:sz w:val="24"/>
              </w:rPr>
            </w:pPr>
            <w:r>
              <w:rPr>
                <w:sz w:val="24"/>
              </w:rPr>
              <w:t>Ninda</w:t>
            </w:r>
            <w:r>
              <w:rPr>
                <w:spacing w:val="40"/>
                <w:sz w:val="24"/>
              </w:rPr>
              <w:t> </w:t>
            </w:r>
            <w:r>
              <w:rPr>
                <w:sz w:val="24"/>
              </w:rPr>
              <w:t>Vani Lestari</w:t>
            </w:r>
            <w:r>
              <w:rPr>
                <w:spacing w:val="80"/>
                <w:sz w:val="24"/>
              </w:rPr>
              <w:t> </w:t>
            </w:r>
            <w:r>
              <w:rPr>
                <w:sz w:val="24"/>
              </w:rPr>
              <w:t>dan </w:t>
            </w:r>
            <w:r>
              <w:rPr>
                <w:spacing w:val="-2"/>
                <w:sz w:val="24"/>
              </w:rPr>
              <w:t>Ris</w:t>
            </w:r>
            <w:r>
              <w:rPr>
                <w:spacing w:val="-15"/>
                <w:sz w:val="24"/>
              </w:rPr>
              <w:t> </w:t>
            </w:r>
            <w:r>
              <w:rPr>
                <w:spacing w:val="-2"/>
                <w:sz w:val="24"/>
              </w:rPr>
              <w:t>Yuwono </w:t>
            </w:r>
            <w:r>
              <w:rPr>
                <w:spacing w:val="-4"/>
                <w:sz w:val="24"/>
              </w:rPr>
              <w:t>Yudo </w:t>
            </w:r>
            <w:r>
              <w:rPr>
                <w:spacing w:val="-2"/>
                <w:sz w:val="24"/>
              </w:rPr>
              <w:t>Nugroho</w:t>
            </w:r>
          </w:p>
        </w:tc>
        <w:tc>
          <w:tcPr>
            <w:tcW w:w="1997" w:type="dxa"/>
          </w:tcPr>
          <w:p>
            <w:pPr>
              <w:pStyle w:val="TableParagraph"/>
              <w:tabs>
                <w:tab w:pos="1702" w:val="left" w:leader="none"/>
              </w:tabs>
              <w:spacing w:line="240" w:lineRule="auto" w:before="0"/>
              <w:ind w:right="95"/>
              <w:jc w:val="both"/>
              <w:rPr>
                <w:sz w:val="24"/>
              </w:rPr>
            </w:pPr>
            <w:r>
              <w:rPr>
                <w:sz w:val="24"/>
              </w:rPr>
              <w:t>Reaksi </w:t>
            </w:r>
            <w:r>
              <w:rPr>
                <w:sz w:val="24"/>
              </w:rPr>
              <w:t>Pasar Modal Terhadap Faktor Ekonomi dan Faktor Non </w:t>
            </w:r>
            <w:r>
              <w:rPr>
                <w:spacing w:val="-2"/>
                <w:sz w:val="24"/>
              </w:rPr>
              <w:t>Ekonomi</w:t>
            </w:r>
            <w:r>
              <w:rPr>
                <w:sz w:val="24"/>
              </w:rPr>
              <w:tab/>
            </w:r>
            <w:r>
              <w:rPr>
                <w:spacing w:val="-6"/>
                <w:sz w:val="24"/>
              </w:rPr>
              <w:t>di </w:t>
            </w:r>
            <w:r>
              <w:rPr>
                <w:spacing w:val="-2"/>
                <w:sz w:val="24"/>
              </w:rPr>
              <w:t>Indonesia</w:t>
            </w:r>
          </w:p>
        </w:tc>
        <w:tc>
          <w:tcPr>
            <w:tcW w:w="1997" w:type="dxa"/>
          </w:tcPr>
          <w:p>
            <w:pPr>
              <w:pStyle w:val="TableParagraph"/>
              <w:tabs>
                <w:tab w:pos="1167" w:val="left" w:leader="none"/>
                <w:tab w:pos="1420" w:val="left" w:leader="none"/>
                <w:tab w:pos="1542" w:val="left" w:leader="none"/>
              </w:tabs>
              <w:spacing w:line="240" w:lineRule="auto" w:before="0"/>
              <w:ind w:right="97"/>
              <w:rPr>
                <w:sz w:val="24"/>
              </w:rPr>
            </w:pPr>
            <w:r>
              <w:rPr>
                <w:spacing w:val="-2"/>
                <w:sz w:val="24"/>
              </w:rPr>
              <w:t>Metode</w:t>
            </w:r>
            <w:r>
              <w:rPr>
                <w:sz w:val="24"/>
              </w:rPr>
              <w:tab/>
              <w:tab/>
            </w:r>
            <w:r>
              <w:rPr>
                <w:spacing w:val="-4"/>
                <w:sz w:val="24"/>
              </w:rPr>
              <w:t>yang </w:t>
            </w:r>
            <w:r>
              <w:rPr>
                <w:spacing w:val="-2"/>
                <w:sz w:val="24"/>
              </w:rPr>
              <w:t>digunakan</w:t>
            </w:r>
            <w:r>
              <w:rPr>
                <w:sz w:val="24"/>
              </w:rPr>
              <w:tab/>
              <w:tab/>
            </w:r>
            <w:r>
              <w:rPr>
                <w:spacing w:val="-4"/>
                <w:sz w:val="24"/>
              </w:rPr>
              <w:t>ialah </w:t>
            </w:r>
            <w:r>
              <w:rPr>
                <w:spacing w:val="-2"/>
                <w:sz w:val="24"/>
              </w:rPr>
              <w:t>kuantitatif</w:t>
            </w:r>
            <w:r>
              <w:rPr>
                <w:sz w:val="24"/>
              </w:rPr>
              <w:tab/>
              <w:tab/>
              <w:tab/>
            </w:r>
            <w:r>
              <w:rPr>
                <w:spacing w:val="-4"/>
                <w:sz w:val="24"/>
              </w:rPr>
              <w:t>dan </w:t>
            </w:r>
            <w:r>
              <w:rPr>
                <w:spacing w:val="-2"/>
                <w:sz w:val="24"/>
              </w:rPr>
              <w:t>menggunakan teknik</w:t>
            </w:r>
            <w:r>
              <w:rPr>
                <w:sz w:val="24"/>
              </w:rPr>
              <w:tab/>
            </w:r>
            <w:r>
              <w:rPr>
                <w:spacing w:val="-2"/>
                <w:sz w:val="24"/>
              </w:rPr>
              <w:t>analisis </w:t>
            </w:r>
            <w:r>
              <w:rPr>
                <w:i/>
                <w:spacing w:val="-2"/>
                <w:sz w:val="24"/>
              </w:rPr>
              <w:t>Vector Autoregressive </w:t>
            </w:r>
            <w:r>
              <w:rPr>
                <w:spacing w:val="-2"/>
                <w:sz w:val="24"/>
              </w:rPr>
              <w:t>(VAR)</w:t>
            </w:r>
          </w:p>
        </w:tc>
        <w:tc>
          <w:tcPr>
            <w:tcW w:w="2192" w:type="dxa"/>
          </w:tcPr>
          <w:p>
            <w:pPr>
              <w:pStyle w:val="TableParagraph"/>
              <w:tabs>
                <w:tab w:pos="1827" w:val="left" w:leader="none"/>
              </w:tabs>
              <w:spacing w:line="275" w:lineRule="exact" w:before="0"/>
              <w:rPr>
                <w:sz w:val="24"/>
              </w:rPr>
            </w:pPr>
            <w:r>
              <w:rPr>
                <w:spacing w:val="-2"/>
                <w:sz w:val="24"/>
              </w:rPr>
              <w:t>Hasil</w:t>
            </w:r>
            <w:r>
              <w:rPr>
                <w:sz w:val="24"/>
              </w:rPr>
              <w:tab/>
            </w:r>
            <w:r>
              <w:rPr>
                <w:spacing w:val="-5"/>
                <w:sz w:val="24"/>
              </w:rPr>
              <w:t>uji</w:t>
            </w:r>
          </w:p>
          <w:p>
            <w:pPr>
              <w:pStyle w:val="TableParagraph"/>
              <w:tabs>
                <w:tab w:pos="759" w:val="left" w:leader="none"/>
                <w:tab w:pos="1067" w:val="left" w:leader="none"/>
                <w:tab w:pos="1105" w:val="left" w:leader="none"/>
                <w:tab w:pos="1242" w:val="left" w:leader="none"/>
                <w:tab w:pos="1374" w:val="left" w:leader="none"/>
                <w:tab w:pos="1506" w:val="left" w:leader="none"/>
                <w:tab w:pos="1638" w:val="left" w:leader="none"/>
                <w:tab w:pos="1825" w:val="left" w:leader="none"/>
              </w:tabs>
              <w:spacing w:line="240" w:lineRule="auto" w:before="0"/>
              <w:ind w:right="97"/>
              <w:rPr>
                <w:sz w:val="24"/>
              </w:rPr>
            </w:pPr>
            <w:r>
              <w:rPr>
                <w:sz w:val="24"/>
              </w:rPr>
              <w:t>dekomposisi</w:t>
            </w:r>
            <w:r>
              <w:rPr>
                <w:spacing w:val="-15"/>
                <w:sz w:val="24"/>
              </w:rPr>
              <w:t> </w:t>
            </w:r>
            <w:r>
              <w:rPr>
                <w:sz w:val="24"/>
              </w:rPr>
              <w:t>varians </w:t>
            </w:r>
            <w:r>
              <w:rPr>
                <w:spacing w:val="-2"/>
                <w:sz w:val="24"/>
              </w:rPr>
              <w:t>sebelum</w:t>
            </w:r>
            <w:r>
              <w:rPr>
                <w:sz w:val="24"/>
              </w:rPr>
              <w:tab/>
              <w:tab/>
              <w:tab/>
              <w:tab/>
            </w:r>
            <w:r>
              <w:rPr>
                <w:spacing w:val="-2"/>
                <w:sz w:val="24"/>
              </w:rPr>
              <w:t>gejolak sosial/politik menunjukkan</w:t>
            </w:r>
            <w:r>
              <w:rPr>
                <w:spacing w:val="80"/>
                <w:sz w:val="24"/>
              </w:rPr>
              <w:t> </w:t>
            </w:r>
            <w:r>
              <w:rPr>
                <w:spacing w:val="-4"/>
                <w:sz w:val="24"/>
              </w:rPr>
              <w:t>bahwa</w:t>
            </w:r>
            <w:r>
              <w:rPr>
                <w:sz w:val="24"/>
              </w:rPr>
              <w:tab/>
              <w:tab/>
              <w:tab/>
            </w:r>
            <w:r>
              <w:rPr>
                <w:spacing w:val="-2"/>
                <w:sz w:val="24"/>
              </w:rPr>
              <w:t>kontribusi paling</w:t>
            </w:r>
            <w:r>
              <w:rPr>
                <w:sz w:val="24"/>
              </w:rPr>
              <w:tab/>
              <w:tab/>
              <w:tab/>
              <w:tab/>
            </w:r>
            <w:r>
              <w:rPr>
                <w:spacing w:val="-2"/>
                <w:sz w:val="24"/>
              </w:rPr>
              <w:t>dominan </w:t>
            </w:r>
            <w:r>
              <w:rPr>
                <w:sz w:val="24"/>
              </w:rPr>
              <w:t>tercatat di IHSG itu sendiri</w:t>
            </w:r>
            <w:r>
              <w:rPr>
                <w:spacing w:val="80"/>
                <w:sz w:val="24"/>
              </w:rPr>
              <w:t> </w:t>
            </w:r>
            <w:r>
              <w:rPr>
                <w:sz w:val="24"/>
              </w:rPr>
              <w:t>61</w:t>
            </w:r>
            <w:r>
              <w:rPr>
                <w:spacing w:val="80"/>
                <w:sz w:val="24"/>
              </w:rPr>
              <w:t> </w:t>
            </w:r>
            <w:r>
              <w:rPr>
                <w:sz w:val="24"/>
              </w:rPr>
              <w:t>persen, </w:t>
            </w:r>
            <w:r>
              <w:rPr>
                <w:spacing w:val="-2"/>
                <w:sz w:val="24"/>
              </w:rPr>
              <w:t>dengan</w:t>
            </w:r>
            <w:r>
              <w:rPr>
                <w:sz w:val="24"/>
              </w:rPr>
              <w:tab/>
              <w:tab/>
              <w:tab/>
              <w:tab/>
              <w:tab/>
            </w:r>
            <w:r>
              <w:rPr>
                <w:spacing w:val="-2"/>
                <w:sz w:val="24"/>
              </w:rPr>
              <w:t>faktor </w:t>
            </w:r>
            <w:r>
              <w:rPr>
                <w:sz w:val="24"/>
              </w:rPr>
              <w:t>ekonomi</w:t>
            </w:r>
            <w:r>
              <w:rPr>
                <w:spacing w:val="40"/>
                <w:sz w:val="24"/>
              </w:rPr>
              <w:t> </w:t>
            </w:r>
            <w:r>
              <w:rPr>
                <w:sz w:val="24"/>
              </w:rPr>
              <w:t>21</w:t>
            </w:r>
            <w:r>
              <w:rPr>
                <w:spacing w:val="40"/>
                <w:sz w:val="24"/>
              </w:rPr>
              <w:t> </w:t>
            </w:r>
            <w:r>
              <w:rPr>
                <w:sz w:val="24"/>
              </w:rPr>
              <w:t>persen </w:t>
            </w:r>
            <w:r>
              <w:rPr>
                <w:spacing w:val="-4"/>
                <w:sz w:val="24"/>
              </w:rPr>
              <w:t>dan</w:t>
            </w:r>
            <w:r>
              <w:rPr>
                <w:sz w:val="24"/>
              </w:rPr>
              <w:tab/>
            </w:r>
            <w:r>
              <w:rPr>
                <w:spacing w:val="-2"/>
                <w:sz w:val="24"/>
              </w:rPr>
              <w:t>faktor</w:t>
            </w:r>
            <w:r>
              <w:rPr>
                <w:sz w:val="24"/>
              </w:rPr>
              <w:tab/>
              <w:tab/>
              <w:tab/>
            </w:r>
            <w:r>
              <w:rPr>
                <w:spacing w:val="-4"/>
                <w:sz w:val="24"/>
              </w:rPr>
              <w:t>non- </w:t>
            </w:r>
            <w:r>
              <w:rPr>
                <w:sz w:val="24"/>
              </w:rPr>
              <w:t>ekonomi</w:t>
            </w:r>
            <w:r>
              <w:rPr>
                <w:spacing w:val="26"/>
                <w:sz w:val="24"/>
              </w:rPr>
              <w:t> </w:t>
            </w:r>
            <w:r>
              <w:rPr>
                <w:sz w:val="24"/>
              </w:rPr>
              <w:t>18</w:t>
            </w:r>
            <w:r>
              <w:rPr>
                <w:spacing w:val="25"/>
                <w:sz w:val="24"/>
              </w:rPr>
              <w:t> </w:t>
            </w:r>
            <w:r>
              <w:rPr>
                <w:sz w:val="24"/>
              </w:rPr>
              <w:t>persen. </w:t>
            </w:r>
            <w:r>
              <w:rPr>
                <w:spacing w:val="-2"/>
                <w:sz w:val="24"/>
              </w:rPr>
              <w:t>Namun,</w:t>
            </w:r>
            <w:r>
              <w:rPr>
                <w:sz w:val="24"/>
              </w:rPr>
              <w:tab/>
              <w:tab/>
            </w:r>
            <w:r>
              <w:rPr>
                <w:spacing w:val="-44"/>
                <w:sz w:val="24"/>
              </w:rPr>
              <w:t> </w:t>
            </w:r>
            <w:r>
              <w:rPr>
                <w:sz w:val="24"/>
              </w:rPr>
              <w:t>hasil</w:t>
              <w:tab/>
              <w:tab/>
            </w:r>
            <w:r>
              <w:rPr>
                <w:spacing w:val="-4"/>
                <w:sz w:val="24"/>
              </w:rPr>
              <w:t>uji </w:t>
            </w:r>
            <w:r>
              <w:rPr>
                <w:sz w:val="24"/>
              </w:rPr>
              <w:t>dekomposisi</w:t>
            </w:r>
            <w:r>
              <w:rPr>
                <w:spacing w:val="-15"/>
                <w:sz w:val="24"/>
              </w:rPr>
              <w:t> </w:t>
            </w:r>
            <w:r>
              <w:rPr>
                <w:sz w:val="24"/>
              </w:rPr>
              <w:t>varians </w:t>
            </w:r>
            <w:r>
              <w:rPr>
                <w:spacing w:val="-2"/>
                <w:sz w:val="24"/>
              </w:rPr>
              <w:t>setelah</w:t>
            </w:r>
            <w:r>
              <w:rPr>
                <w:sz w:val="24"/>
              </w:rPr>
              <w:tab/>
            </w:r>
            <w:r>
              <w:rPr>
                <w:spacing w:val="-2"/>
                <w:sz w:val="24"/>
              </w:rPr>
              <w:t>kekacauan sosial/politik menunjukkan</w:t>
            </w:r>
            <w:r>
              <w:rPr>
                <w:spacing w:val="80"/>
                <w:sz w:val="24"/>
              </w:rPr>
              <w:t> </w:t>
            </w:r>
            <w:r>
              <w:rPr>
                <w:spacing w:val="-4"/>
                <w:sz w:val="24"/>
              </w:rPr>
              <w:t>bahwa</w:t>
            </w:r>
            <w:r>
              <w:rPr>
                <w:sz w:val="24"/>
              </w:rPr>
              <w:tab/>
              <w:tab/>
              <w:tab/>
            </w:r>
            <w:r>
              <w:rPr>
                <w:spacing w:val="-2"/>
                <w:sz w:val="24"/>
              </w:rPr>
              <w:t>kontribusi paling</w:t>
            </w:r>
            <w:r>
              <w:rPr>
                <w:sz w:val="24"/>
              </w:rPr>
              <w:tab/>
              <w:tab/>
              <w:tab/>
              <w:tab/>
            </w:r>
            <w:r>
              <w:rPr>
                <w:spacing w:val="-2"/>
                <w:sz w:val="24"/>
              </w:rPr>
              <w:t>dominan</w:t>
            </w:r>
          </w:p>
          <w:p>
            <w:pPr>
              <w:pStyle w:val="TableParagraph"/>
              <w:tabs>
                <w:tab w:pos="1491" w:val="left" w:leader="none"/>
              </w:tabs>
              <w:spacing w:line="270" w:lineRule="atLeast" w:before="0"/>
              <w:ind w:right="98"/>
              <w:jc w:val="both"/>
              <w:rPr>
                <w:sz w:val="24"/>
              </w:rPr>
            </w:pPr>
            <w:r>
              <w:rPr>
                <w:spacing w:val="-2"/>
                <w:sz w:val="24"/>
              </w:rPr>
              <w:t>tercatat</w:t>
            </w:r>
            <w:r>
              <w:rPr>
                <w:sz w:val="24"/>
              </w:rPr>
              <w:tab/>
            </w:r>
            <w:r>
              <w:rPr>
                <w:spacing w:val="-4"/>
                <w:sz w:val="24"/>
              </w:rPr>
              <w:t>dalam </w:t>
            </w:r>
            <w:r>
              <w:rPr>
                <w:sz w:val="24"/>
              </w:rPr>
              <w:t>faktor-faktor non- ekonomi 52 persen, </w:t>
            </w:r>
            <w:r>
              <w:rPr>
                <w:spacing w:val="-2"/>
                <w:sz w:val="24"/>
              </w:rPr>
              <w:t>dengan</w:t>
            </w:r>
            <w:r>
              <w:rPr>
                <w:sz w:val="24"/>
              </w:rPr>
              <w:tab/>
            </w:r>
            <w:r>
              <w:rPr>
                <w:spacing w:val="-15"/>
                <w:sz w:val="24"/>
              </w:rPr>
              <w:t> </w:t>
            </w:r>
            <w:r>
              <w:rPr>
                <w:spacing w:val="-6"/>
                <w:sz w:val="24"/>
              </w:rPr>
              <w:t>faktor </w:t>
            </w:r>
            <w:r>
              <w:rPr>
                <w:sz w:val="24"/>
              </w:rPr>
              <w:t>ekonomi 36 persen, dan IHSG sendiri sebesar 18 persen</w:t>
            </w:r>
          </w:p>
        </w:tc>
      </w:tr>
      <w:tr>
        <w:trPr>
          <w:trHeight w:val="1932" w:hRule="atLeast"/>
        </w:trPr>
        <w:tc>
          <w:tcPr>
            <w:tcW w:w="569" w:type="dxa"/>
          </w:tcPr>
          <w:p>
            <w:pPr>
              <w:pStyle w:val="TableParagraph"/>
              <w:spacing w:line="275" w:lineRule="exact" w:before="0"/>
              <w:ind w:left="0" w:right="41"/>
              <w:jc w:val="center"/>
              <w:rPr>
                <w:sz w:val="24"/>
              </w:rPr>
            </w:pPr>
            <w:r>
              <w:rPr>
                <w:spacing w:val="-5"/>
                <w:sz w:val="24"/>
              </w:rPr>
              <w:t>15.</w:t>
            </w:r>
          </w:p>
        </w:tc>
        <w:tc>
          <w:tcPr>
            <w:tcW w:w="1412" w:type="dxa"/>
          </w:tcPr>
          <w:p>
            <w:pPr>
              <w:pStyle w:val="TableParagraph"/>
              <w:spacing w:line="240" w:lineRule="auto" w:before="0"/>
              <w:ind w:right="99"/>
              <w:rPr>
                <w:sz w:val="24"/>
              </w:rPr>
            </w:pPr>
            <w:r>
              <w:rPr>
                <w:spacing w:val="-2"/>
                <w:sz w:val="24"/>
              </w:rPr>
              <w:t>Indri </w:t>
            </w:r>
            <w:r>
              <w:rPr>
                <w:sz w:val="24"/>
              </w:rPr>
              <w:t>Natasya</w:t>
            </w:r>
            <w:r>
              <w:rPr>
                <w:spacing w:val="-13"/>
                <w:sz w:val="24"/>
              </w:rPr>
              <w:t> </w:t>
            </w:r>
            <w:r>
              <w:rPr>
                <w:sz w:val="24"/>
              </w:rPr>
              <w:t>dan </w:t>
            </w:r>
            <w:r>
              <w:rPr>
                <w:spacing w:val="-4"/>
                <w:sz w:val="24"/>
              </w:rPr>
              <w:t>Arie </w:t>
            </w:r>
            <w:r>
              <w:rPr>
                <w:spacing w:val="-2"/>
                <w:sz w:val="24"/>
              </w:rPr>
              <w:t>Pratania </w:t>
            </w:r>
            <w:r>
              <w:rPr>
                <w:sz w:val="24"/>
              </w:rPr>
              <w:t>Putri</w:t>
            </w:r>
            <w:r>
              <w:rPr>
                <w:spacing w:val="-11"/>
                <w:sz w:val="24"/>
              </w:rPr>
              <w:t> </w:t>
            </w:r>
            <w:r>
              <w:rPr>
                <w:sz w:val="24"/>
              </w:rPr>
              <w:t>(2025)</w:t>
            </w:r>
          </w:p>
        </w:tc>
        <w:tc>
          <w:tcPr>
            <w:tcW w:w="1997" w:type="dxa"/>
          </w:tcPr>
          <w:p>
            <w:pPr>
              <w:pStyle w:val="TableParagraph"/>
              <w:tabs>
                <w:tab w:pos="697" w:val="left" w:leader="none"/>
                <w:tab w:pos="1234" w:val="left" w:leader="none"/>
                <w:tab w:pos="1275" w:val="left" w:leader="none"/>
                <w:tab w:pos="1422" w:val="left" w:leader="none"/>
              </w:tabs>
              <w:spacing w:line="240" w:lineRule="auto" w:before="0"/>
              <w:ind w:right="96"/>
              <w:rPr>
                <w:sz w:val="24"/>
              </w:rPr>
            </w:pPr>
            <w:r>
              <w:rPr>
                <w:spacing w:val="-2"/>
                <w:sz w:val="24"/>
              </w:rPr>
              <w:t>Pengaruh</w:t>
            </w:r>
            <w:r>
              <w:rPr>
                <w:sz w:val="24"/>
              </w:rPr>
              <w:tab/>
              <w:tab/>
            </w:r>
            <w:r>
              <w:rPr>
                <w:spacing w:val="-2"/>
                <w:sz w:val="24"/>
              </w:rPr>
              <w:t>Inflasi </w:t>
            </w:r>
            <w:r>
              <w:rPr>
                <w:spacing w:val="-4"/>
                <w:sz w:val="24"/>
              </w:rPr>
              <w:t>dan</w:t>
            </w:r>
            <w:r>
              <w:rPr>
                <w:sz w:val="24"/>
              </w:rPr>
              <w:tab/>
            </w:r>
            <w:r>
              <w:rPr>
                <w:spacing w:val="-2"/>
                <w:sz w:val="24"/>
              </w:rPr>
              <w:t>Nilai</w:t>
            </w:r>
            <w:r>
              <w:rPr>
                <w:sz w:val="24"/>
              </w:rPr>
              <w:tab/>
              <w:tab/>
              <w:tab/>
            </w:r>
            <w:r>
              <w:rPr>
                <w:spacing w:val="-4"/>
                <w:sz w:val="24"/>
              </w:rPr>
              <w:t>Kurs </w:t>
            </w:r>
            <w:r>
              <w:rPr>
                <w:spacing w:val="-2"/>
                <w:sz w:val="24"/>
              </w:rPr>
              <w:t>Terhadap</w:t>
            </w:r>
            <w:r>
              <w:rPr>
                <w:sz w:val="24"/>
              </w:rPr>
              <w:tab/>
            </w:r>
            <w:r>
              <w:rPr>
                <w:spacing w:val="-2"/>
                <w:sz w:val="24"/>
              </w:rPr>
              <w:t>Return Saham</w:t>
            </w:r>
            <w:r>
              <w:rPr>
                <w:sz w:val="24"/>
              </w:rPr>
              <w:tab/>
              <w:tab/>
              <w:tab/>
            </w:r>
            <w:r>
              <w:rPr>
                <w:spacing w:val="-4"/>
                <w:sz w:val="24"/>
              </w:rPr>
              <w:t>Pada </w:t>
            </w:r>
            <w:r>
              <w:rPr>
                <w:spacing w:val="-2"/>
                <w:sz w:val="24"/>
              </w:rPr>
              <w:t>Perusahaan </w:t>
            </w:r>
            <w:r>
              <w:rPr>
                <w:sz w:val="24"/>
              </w:rPr>
              <w:t>Perbankan</w:t>
            </w:r>
            <w:r>
              <w:rPr>
                <w:spacing w:val="80"/>
                <w:sz w:val="24"/>
              </w:rPr>
              <w:t> </w:t>
            </w:r>
            <w:r>
              <w:rPr>
                <w:sz w:val="24"/>
              </w:rPr>
              <w:t>Dalan</w:t>
            </w:r>
          </w:p>
          <w:p>
            <w:pPr>
              <w:pStyle w:val="TableParagraph"/>
              <w:spacing w:before="0"/>
              <w:rPr>
                <w:sz w:val="24"/>
              </w:rPr>
            </w:pPr>
            <w:r>
              <w:rPr>
                <w:sz w:val="24"/>
              </w:rPr>
              <w:t>Indeks</w:t>
            </w:r>
            <w:r>
              <w:rPr>
                <w:spacing w:val="-5"/>
                <w:sz w:val="24"/>
              </w:rPr>
              <w:t> </w:t>
            </w:r>
            <w:r>
              <w:rPr>
                <w:spacing w:val="-4"/>
                <w:sz w:val="24"/>
              </w:rPr>
              <w:t>LQ45</w:t>
            </w:r>
          </w:p>
        </w:tc>
        <w:tc>
          <w:tcPr>
            <w:tcW w:w="1997" w:type="dxa"/>
          </w:tcPr>
          <w:p>
            <w:pPr>
              <w:pStyle w:val="TableParagraph"/>
              <w:tabs>
                <w:tab w:pos="1338" w:val="left" w:leader="none"/>
                <w:tab w:pos="1635" w:val="left" w:leader="none"/>
              </w:tabs>
              <w:spacing w:line="240" w:lineRule="auto" w:before="0"/>
              <w:ind w:right="96"/>
              <w:rPr>
                <w:sz w:val="24"/>
              </w:rPr>
            </w:pPr>
            <w:r>
              <w:rPr>
                <w:spacing w:val="-2"/>
                <w:sz w:val="24"/>
              </w:rPr>
              <w:t>Penelitian</w:t>
            </w:r>
            <w:r>
              <w:rPr>
                <w:sz w:val="24"/>
              </w:rPr>
              <w:tab/>
              <w:tab/>
            </w:r>
            <w:r>
              <w:rPr>
                <w:spacing w:val="-4"/>
                <w:sz w:val="24"/>
              </w:rPr>
              <w:t>ini </w:t>
            </w:r>
            <w:r>
              <w:rPr>
                <w:spacing w:val="-2"/>
                <w:sz w:val="24"/>
              </w:rPr>
              <w:t>menggunakan </w:t>
            </w:r>
            <w:r>
              <w:rPr>
                <w:sz w:val="24"/>
              </w:rPr>
              <w:t>metode</w:t>
            </w:r>
            <w:r>
              <w:rPr>
                <w:spacing w:val="-4"/>
                <w:sz w:val="24"/>
              </w:rPr>
              <w:t> </w:t>
            </w:r>
            <w:r>
              <w:rPr>
                <w:sz w:val="24"/>
              </w:rPr>
              <w:t>kuantitatif dan</w:t>
            </w:r>
            <w:r>
              <w:rPr>
                <w:spacing w:val="-15"/>
                <w:sz w:val="24"/>
              </w:rPr>
              <w:t> </w:t>
            </w:r>
            <w:r>
              <w:rPr>
                <w:sz w:val="24"/>
              </w:rPr>
              <w:t>teknik</w:t>
            </w:r>
            <w:r>
              <w:rPr>
                <w:spacing w:val="-15"/>
                <w:sz w:val="24"/>
              </w:rPr>
              <w:t> </w:t>
            </w:r>
            <w:r>
              <w:rPr>
                <w:sz w:val="24"/>
              </w:rPr>
              <w:t>analisis </w:t>
            </w:r>
            <w:r>
              <w:rPr>
                <w:spacing w:val="-2"/>
                <w:sz w:val="24"/>
              </w:rPr>
              <w:t>regresi</w:t>
            </w:r>
            <w:r>
              <w:rPr>
                <w:sz w:val="24"/>
              </w:rPr>
              <w:tab/>
            </w:r>
            <w:r>
              <w:rPr>
                <w:spacing w:val="-2"/>
                <w:sz w:val="24"/>
              </w:rPr>
              <w:t>linear berganda</w:t>
            </w:r>
          </w:p>
        </w:tc>
        <w:tc>
          <w:tcPr>
            <w:tcW w:w="2192" w:type="dxa"/>
          </w:tcPr>
          <w:p>
            <w:pPr>
              <w:pStyle w:val="TableParagraph"/>
              <w:spacing w:line="240" w:lineRule="auto" w:before="0"/>
              <w:ind w:right="99"/>
              <w:jc w:val="both"/>
              <w:rPr>
                <w:sz w:val="24"/>
              </w:rPr>
            </w:pPr>
            <w:r>
              <w:rPr>
                <w:sz w:val="24"/>
              </w:rPr>
              <w:t>Inflasi</w:t>
            </w:r>
            <w:r>
              <w:rPr>
                <w:spacing w:val="-15"/>
                <w:sz w:val="24"/>
              </w:rPr>
              <w:t> </w:t>
            </w:r>
            <w:r>
              <w:rPr>
                <w:sz w:val="24"/>
              </w:rPr>
              <w:t>dan</w:t>
            </w:r>
            <w:r>
              <w:rPr>
                <w:spacing w:val="-15"/>
                <w:sz w:val="24"/>
              </w:rPr>
              <w:t> </w:t>
            </w:r>
            <w:r>
              <w:rPr>
                <w:sz w:val="24"/>
              </w:rPr>
              <w:t>nilai</w:t>
            </w:r>
            <w:r>
              <w:rPr>
                <w:spacing w:val="-15"/>
                <w:sz w:val="24"/>
              </w:rPr>
              <w:t> </w:t>
            </w:r>
            <w:r>
              <w:rPr>
                <w:sz w:val="24"/>
              </w:rPr>
              <w:t>kurs berpengaruh positif dan tidak signifikan terhadap return saham perbankan dalam Indeks LQ45</w:t>
            </w:r>
          </w:p>
        </w:tc>
      </w:tr>
    </w:tbl>
    <w:p>
      <w:pPr>
        <w:pStyle w:val="BodyText"/>
        <w:rPr>
          <w:b/>
        </w:rPr>
      </w:pPr>
    </w:p>
    <w:p>
      <w:pPr>
        <w:pStyle w:val="BodyText"/>
        <w:spacing w:before="42"/>
        <w:rPr>
          <w:b/>
        </w:rPr>
      </w:pPr>
    </w:p>
    <w:p>
      <w:pPr>
        <w:pStyle w:val="Heading2"/>
        <w:numPr>
          <w:ilvl w:val="1"/>
          <w:numId w:val="12"/>
        </w:numPr>
        <w:tabs>
          <w:tab w:pos="874" w:val="left" w:leader="none"/>
        </w:tabs>
        <w:spacing w:line="240" w:lineRule="auto" w:before="0" w:after="0"/>
        <w:ind w:left="874" w:right="0" w:hanging="359"/>
        <w:jc w:val="left"/>
      </w:pPr>
      <w:bookmarkStart w:name="_bookmark97" w:id="98"/>
      <w:bookmarkEnd w:id="98"/>
      <w:r>
        <w:rPr>
          <w:b w:val="0"/>
        </w:rPr>
      </w:r>
      <w:r>
        <w:rPr/>
        <w:t>Kerangka</w:t>
      </w:r>
      <w:r>
        <w:rPr>
          <w:spacing w:val="-6"/>
        </w:rPr>
        <w:t> </w:t>
      </w:r>
      <w:r>
        <w:rPr>
          <w:spacing w:val="-4"/>
        </w:rPr>
        <w:t>Teori</w:t>
      </w:r>
    </w:p>
    <w:p>
      <w:pPr>
        <w:pStyle w:val="BodyText"/>
        <w:spacing w:before="24"/>
        <w:rPr>
          <w:b/>
        </w:rPr>
      </w:pPr>
    </w:p>
    <w:p>
      <w:pPr>
        <w:pStyle w:val="BodyText"/>
        <w:spacing w:line="360" w:lineRule="auto" w:before="1"/>
        <w:ind w:left="875" w:right="166" w:firstLine="588"/>
        <w:jc w:val="both"/>
      </w:pPr>
      <w:r>
        <w:rPr/>
        <w:t>Hubungan antara variabel independen dan dependen yang diteliti dijelaskan secara teoritis oleh kerangka teori. Dengan demikian, gambar di bawah ini menjelaskan landasan teori penelitian.</w:t>
      </w:r>
    </w:p>
    <w:p>
      <w:pPr>
        <w:pStyle w:val="BodyText"/>
        <w:spacing w:after="0" w:line="360" w:lineRule="auto"/>
        <w:jc w:val="both"/>
        <w:sectPr>
          <w:type w:val="continuous"/>
          <w:pgSz w:w="11910" w:h="16840"/>
          <w:pgMar w:header="0" w:footer="1000" w:top="1400" w:bottom="1200" w:left="1417" w:right="1275"/>
        </w:sectPr>
      </w:pPr>
    </w:p>
    <w:p>
      <w:pPr>
        <w:pStyle w:val="Heading2"/>
        <w:spacing w:before="60"/>
        <w:ind w:left="1579" w:right="1721"/>
        <w:jc w:val="center"/>
      </w:pPr>
      <w:r>
        <w:rPr/>
        <w:t>Gambar</w:t>
      </w:r>
      <w:r>
        <w:rPr>
          <w:spacing w:val="-2"/>
        </w:rPr>
        <w:t> </w:t>
      </w:r>
      <w:r>
        <w:rPr/>
        <w:t>2.1</w:t>
      </w:r>
      <w:r>
        <w:rPr>
          <w:spacing w:val="-2"/>
        </w:rPr>
        <w:t> </w:t>
      </w:r>
      <w:r>
        <w:rPr/>
        <w:t>Kerangka</w:t>
      </w:r>
      <w:r>
        <w:rPr>
          <w:spacing w:val="-3"/>
        </w:rPr>
        <w:t> </w:t>
      </w:r>
      <w:r>
        <w:rPr>
          <w:spacing w:val="-2"/>
        </w:rPr>
        <w:t>Teori</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90"/>
        <w:rPr>
          <w:b/>
        </w:rPr>
      </w:pPr>
    </w:p>
    <w:p>
      <w:pPr>
        <w:spacing w:before="0"/>
        <w:ind w:left="0" w:right="134" w:firstLine="0"/>
        <w:jc w:val="center"/>
        <w:rPr>
          <w:rFonts w:ascii="Cambria Math" w:hAnsi="Cambria Math"/>
          <w:position w:val="1"/>
          <w:sz w:val="24"/>
        </w:rPr>
      </w:pPr>
      <w:r>
        <w:rPr>
          <w:rFonts w:ascii="Cambria Math" w:hAnsi="Cambria Math"/>
          <w:position w:val="1"/>
          <w:sz w:val="24"/>
        </w:rPr>
        <mc:AlternateContent>
          <mc:Choice Requires="wps">
            <w:drawing>
              <wp:anchor distT="0" distB="0" distL="0" distR="0" allowOverlap="1" layoutInCell="1" locked="0" behindDoc="1" simplePos="0" relativeHeight="484616192">
                <wp:simplePos x="0" y="0"/>
                <wp:positionH relativeFrom="page">
                  <wp:posOffset>1538287</wp:posOffset>
                </wp:positionH>
                <wp:positionV relativeFrom="paragraph">
                  <wp:posOffset>-1031057</wp:posOffset>
                </wp:positionV>
                <wp:extent cx="5133975" cy="3006725"/>
                <wp:effectExtent l="0" t="0" r="0" b="0"/>
                <wp:wrapNone/>
                <wp:docPr id="278" name="Group 278"/>
                <wp:cNvGraphicFramePr>
                  <a:graphicFrameLocks/>
                </wp:cNvGraphicFramePr>
                <a:graphic>
                  <a:graphicData uri="http://schemas.microsoft.com/office/word/2010/wordprocessingGroup">
                    <wpg:wgp>
                      <wpg:cNvPr id="278" name="Group 278"/>
                      <wpg:cNvGrpSpPr/>
                      <wpg:grpSpPr>
                        <a:xfrm>
                          <a:off x="0" y="0"/>
                          <a:ext cx="5133975" cy="3006725"/>
                          <a:chExt cx="5133975" cy="3006725"/>
                        </a:xfrm>
                      </wpg:grpSpPr>
                      <wps:wsp>
                        <wps:cNvPr id="279" name="Graphic 279"/>
                        <wps:cNvSpPr/>
                        <wps:spPr>
                          <a:xfrm>
                            <a:off x="1496377" y="208470"/>
                            <a:ext cx="1813560" cy="2716530"/>
                          </a:xfrm>
                          <a:custGeom>
                            <a:avLst/>
                            <a:gdLst/>
                            <a:ahLst/>
                            <a:cxnLst/>
                            <a:rect l="l" t="t" r="r" b="b"/>
                            <a:pathLst>
                              <a:path w="1813560" h="2716530">
                                <a:moveTo>
                                  <a:pt x="1813560" y="1358392"/>
                                </a:moveTo>
                                <a:lnTo>
                                  <a:pt x="1715135" y="1369568"/>
                                </a:lnTo>
                                <a:lnTo>
                                  <a:pt x="1711579" y="1370076"/>
                                </a:lnTo>
                                <a:lnTo>
                                  <a:pt x="1709166" y="1373124"/>
                                </a:lnTo>
                                <a:lnTo>
                                  <a:pt x="1709928" y="1380109"/>
                                </a:lnTo>
                                <a:lnTo>
                                  <a:pt x="1713103" y="1382649"/>
                                </a:lnTo>
                                <a:lnTo>
                                  <a:pt x="1780844" y="1374902"/>
                                </a:lnTo>
                                <a:lnTo>
                                  <a:pt x="0" y="2705862"/>
                                </a:lnTo>
                                <a:lnTo>
                                  <a:pt x="7620" y="2716022"/>
                                </a:lnTo>
                                <a:lnTo>
                                  <a:pt x="1788553" y="1385011"/>
                                </a:lnTo>
                                <a:lnTo>
                                  <a:pt x="1761871" y="1447927"/>
                                </a:lnTo>
                                <a:lnTo>
                                  <a:pt x="1763395" y="1451610"/>
                                </a:lnTo>
                                <a:lnTo>
                                  <a:pt x="1766570" y="1453007"/>
                                </a:lnTo>
                                <a:lnTo>
                                  <a:pt x="1769872" y="1454404"/>
                                </a:lnTo>
                                <a:lnTo>
                                  <a:pt x="1773237" y="1453007"/>
                                </a:lnTo>
                                <a:lnTo>
                                  <a:pt x="1773491" y="1453007"/>
                                </a:lnTo>
                                <a:lnTo>
                                  <a:pt x="1812531" y="1360805"/>
                                </a:lnTo>
                                <a:lnTo>
                                  <a:pt x="1813560" y="1358392"/>
                                </a:lnTo>
                                <a:close/>
                              </a:path>
                              <a:path w="1813560" h="2716530">
                                <a:moveTo>
                                  <a:pt x="1813560" y="1176782"/>
                                </a:moveTo>
                                <a:lnTo>
                                  <a:pt x="1804085" y="1174877"/>
                                </a:lnTo>
                                <a:lnTo>
                                  <a:pt x="1716405" y="1157224"/>
                                </a:lnTo>
                                <a:lnTo>
                                  <a:pt x="1712976" y="1156589"/>
                                </a:lnTo>
                                <a:lnTo>
                                  <a:pt x="1709674" y="1158748"/>
                                </a:lnTo>
                                <a:lnTo>
                                  <a:pt x="1708912" y="1162177"/>
                                </a:lnTo>
                                <a:lnTo>
                                  <a:pt x="1708277" y="1165606"/>
                                </a:lnTo>
                                <a:lnTo>
                                  <a:pt x="1710436" y="1169035"/>
                                </a:lnTo>
                                <a:lnTo>
                                  <a:pt x="1713865" y="1169670"/>
                                </a:lnTo>
                                <a:lnTo>
                                  <a:pt x="1777428" y="1182458"/>
                                </a:lnTo>
                                <a:lnTo>
                                  <a:pt x="1778" y="1789938"/>
                                </a:lnTo>
                                <a:lnTo>
                                  <a:pt x="5842" y="1801876"/>
                                </a:lnTo>
                                <a:lnTo>
                                  <a:pt x="1781556" y="1194422"/>
                                </a:lnTo>
                                <a:lnTo>
                                  <a:pt x="1739138" y="1243457"/>
                                </a:lnTo>
                                <a:lnTo>
                                  <a:pt x="1736852" y="1245997"/>
                                </a:lnTo>
                                <a:lnTo>
                                  <a:pt x="1737106" y="1250061"/>
                                </a:lnTo>
                                <a:lnTo>
                                  <a:pt x="1742440" y="1254633"/>
                                </a:lnTo>
                                <a:lnTo>
                                  <a:pt x="1746504" y="1254379"/>
                                </a:lnTo>
                                <a:lnTo>
                                  <a:pt x="1813560" y="1176782"/>
                                </a:lnTo>
                                <a:close/>
                              </a:path>
                              <a:path w="1813560" h="2716530">
                                <a:moveTo>
                                  <a:pt x="1813560" y="1007872"/>
                                </a:moveTo>
                                <a:lnTo>
                                  <a:pt x="1808111" y="1004697"/>
                                </a:lnTo>
                                <a:lnTo>
                                  <a:pt x="1731137" y="959739"/>
                                </a:lnTo>
                                <a:lnTo>
                                  <a:pt x="1729232" y="960247"/>
                                </a:lnTo>
                                <a:lnTo>
                                  <a:pt x="1727454" y="963295"/>
                                </a:lnTo>
                                <a:lnTo>
                                  <a:pt x="1727962" y="965327"/>
                                </a:lnTo>
                                <a:lnTo>
                                  <a:pt x="1729486" y="966089"/>
                                </a:lnTo>
                                <a:lnTo>
                                  <a:pt x="1795653" y="1004697"/>
                                </a:lnTo>
                                <a:lnTo>
                                  <a:pt x="3810" y="1004697"/>
                                </a:lnTo>
                                <a:lnTo>
                                  <a:pt x="3810" y="1011047"/>
                                </a:lnTo>
                                <a:lnTo>
                                  <a:pt x="1795449" y="1011047"/>
                                </a:lnTo>
                                <a:lnTo>
                                  <a:pt x="1727962" y="1050417"/>
                                </a:lnTo>
                                <a:lnTo>
                                  <a:pt x="1727454" y="1052449"/>
                                </a:lnTo>
                                <a:lnTo>
                                  <a:pt x="1728343" y="1053846"/>
                                </a:lnTo>
                                <a:lnTo>
                                  <a:pt x="1729232" y="1055370"/>
                                </a:lnTo>
                                <a:lnTo>
                                  <a:pt x="1731137" y="1055878"/>
                                </a:lnTo>
                                <a:lnTo>
                                  <a:pt x="1808099" y="1011047"/>
                                </a:lnTo>
                                <a:lnTo>
                                  <a:pt x="1813560" y="1007872"/>
                                </a:lnTo>
                                <a:close/>
                              </a:path>
                              <a:path w="1813560" h="2716530">
                                <a:moveTo>
                                  <a:pt x="1813560" y="824992"/>
                                </a:moveTo>
                                <a:lnTo>
                                  <a:pt x="1756156" y="744220"/>
                                </a:lnTo>
                                <a:lnTo>
                                  <a:pt x="1754124" y="741299"/>
                                </a:lnTo>
                                <a:lnTo>
                                  <a:pt x="1750187" y="740664"/>
                                </a:lnTo>
                                <a:lnTo>
                                  <a:pt x="1747393" y="742696"/>
                                </a:lnTo>
                                <a:lnTo>
                                  <a:pt x="1744472" y="744728"/>
                                </a:lnTo>
                                <a:lnTo>
                                  <a:pt x="1743837" y="748665"/>
                                </a:lnTo>
                                <a:lnTo>
                                  <a:pt x="1745869" y="751586"/>
                                </a:lnTo>
                                <a:lnTo>
                                  <a:pt x="1783346" y="804367"/>
                                </a:lnTo>
                                <a:lnTo>
                                  <a:pt x="6477" y="0"/>
                                </a:lnTo>
                                <a:lnTo>
                                  <a:pt x="1143" y="11557"/>
                                </a:lnTo>
                                <a:lnTo>
                                  <a:pt x="1777949" y="815898"/>
                                </a:lnTo>
                                <a:lnTo>
                                  <a:pt x="1710182" y="822960"/>
                                </a:lnTo>
                                <a:lnTo>
                                  <a:pt x="1707642" y="826008"/>
                                </a:lnTo>
                                <a:lnTo>
                                  <a:pt x="1708404" y="832993"/>
                                </a:lnTo>
                                <a:lnTo>
                                  <a:pt x="1711579" y="835533"/>
                                </a:lnTo>
                                <a:lnTo>
                                  <a:pt x="1807400" y="825627"/>
                                </a:lnTo>
                                <a:lnTo>
                                  <a:pt x="1813560" y="824992"/>
                                </a:lnTo>
                                <a:close/>
                              </a:path>
                            </a:pathLst>
                          </a:custGeom>
                          <a:solidFill>
                            <a:srgbClr val="000000"/>
                          </a:solidFill>
                        </wps:spPr>
                        <wps:bodyPr wrap="square" lIns="0" tIns="0" rIns="0" bIns="0" rtlCol="0">
                          <a:prstTxWarp prst="textNoShape">
                            <a:avLst/>
                          </a:prstTxWarp>
                          <a:noAutofit/>
                        </wps:bodyPr>
                      </wps:wsp>
                      <wps:wsp>
                        <wps:cNvPr id="280" name="Textbox 280"/>
                        <wps:cNvSpPr txBox="1"/>
                        <wps:spPr>
                          <a:xfrm>
                            <a:off x="1497520" y="208470"/>
                            <a:ext cx="1812925" cy="835660"/>
                          </a:xfrm>
                          <a:prstGeom prst="rect">
                            <a:avLst/>
                          </a:prstGeom>
                        </wps:spPr>
                        <wps:txbx>
                          <w:txbxContent>
                            <w:p>
                              <w:pPr>
                                <w:spacing w:before="139"/>
                                <w:ind w:left="0" w:right="501" w:firstLine="0"/>
                                <w:jc w:val="center"/>
                                <w:rPr>
                                  <w:rFonts w:ascii="Cambria Math"/>
                                  <w:position w:val="1"/>
                                  <w:sz w:val="24"/>
                                </w:rPr>
                              </w:pPr>
                              <w:r>
                                <w:rPr>
                                  <w:rFonts w:ascii="Cambria Math"/>
                                  <w:spacing w:val="-5"/>
                                  <w:position w:val="1"/>
                                  <w:sz w:val="24"/>
                                </w:rPr>
                                <w:t>(</w:t>
                              </w:r>
                              <w:r>
                                <w:rPr>
                                  <w:rFonts w:ascii="Cambria Math"/>
                                  <w:spacing w:val="-5"/>
                                  <w:sz w:val="24"/>
                                </w:rPr>
                                <w:t>+</w:t>
                              </w:r>
                              <w:r>
                                <w:rPr>
                                  <w:rFonts w:ascii="Cambria Math"/>
                                  <w:spacing w:val="-5"/>
                                  <w:position w:val="1"/>
                                  <w:sz w:val="24"/>
                                </w:rPr>
                                <w:t>)</w:t>
                              </w:r>
                            </w:p>
                          </w:txbxContent>
                        </wps:txbx>
                        <wps:bodyPr wrap="square" lIns="0" tIns="0" rIns="0" bIns="0" rtlCol="0">
                          <a:noAutofit/>
                        </wps:bodyPr>
                      </wps:wsp>
                      <wps:wsp>
                        <wps:cNvPr id="281" name="Textbox 281"/>
                        <wps:cNvSpPr txBox="1"/>
                        <wps:spPr>
                          <a:xfrm>
                            <a:off x="14287" y="14287"/>
                            <a:ext cx="1485900" cy="628650"/>
                          </a:xfrm>
                          <a:prstGeom prst="rect">
                            <a:avLst/>
                          </a:prstGeom>
                          <a:ln w="28575">
                            <a:solidFill>
                              <a:srgbClr val="000000"/>
                            </a:solidFill>
                            <a:prstDash val="solid"/>
                          </a:ln>
                        </wps:spPr>
                        <wps:txbx>
                          <w:txbxContent>
                            <w:p>
                              <w:pPr>
                                <w:spacing w:line="261" w:lineRule="auto" w:before="93"/>
                                <w:ind w:left="372" w:right="272" w:hanging="94"/>
                                <w:jc w:val="left"/>
                                <w:rPr>
                                  <w:sz w:val="24"/>
                                </w:rPr>
                              </w:pPr>
                              <w:r>
                                <w:rPr>
                                  <w:sz w:val="24"/>
                                </w:rPr>
                                <w:t>Indeks</w:t>
                              </w:r>
                              <w:r>
                                <w:rPr>
                                  <w:spacing w:val="-15"/>
                                  <w:sz w:val="24"/>
                                </w:rPr>
                                <w:t> </w:t>
                              </w:r>
                              <w:r>
                                <w:rPr>
                                  <w:sz w:val="24"/>
                                </w:rPr>
                                <w:t>Keyakinan Konsumen (X1)</w:t>
                              </w:r>
                            </w:p>
                          </w:txbxContent>
                        </wps:txbx>
                        <wps:bodyPr wrap="square" lIns="0" tIns="0" rIns="0" bIns="0" rtlCol="0">
                          <a:noAutofit/>
                        </wps:bodyPr>
                      </wps:wsp>
                      <wps:wsp>
                        <wps:cNvPr id="282" name="Textbox 282"/>
                        <wps:cNvSpPr txBox="1"/>
                        <wps:spPr>
                          <a:xfrm>
                            <a:off x="3309937" y="1029652"/>
                            <a:ext cx="1809750" cy="685800"/>
                          </a:xfrm>
                          <a:prstGeom prst="rect">
                            <a:avLst/>
                          </a:prstGeom>
                          <a:ln w="28575">
                            <a:solidFill>
                              <a:srgbClr val="000000"/>
                            </a:solidFill>
                            <a:prstDash val="solid"/>
                          </a:ln>
                        </wps:spPr>
                        <wps:txbx>
                          <w:txbxContent>
                            <w:p>
                              <w:pPr>
                                <w:spacing w:line="259" w:lineRule="auto" w:before="138"/>
                                <w:ind w:left="739" w:right="329" w:hanging="408"/>
                                <w:jc w:val="left"/>
                                <w:rPr>
                                  <w:sz w:val="24"/>
                                </w:rPr>
                              </w:pPr>
                              <w:r>
                                <w:rPr>
                                  <w:sz w:val="24"/>
                                </w:rPr>
                                <w:t>Indeks</w:t>
                              </w:r>
                              <w:r>
                                <w:rPr>
                                  <w:spacing w:val="-15"/>
                                  <w:sz w:val="24"/>
                                </w:rPr>
                                <w:t> </w:t>
                              </w:r>
                              <w:r>
                                <w:rPr>
                                  <w:sz w:val="24"/>
                                </w:rPr>
                                <w:t>Saham</w:t>
                              </w:r>
                              <w:r>
                                <w:rPr>
                                  <w:spacing w:val="-15"/>
                                  <w:sz w:val="24"/>
                                </w:rPr>
                                <w:t> </w:t>
                              </w:r>
                              <w:r>
                                <w:rPr>
                                  <w:sz w:val="24"/>
                                </w:rPr>
                                <w:t>Syariah Indonesia (Y)</w:t>
                              </w:r>
                            </w:p>
                          </w:txbxContent>
                        </wps:txbx>
                        <wps:bodyPr wrap="square" lIns="0" tIns="0" rIns="0" bIns="0" rtlCol="0">
                          <a:noAutofit/>
                        </wps:bodyPr>
                      </wps:wsp>
                      <wps:wsp>
                        <wps:cNvPr id="283" name="Textbox 283"/>
                        <wps:cNvSpPr txBox="1"/>
                        <wps:spPr>
                          <a:xfrm>
                            <a:off x="14287" y="922337"/>
                            <a:ext cx="1485900" cy="457200"/>
                          </a:xfrm>
                          <a:prstGeom prst="rect">
                            <a:avLst/>
                          </a:prstGeom>
                          <a:ln w="28575">
                            <a:solidFill>
                              <a:srgbClr val="000000"/>
                            </a:solidFill>
                            <a:prstDash val="solid"/>
                          </a:ln>
                        </wps:spPr>
                        <wps:txbx>
                          <w:txbxContent>
                            <w:p>
                              <w:pPr>
                                <w:spacing w:before="108"/>
                                <w:ind w:left="333" w:right="0" w:firstLine="0"/>
                                <w:jc w:val="left"/>
                                <w:rPr>
                                  <w:sz w:val="24"/>
                                </w:rPr>
                              </w:pPr>
                              <w:r>
                                <w:rPr>
                                  <w:sz w:val="24"/>
                                </w:rPr>
                                <w:t>Nilai</w:t>
                              </w:r>
                              <w:r>
                                <w:rPr>
                                  <w:spacing w:val="-3"/>
                                  <w:sz w:val="24"/>
                                </w:rPr>
                                <w:t> </w:t>
                              </w:r>
                              <w:r>
                                <w:rPr>
                                  <w:sz w:val="24"/>
                                </w:rPr>
                                <w:t>Tukar</w:t>
                              </w:r>
                              <w:r>
                                <w:rPr>
                                  <w:spacing w:val="-2"/>
                                  <w:sz w:val="24"/>
                                </w:rPr>
                                <w:t> </w:t>
                              </w:r>
                              <w:r>
                                <w:rPr>
                                  <w:spacing w:val="-4"/>
                                  <w:sz w:val="24"/>
                                </w:rPr>
                                <w:t>(X2)</w:t>
                              </w:r>
                            </w:p>
                          </w:txbxContent>
                        </wps:txbx>
                        <wps:bodyPr wrap="square" lIns="0" tIns="0" rIns="0" bIns="0" rtlCol="0">
                          <a:noAutofit/>
                        </wps:bodyPr>
                      </wps:wsp>
                      <wps:wsp>
                        <wps:cNvPr id="284" name="Textbox 284"/>
                        <wps:cNvSpPr txBox="1"/>
                        <wps:spPr>
                          <a:xfrm>
                            <a:off x="2158047" y="1792490"/>
                            <a:ext cx="254635" cy="158750"/>
                          </a:xfrm>
                          <a:prstGeom prst="rect">
                            <a:avLst/>
                          </a:prstGeom>
                        </wps:spPr>
                        <wps:txbx>
                          <w:txbxContent>
                            <w:p>
                              <w:pPr>
                                <w:spacing w:line="250" w:lineRule="exact" w:before="0"/>
                                <w:ind w:left="0" w:right="0" w:firstLine="0"/>
                                <w:jc w:val="left"/>
                                <w:rPr>
                                  <w:rFonts w:ascii="Cambria Math" w:hAnsi="Cambria Math"/>
                                  <w:position w:val="1"/>
                                  <w:sz w:val="24"/>
                                </w:rPr>
                              </w:pPr>
                              <w:r>
                                <w:rPr>
                                  <w:rFonts w:ascii="Cambria Math" w:hAnsi="Cambria Math"/>
                                  <w:spacing w:val="-5"/>
                                  <w:position w:val="1"/>
                                  <w:sz w:val="24"/>
                                </w:rPr>
                                <w:t>(</w:t>
                              </w:r>
                              <w:r>
                                <w:rPr>
                                  <w:rFonts w:ascii="Cambria Math" w:hAnsi="Cambria Math"/>
                                  <w:spacing w:val="-5"/>
                                  <w:sz w:val="24"/>
                                </w:rPr>
                                <w:t>−</w:t>
                              </w:r>
                              <w:r>
                                <w:rPr>
                                  <w:rFonts w:ascii="Cambria Math" w:hAnsi="Cambria Math"/>
                                  <w:spacing w:val="-5"/>
                                  <w:position w:val="1"/>
                                  <w:sz w:val="24"/>
                                </w:rPr>
                                <w:t>)</w:t>
                              </w:r>
                            </w:p>
                          </w:txbxContent>
                        </wps:txbx>
                        <wps:bodyPr wrap="square" lIns="0" tIns="0" rIns="0" bIns="0" rtlCol="0">
                          <a:noAutofit/>
                        </wps:bodyPr>
                      </wps:wsp>
                      <wps:wsp>
                        <wps:cNvPr id="285" name="Textbox 285"/>
                        <wps:cNvSpPr txBox="1"/>
                        <wps:spPr>
                          <a:xfrm>
                            <a:off x="2158047" y="2525915"/>
                            <a:ext cx="254635" cy="158750"/>
                          </a:xfrm>
                          <a:prstGeom prst="rect">
                            <a:avLst/>
                          </a:prstGeom>
                        </wps:spPr>
                        <wps:txbx>
                          <w:txbxContent>
                            <w:p>
                              <w:pPr>
                                <w:spacing w:line="250" w:lineRule="exact" w:before="0"/>
                                <w:ind w:left="0" w:right="0" w:firstLine="0"/>
                                <w:jc w:val="left"/>
                                <w:rPr>
                                  <w:rFonts w:ascii="Cambria Math"/>
                                  <w:position w:val="1"/>
                                  <w:sz w:val="24"/>
                                </w:rPr>
                              </w:pPr>
                              <w:r>
                                <w:rPr>
                                  <w:rFonts w:ascii="Cambria Math"/>
                                  <w:spacing w:val="-5"/>
                                  <w:position w:val="1"/>
                                  <w:sz w:val="24"/>
                                </w:rPr>
                                <w:t>(</w:t>
                              </w:r>
                              <w:r>
                                <w:rPr>
                                  <w:rFonts w:ascii="Cambria Math"/>
                                  <w:spacing w:val="-5"/>
                                  <w:sz w:val="24"/>
                                </w:rPr>
                                <w:t>+</w:t>
                              </w:r>
                              <w:r>
                                <w:rPr>
                                  <w:rFonts w:ascii="Cambria Math"/>
                                  <w:spacing w:val="-5"/>
                                  <w:position w:val="1"/>
                                  <w:sz w:val="24"/>
                                </w:rPr>
                                <w:t>)</w:t>
                              </w:r>
                            </w:p>
                          </w:txbxContent>
                        </wps:txbx>
                        <wps:bodyPr wrap="square" lIns="0" tIns="0" rIns="0" bIns="0" rtlCol="0">
                          <a:noAutofit/>
                        </wps:bodyPr>
                      </wps:wsp>
                      <wps:wsp>
                        <wps:cNvPr id="286" name="Textbox 286"/>
                        <wps:cNvSpPr txBox="1"/>
                        <wps:spPr>
                          <a:xfrm>
                            <a:off x="14287" y="2535237"/>
                            <a:ext cx="1485900" cy="457200"/>
                          </a:xfrm>
                          <a:prstGeom prst="rect">
                            <a:avLst/>
                          </a:prstGeom>
                          <a:ln w="28575">
                            <a:solidFill>
                              <a:srgbClr val="000000"/>
                            </a:solidFill>
                            <a:prstDash val="solid"/>
                          </a:ln>
                        </wps:spPr>
                        <wps:txbx>
                          <w:txbxContent>
                            <w:p>
                              <w:pPr>
                                <w:spacing w:before="108"/>
                                <w:ind w:left="744" w:right="0" w:firstLine="0"/>
                                <w:jc w:val="left"/>
                                <w:rPr>
                                  <w:sz w:val="24"/>
                                </w:rPr>
                              </w:pPr>
                              <w:r>
                                <w:rPr>
                                  <w:sz w:val="24"/>
                                </w:rPr>
                                <w:t>IPI</w:t>
                              </w:r>
                              <w:r>
                                <w:rPr>
                                  <w:spacing w:val="-2"/>
                                  <w:sz w:val="24"/>
                                </w:rPr>
                                <w:t> </w:t>
                              </w:r>
                              <w:r>
                                <w:rPr>
                                  <w:spacing w:val="-4"/>
                                  <w:sz w:val="24"/>
                                </w:rPr>
                                <w:t>(X4)</w:t>
                              </w:r>
                            </w:p>
                          </w:txbxContent>
                        </wps:txbx>
                        <wps:bodyPr wrap="square" lIns="0" tIns="0" rIns="0" bIns="0" rtlCol="0">
                          <a:noAutofit/>
                        </wps:bodyPr>
                      </wps:wsp>
                      <wps:wsp>
                        <wps:cNvPr id="287" name="Textbox 287"/>
                        <wps:cNvSpPr txBox="1"/>
                        <wps:spPr>
                          <a:xfrm>
                            <a:off x="14287" y="1714817"/>
                            <a:ext cx="1485900" cy="523875"/>
                          </a:xfrm>
                          <a:prstGeom prst="rect">
                            <a:avLst/>
                          </a:prstGeom>
                          <a:ln w="28575">
                            <a:solidFill>
                              <a:srgbClr val="000000"/>
                            </a:solidFill>
                            <a:prstDash val="solid"/>
                          </a:ln>
                        </wps:spPr>
                        <wps:txbx>
                          <w:txbxContent>
                            <w:p>
                              <w:pPr>
                                <w:spacing w:before="161"/>
                                <w:ind w:left="585" w:right="0" w:firstLine="0"/>
                                <w:jc w:val="left"/>
                                <w:rPr>
                                  <w:sz w:val="24"/>
                                </w:rPr>
                              </w:pPr>
                              <w:r>
                                <w:rPr>
                                  <w:sz w:val="24"/>
                                </w:rPr>
                                <w:t>Inflasi</w:t>
                              </w:r>
                              <w:r>
                                <w:rPr>
                                  <w:spacing w:val="-4"/>
                                  <w:sz w:val="24"/>
                                </w:rPr>
                                <w:t> (X3)</w:t>
                              </w:r>
                            </w:p>
                          </w:txbxContent>
                        </wps:txbx>
                        <wps:bodyPr wrap="square" lIns="0" tIns="0" rIns="0" bIns="0" rtlCol="0">
                          <a:noAutofit/>
                        </wps:bodyPr>
                      </wps:wsp>
                    </wpg:wgp>
                  </a:graphicData>
                </a:graphic>
              </wp:anchor>
            </w:drawing>
          </mc:Choice>
          <mc:Fallback>
            <w:pict>
              <v:group style="position:absolute;margin-left:121.125pt;margin-top:-81.185623pt;width:404.25pt;height:236.75pt;mso-position-horizontal-relative:page;mso-position-vertical-relative:paragraph;z-index:-18700288" id="docshapegroup250" coordorigin="2423,-1624" coordsize="8085,4735">
                <v:shape style="position:absolute;left:4779;top:-1296;width:2856;height:4278" id="docshape251" coordorigin="4779,-1295" coordsize="2856,4278" path="m7635,844l7480,861,7474,862,7471,867,7472,878,7477,882,7583,870,4779,2966,4791,2982,7596,886,7554,985,7556,991,7561,993,7566,995,7572,993,7572,993,7633,848,7635,844xm7635,558l7620,555,7482,527,7477,526,7471,529,7470,535,7469,540,7473,546,7478,547,7578,567,4782,1523,4788,1542,7585,586,7518,663,7514,667,7515,673,7523,680,7529,680,7635,558xm7635,292l7626,287,7505,216,7502,217,7499,222,7500,225,7503,226,7607,287,4785,287,4785,297,7606,297,7500,359,7499,362,7501,364,7502,367,7505,367,7626,297,7635,292xm7635,4l7545,-123,7541,-128,7535,-129,7531,-126,7526,-123,7525,-116,7528,-112,7587,-29,4789,-1295,4781,-1277,7579,-11,7472,1,7468,5,7469,16,7474,20,7625,5,7635,4xe" filled="true" fillcolor="#000000" stroked="false">
                  <v:path arrowok="t"/>
                  <v:fill type="solid"/>
                </v:shape>
                <v:shape style="position:absolute;left:4780;top:-1296;width:2855;height:1316" type="#_x0000_t202" id="docshape252" filled="false" stroked="false">
                  <v:textbox inset="0,0,0,0">
                    <w:txbxContent>
                      <w:p>
                        <w:pPr>
                          <w:spacing w:before="139"/>
                          <w:ind w:left="0" w:right="501" w:firstLine="0"/>
                          <w:jc w:val="center"/>
                          <w:rPr>
                            <w:rFonts w:ascii="Cambria Math"/>
                            <w:position w:val="1"/>
                            <w:sz w:val="24"/>
                          </w:rPr>
                        </w:pPr>
                        <w:r>
                          <w:rPr>
                            <w:rFonts w:ascii="Cambria Math"/>
                            <w:spacing w:val="-5"/>
                            <w:position w:val="1"/>
                            <w:sz w:val="24"/>
                          </w:rPr>
                          <w:t>(</w:t>
                        </w:r>
                        <w:r>
                          <w:rPr>
                            <w:rFonts w:ascii="Cambria Math"/>
                            <w:spacing w:val="-5"/>
                            <w:sz w:val="24"/>
                          </w:rPr>
                          <w:t>+</w:t>
                        </w:r>
                        <w:r>
                          <w:rPr>
                            <w:rFonts w:ascii="Cambria Math"/>
                            <w:spacing w:val="-5"/>
                            <w:position w:val="1"/>
                            <w:sz w:val="24"/>
                          </w:rPr>
                          <w:t>)</w:t>
                        </w:r>
                      </w:p>
                    </w:txbxContent>
                  </v:textbox>
                  <w10:wrap type="none"/>
                </v:shape>
                <v:shape style="position:absolute;left:2445;top:-1602;width:2340;height:990" type="#_x0000_t202" id="docshape253" filled="false" stroked="true" strokeweight="2.25pt" strokecolor="#000000">
                  <v:textbox inset="0,0,0,0">
                    <w:txbxContent>
                      <w:p>
                        <w:pPr>
                          <w:spacing w:line="261" w:lineRule="auto" w:before="93"/>
                          <w:ind w:left="372" w:right="272" w:hanging="94"/>
                          <w:jc w:val="left"/>
                          <w:rPr>
                            <w:sz w:val="24"/>
                          </w:rPr>
                        </w:pPr>
                        <w:r>
                          <w:rPr>
                            <w:sz w:val="24"/>
                          </w:rPr>
                          <w:t>Indeks</w:t>
                        </w:r>
                        <w:r>
                          <w:rPr>
                            <w:spacing w:val="-15"/>
                            <w:sz w:val="24"/>
                          </w:rPr>
                          <w:t> </w:t>
                        </w:r>
                        <w:r>
                          <w:rPr>
                            <w:sz w:val="24"/>
                          </w:rPr>
                          <w:t>Keyakinan Konsumen (X1)</w:t>
                        </w:r>
                      </w:p>
                    </w:txbxContent>
                  </v:textbox>
                  <v:stroke dashstyle="solid"/>
                  <w10:wrap type="none"/>
                </v:shape>
                <v:shape style="position:absolute;left:7635;top:-3;width:2850;height:1080" type="#_x0000_t202" id="docshape254" filled="false" stroked="true" strokeweight="2.25pt" strokecolor="#000000">
                  <v:textbox inset="0,0,0,0">
                    <w:txbxContent>
                      <w:p>
                        <w:pPr>
                          <w:spacing w:line="259" w:lineRule="auto" w:before="138"/>
                          <w:ind w:left="739" w:right="329" w:hanging="408"/>
                          <w:jc w:val="left"/>
                          <w:rPr>
                            <w:sz w:val="24"/>
                          </w:rPr>
                        </w:pPr>
                        <w:r>
                          <w:rPr>
                            <w:sz w:val="24"/>
                          </w:rPr>
                          <w:t>Indeks</w:t>
                        </w:r>
                        <w:r>
                          <w:rPr>
                            <w:spacing w:val="-15"/>
                            <w:sz w:val="24"/>
                          </w:rPr>
                          <w:t> </w:t>
                        </w:r>
                        <w:r>
                          <w:rPr>
                            <w:sz w:val="24"/>
                          </w:rPr>
                          <w:t>Saham</w:t>
                        </w:r>
                        <w:r>
                          <w:rPr>
                            <w:spacing w:val="-15"/>
                            <w:sz w:val="24"/>
                          </w:rPr>
                          <w:t> </w:t>
                        </w:r>
                        <w:r>
                          <w:rPr>
                            <w:sz w:val="24"/>
                          </w:rPr>
                          <w:t>Syariah Indonesia (Y)</w:t>
                        </w:r>
                      </w:p>
                    </w:txbxContent>
                  </v:textbox>
                  <v:stroke dashstyle="solid"/>
                  <w10:wrap type="none"/>
                </v:shape>
                <v:shape style="position:absolute;left:2445;top:-172;width:2340;height:720" type="#_x0000_t202" id="docshape255" filled="false" stroked="true" strokeweight="2.25pt" strokecolor="#000000">
                  <v:textbox inset="0,0,0,0">
                    <w:txbxContent>
                      <w:p>
                        <w:pPr>
                          <w:spacing w:before="108"/>
                          <w:ind w:left="333" w:right="0" w:firstLine="0"/>
                          <w:jc w:val="left"/>
                          <w:rPr>
                            <w:sz w:val="24"/>
                          </w:rPr>
                        </w:pPr>
                        <w:r>
                          <w:rPr>
                            <w:sz w:val="24"/>
                          </w:rPr>
                          <w:t>Nilai</w:t>
                        </w:r>
                        <w:r>
                          <w:rPr>
                            <w:spacing w:val="-3"/>
                            <w:sz w:val="24"/>
                          </w:rPr>
                          <w:t> </w:t>
                        </w:r>
                        <w:r>
                          <w:rPr>
                            <w:sz w:val="24"/>
                          </w:rPr>
                          <w:t>Tukar</w:t>
                        </w:r>
                        <w:r>
                          <w:rPr>
                            <w:spacing w:val="-2"/>
                            <w:sz w:val="24"/>
                          </w:rPr>
                          <w:t> </w:t>
                        </w:r>
                        <w:r>
                          <w:rPr>
                            <w:spacing w:val="-4"/>
                            <w:sz w:val="24"/>
                          </w:rPr>
                          <w:t>(X2)</w:t>
                        </w:r>
                      </w:p>
                    </w:txbxContent>
                  </v:textbox>
                  <v:stroke dashstyle="solid"/>
                  <w10:wrap type="none"/>
                </v:shape>
                <v:shape style="position:absolute;left:5821;top:1199;width:401;height:250" type="#_x0000_t202" id="docshape256" filled="false" stroked="false">
                  <v:textbox inset="0,0,0,0">
                    <w:txbxContent>
                      <w:p>
                        <w:pPr>
                          <w:spacing w:line="250" w:lineRule="exact" w:before="0"/>
                          <w:ind w:left="0" w:right="0" w:firstLine="0"/>
                          <w:jc w:val="left"/>
                          <w:rPr>
                            <w:rFonts w:ascii="Cambria Math" w:hAnsi="Cambria Math"/>
                            <w:position w:val="1"/>
                            <w:sz w:val="24"/>
                          </w:rPr>
                        </w:pPr>
                        <w:r>
                          <w:rPr>
                            <w:rFonts w:ascii="Cambria Math" w:hAnsi="Cambria Math"/>
                            <w:spacing w:val="-5"/>
                            <w:position w:val="1"/>
                            <w:sz w:val="24"/>
                          </w:rPr>
                          <w:t>(</w:t>
                        </w:r>
                        <w:r>
                          <w:rPr>
                            <w:rFonts w:ascii="Cambria Math" w:hAnsi="Cambria Math"/>
                            <w:spacing w:val="-5"/>
                            <w:sz w:val="24"/>
                          </w:rPr>
                          <w:t>−</w:t>
                        </w:r>
                        <w:r>
                          <w:rPr>
                            <w:rFonts w:ascii="Cambria Math" w:hAnsi="Cambria Math"/>
                            <w:spacing w:val="-5"/>
                            <w:position w:val="1"/>
                            <w:sz w:val="24"/>
                          </w:rPr>
                          <w:t>)</w:t>
                        </w:r>
                      </w:p>
                    </w:txbxContent>
                  </v:textbox>
                  <w10:wrap type="none"/>
                </v:shape>
                <v:shape style="position:absolute;left:5821;top:2354;width:401;height:250" type="#_x0000_t202" id="docshape257" filled="false" stroked="false">
                  <v:textbox inset="0,0,0,0">
                    <w:txbxContent>
                      <w:p>
                        <w:pPr>
                          <w:spacing w:line="250" w:lineRule="exact" w:before="0"/>
                          <w:ind w:left="0" w:right="0" w:firstLine="0"/>
                          <w:jc w:val="left"/>
                          <w:rPr>
                            <w:rFonts w:ascii="Cambria Math"/>
                            <w:position w:val="1"/>
                            <w:sz w:val="24"/>
                          </w:rPr>
                        </w:pPr>
                        <w:r>
                          <w:rPr>
                            <w:rFonts w:ascii="Cambria Math"/>
                            <w:spacing w:val="-5"/>
                            <w:position w:val="1"/>
                            <w:sz w:val="24"/>
                          </w:rPr>
                          <w:t>(</w:t>
                        </w:r>
                        <w:r>
                          <w:rPr>
                            <w:rFonts w:ascii="Cambria Math"/>
                            <w:spacing w:val="-5"/>
                            <w:sz w:val="24"/>
                          </w:rPr>
                          <w:t>+</w:t>
                        </w:r>
                        <w:r>
                          <w:rPr>
                            <w:rFonts w:ascii="Cambria Math"/>
                            <w:spacing w:val="-5"/>
                            <w:position w:val="1"/>
                            <w:sz w:val="24"/>
                          </w:rPr>
                          <w:t>)</w:t>
                        </w:r>
                      </w:p>
                    </w:txbxContent>
                  </v:textbox>
                  <w10:wrap type="none"/>
                </v:shape>
                <v:shape style="position:absolute;left:2445;top:2368;width:2340;height:720" type="#_x0000_t202" id="docshape258" filled="false" stroked="true" strokeweight="2.25pt" strokecolor="#000000">
                  <v:textbox inset="0,0,0,0">
                    <w:txbxContent>
                      <w:p>
                        <w:pPr>
                          <w:spacing w:before="108"/>
                          <w:ind w:left="744" w:right="0" w:firstLine="0"/>
                          <w:jc w:val="left"/>
                          <w:rPr>
                            <w:sz w:val="24"/>
                          </w:rPr>
                        </w:pPr>
                        <w:r>
                          <w:rPr>
                            <w:sz w:val="24"/>
                          </w:rPr>
                          <w:t>IPI</w:t>
                        </w:r>
                        <w:r>
                          <w:rPr>
                            <w:spacing w:val="-2"/>
                            <w:sz w:val="24"/>
                          </w:rPr>
                          <w:t> </w:t>
                        </w:r>
                        <w:r>
                          <w:rPr>
                            <w:spacing w:val="-4"/>
                            <w:sz w:val="24"/>
                          </w:rPr>
                          <w:t>(X4)</w:t>
                        </w:r>
                      </w:p>
                    </w:txbxContent>
                  </v:textbox>
                  <v:stroke dashstyle="solid"/>
                  <w10:wrap type="none"/>
                </v:shape>
                <v:shape style="position:absolute;left:2445;top:1076;width:2340;height:825" type="#_x0000_t202" id="docshape259" filled="false" stroked="true" strokeweight="2.25pt" strokecolor="#000000">
                  <v:textbox inset="0,0,0,0">
                    <w:txbxContent>
                      <w:p>
                        <w:pPr>
                          <w:spacing w:before="161"/>
                          <w:ind w:left="585" w:right="0" w:firstLine="0"/>
                          <w:jc w:val="left"/>
                          <w:rPr>
                            <w:sz w:val="24"/>
                          </w:rPr>
                        </w:pPr>
                        <w:r>
                          <w:rPr>
                            <w:sz w:val="24"/>
                          </w:rPr>
                          <w:t>Inflasi</w:t>
                        </w:r>
                        <w:r>
                          <w:rPr>
                            <w:spacing w:val="-4"/>
                            <w:sz w:val="24"/>
                          </w:rPr>
                          <w:t> (X3)</w:t>
                        </w:r>
                      </w:p>
                    </w:txbxContent>
                  </v:textbox>
                  <v:stroke dashstyle="solid"/>
                  <w10:wrap type="none"/>
                </v:shape>
                <w10:wrap type="none"/>
              </v:group>
            </w:pict>
          </mc:Fallback>
        </mc:AlternateContent>
      </w:r>
      <w:r>
        <w:rPr>
          <w:rFonts w:ascii="Cambria Math" w:hAnsi="Cambria Math"/>
          <w:spacing w:val="-5"/>
          <w:position w:val="1"/>
          <w:sz w:val="24"/>
        </w:rPr>
        <w:t>(</w:t>
      </w:r>
      <w:r>
        <w:rPr>
          <w:rFonts w:ascii="Cambria Math" w:hAnsi="Cambria Math"/>
          <w:spacing w:val="-5"/>
          <w:sz w:val="24"/>
        </w:rPr>
        <w:t>−</w:t>
      </w:r>
      <w:r>
        <w:rPr>
          <w:rFonts w:ascii="Cambria Math" w:hAnsi="Cambria Math"/>
          <w:spacing w:val="-5"/>
          <w:position w:val="1"/>
          <w:sz w:val="24"/>
        </w:rPr>
        <w:t>)</w:t>
      </w:r>
    </w:p>
    <w:p>
      <w:pPr>
        <w:pStyle w:val="BodyText"/>
        <w:rPr>
          <w:rFonts w:ascii="Cambria Math"/>
        </w:rPr>
      </w:pPr>
    </w:p>
    <w:p>
      <w:pPr>
        <w:pStyle w:val="BodyText"/>
        <w:rPr>
          <w:rFonts w:ascii="Cambria Math"/>
        </w:rPr>
      </w:pPr>
    </w:p>
    <w:p>
      <w:pPr>
        <w:pStyle w:val="BodyText"/>
        <w:rPr>
          <w:rFonts w:ascii="Cambria Math"/>
        </w:rPr>
      </w:pPr>
    </w:p>
    <w:p>
      <w:pPr>
        <w:pStyle w:val="BodyText"/>
        <w:rPr>
          <w:rFonts w:ascii="Cambria Math"/>
        </w:rPr>
      </w:pPr>
    </w:p>
    <w:p>
      <w:pPr>
        <w:pStyle w:val="BodyText"/>
        <w:rPr>
          <w:rFonts w:ascii="Cambria Math"/>
        </w:rPr>
      </w:pPr>
    </w:p>
    <w:p>
      <w:pPr>
        <w:pStyle w:val="BodyText"/>
        <w:rPr>
          <w:rFonts w:ascii="Cambria Math"/>
        </w:rPr>
      </w:pPr>
    </w:p>
    <w:p>
      <w:pPr>
        <w:pStyle w:val="BodyText"/>
        <w:rPr>
          <w:rFonts w:ascii="Cambria Math"/>
        </w:rPr>
      </w:pPr>
    </w:p>
    <w:p>
      <w:pPr>
        <w:pStyle w:val="BodyText"/>
        <w:rPr>
          <w:rFonts w:ascii="Cambria Math"/>
        </w:rPr>
      </w:pPr>
    </w:p>
    <w:p>
      <w:pPr>
        <w:pStyle w:val="BodyText"/>
        <w:rPr>
          <w:rFonts w:ascii="Cambria Math"/>
        </w:rPr>
      </w:pPr>
    </w:p>
    <w:p>
      <w:pPr>
        <w:pStyle w:val="BodyText"/>
        <w:rPr>
          <w:rFonts w:ascii="Cambria Math"/>
        </w:rPr>
      </w:pPr>
    </w:p>
    <w:p>
      <w:pPr>
        <w:pStyle w:val="BodyText"/>
        <w:spacing w:before="89"/>
        <w:rPr>
          <w:rFonts w:ascii="Cambria Math"/>
        </w:rPr>
      </w:pPr>
    </w:p>
    <w:p>
      <w:pPr>
        <w:pStyle w:val="Heading2"/>
        <w:numPr>
          <w:ilvl w:val="1"/>
          <w:numId w:val="12"/>
        </w:numPr>
        <w:tabs>
          <w:tab w:pos="874" w:val="left" w:leader="none"/>
        </w:tabs>
        <w:spacing w:line="240" w:lineRule="auto" w:before="0" w:after="0"/>
        <w:ind w:left="874" w:right="0" w:hanging="359"/>
        <w:jc w:val="left"/>
      </w:pPr>
      <w:bookmarkStart w:name="_bookmark98" w:id="99"/>
      <w:bookmarkEnd w:id="99"/>
      <w:r>
        <w:rPr>
          <w:b w:val="0"/>
        </w:rPr>
      </w:r>
      <w:r>
        <w:rPr>
          <w:spacing w:val="-2"/>
        </w:rPr>
        <w:t>Hipotesis</w:t>
      </w:r>
    </w:p>
    <w:p>
      <w:pPr>
        <w:pStyle w:val="BodyText"/>
        <w:spacing w:before="22"/>
        <w:rPr>
          <w:b/>
        </w:rPr>
      </w:pPr>
    </w:p>
    <w:p>
      <w:pPr>
        <w:pStyle w:val="BodyText"/>
        <w:spacing w:line="360" w:lineRule="auto"/>
        <w:ind w:left="875" w:right="165" w:firstLine="228"/>
        <w:jc w:val="both"/>
      </w:pPr>
      <w:r>
        <w:rPr/>
        <w:t>Hipotesis merupakan solusi jangka pendek terhadap suatu masalah penelitian, dan kebenarannya masih harus diteliti secara empiris. Hipotesis masih memerlukan verifikasi penelitian dan dianggap rasional dengan pemahaman yang mendukung karena masih dianggap sebagai solusi sementara. Sesuai dengan teori penelitian, hipotesis dirumuskan sebagai berikut:</w:t>
      </w:r>
    </w:p>
    <w:p>
      <w:pPr>
        <w:pStyle w:val="Heading2"/>
        <w:numPr>
          <w:ilvl w:val="2"/>
          <w:numId w:val="12"/>
        </w:numPr>
        <w:tabs>
          <w:tab w:pos="1823" w:val="left" w:leader="none"/>
        </w:tabs>
        <w:spacing w:line="360" w:lineRule="auto" w:before="160" w:after="0"/>
        <w:ind w:left="1823" w:right="161" w:hanging="720"/>
        <w:jc w:val="both"/>
      </w:pPr>
      <w:bookmarkStart w:name="_bookmark99" w:id="100"/>
      <w:bookmarkEnd w:id="100"/>
      <w:r>
        <w:rPr>
          <w:b w:val="0"/>
        </w:rPr>
      </w:r>
      <w:r>
        <w:rPr/>
        <w:t>Pengaruh Indeks Keyakinan Konsumen terhadap Indeks Saham Syariah Indonesia (ISSI)</w:t>
      </w:r>
    </w:p>
    <w:p>
      <w:pPr>
        <w:pStyle w:val="BodyText"/>
        <w:spacing w:line="360" w:lineRule="auto" w:before="161"/>
        <w:ind w:left="1823" w:right="161" w:firstLine="360"/>
        <w:jc w:val="both"/>
      </w:pPr>
      <w:r>
        <w:rPr/>
        <w:t>Karena keyakinan konsumen merupakan prediktor utama keadaan ekonomi di masa mendatang dan karena kondisi ekonomi sering kali memiliki pengaruh signifikan terhadap profitabilitas perusahaan, maka diantisipasi</w:t>
      </w:r>
      <w:r>
        <w:rPr>
          <w:spacing w:val="-15"/>
        </w:rPr>
        <w:t> </w:t>
      </w:r>
      <w:r>
        <w:rPr/>
        <w:t>bahwa</w:t>
      </w:r>
      <w:r>
        <w:rPr>
          <w:spacing w:val="-15"/>
        </w:rPr>
        <w:t> </w:t>
      </w:r>
      <w:r>
        <w:rPr/>
        <w:t>keyakinan</w:t>
      </w:r>
      <w:r>
        <w:rPr>
          <w:spacing w:val="-15"/>
        </w:rPr>
        <w:t> </w:t>
      </w:r>
      <w:r>
        <w:rPr/>
        <w:t>konsumen</w:t>
      </w:r>
      <w:r>
        <w:rPr>
          <w:spacing w:val="-15"/>
        </w:rPr>
        <w:t> </w:t>
      </w:r>
      <w:r>
        <w:rPr/>
        <w:t>akan</w:t>
      </w:r>
      <w:r>
        <w:rPr>
          <w:spacing w:val="-15"/>
        </w:rPr>
        <w:t> </w:t>
      </w:r>
      <w:r>
        <w:rPr/>
        <w:t>berdampak</w:t>
      </w:r>
      <w:r>
        <w:rPr>
          <w:spacing w:val="-15"/>
        </w:rPr>
        <w:t> </w:t>
      </w:r>
      <w:r>
        <w:rPr/>
        <w:t>pada</w:t>
      </w:r>
      <w:r>
        <w:rPr>
          <w:spacing w:val="-15"/>
        </w:rPr>
        <w:t> </w:t>
      </w:r>
      <w:r>
        <w:rPr/>
        <w:t>pasar</w:t>
      </w:r>
      <w:r>
        <w:rPr>
          <w:spacing w:val="-15"/>
        </w:rPr>
        <w:t> </w:t>
      </w:r>
      <w:r>
        <w:rPr/>
        <w:t>saham. Banyak</w:t>
      </w:r>
      <w:r>
        <w:rPr>
          <w:spacing w:val="-15"/>
        </w:rPr>
        <w:t> </w:t>
      </w:r>
      <w:r>
        <w:rPr/>
        <w:t>penelitian</w:t>
      </w:r>
      <w:r>
        <w:rPr>
          <w:spacing w:val="-15"/>
        </w:rPr>
        <w:t> </w:t>
      </w:r>
      <w:r>
        <w:rPr/>
        <w:t>keuangan</w:t>
      </w:r>
      <w:r>
        <w:rPr>
          <w:spacing w:val="-15"/>
        </w:rPr>
        <w:t> </w:t>
      </w:r>
      <w:r>
        <w:rPr/>
        <w:t>dan</w:t>
      </w:r>
      <w:r>
        <w:rPr>
          <w:spacing w:val="-15"/>
        </w:rPr>
        <w:t> </w:t>
      </w:r>
      <w:r>
        <w:rPr/>
        <w:t>ekonomi</w:t>
      </w:r>
      <w:r>
        <w:rPr>
          <w:spacing w:val="-15"/>
        </w:rPr>
        <w:t> </w:t>
      </w:r>
      <w:r>
        <w:rPr/>
        <w:t>telah</w:t>
      </w:r>
      <w:r>
        <w:rPr>
          <w:spacing w:val="-15"/>
        </w:rPr>
        <w:t> </w:t>
      </w:r>
      <w:r>
        <w:rPr/>
        <w:t>menunjukkan</w:t>
      </w:r>
      <w:r>
        <w:rPr>
          <w:spacing w:val="-15"/>
        </w:rPr>
        <w:t> </w:t>
      </w:r>
      <w:r>
        <w:rPr/>
        <w:t>bahwa</w:t>
      </w:r>
      <w:r>
        <w:rPr>
          <w:spacing w:val="-15"/>
        </w:rPr>
        <w:t> </w:t>
      </w:r>
      <w:r>
        <w:rPr/>
        <w:t>kinerja saham dipengaruhi secara signifikan oleh keyakinan konsumen. Tingkat keyakinan</w:t>
      </w:r>
      <w:r>
        <w:rPr>
          <w:spacing w:val="-13"/>
        </w:rPr>
        <w:t> </w:t>
      </w:r>
      <w:r>
        <w:rPr/>
        <w:t>konsumen</w:t>
      </w:r>
      <w:r>
        <w:rPr>
          <w:spacing w:val="-12"/>
        </w:rPr>
        <w:t> </w:t>
      </w:r>
      <w:r>
        <w:rPr/>
        <w:t>mengacu</w:t>
      </w:r>
      <w:r>
        <w:rPr>
          <w:spacing w:val="-13"/>
        </w:rPr>
        <w:t> </w:t>
      </w:r>
      <w:r>
        <w:rPr/>
        <w:t>pada</w:t>
      </w:r>
      <w:r>
        <w:rPr>
          <w:spacing w:val="-14"/>
        </w:rPr>
        <w:t> </w:t>
      </w:r>
      <w:r>
        <w:rPr/>
        <w:t>bagaimana</w:t>
      </w:r>
      <w:r>
        <w:rPr>
          <w:spacing w:val="-14"/>
        </w:rPr>
        <w:t> </w:t>
      </w:r>
      <w:r>
        <w:rPr/>
        <w:t>perasaan</w:t>
      </w:r>
      <w:r>
        <w:rPr>
          <w:spacing w:val="-13"/>
        </w:rPr>
        <w:t> </w:t>
      </w:r>
      <w:r>
        <w:rPr/>
        <w:t>konsumen</w:t>
      </w:r>
      <w:r>
        <w:rPr>
          <w:spacing w:val="-13"/>
        </w:rPr>
        <w:t> </w:t>
      </w:r>
      <w:r>
        <w:rPr/>
        <w:t>tentang keadaan</w:t>
      </w:r>
      <w:r>
        <w:rPr>
          <w:spacing w:val="-2"/>
        </w:rPr>
        <w:t> </w:t>
      </w:r>
      <w:r>
        <w:rPr/>
        <w:t>ekonomi</w:t>
      </w:r>
      <w:r>
        <w:rPr>
          <w:spacing w:val="-2"/>
        </w:rPr>
        <w:t> </w:t>
      </w:r>
      <w:r>
        <w:rPr/>
        <w:t>dan</w:t>
      </w:r>
      <w:r>
        <w:rPr>
          <w:spacing w:val="-2"/>
        </w:rPr>
        <w:t> </w:t>
      </w:r>
      <w:r>
        <w:rPr/>
        <w:t>kemampuan</w:t>
      </w:r>
      <w:r>
        <w:rPr>
          <w:spacing w:val="-2"/>
        </w:rPr>
        <w:t> </w:t>
      </w:r>
      <w:r>
        <w:rPr/>
        <w:t>mereka</w:t>
      </w:r>
      <w:r>
        <w:rPr>
          <w:spacing w:val="-3"/>
        </w:rPr>
        <w:t> </w:t>
      </w:r>
      <w:r>
        <w:rPr/>
        <w:t>untuk menghasilkan</w:t>
      </w:r>
      <w:r>
        <w:rPr>
          <w:spacing w:val="-2"/>
        </w:rPr>
        <w:t> </w:t>
      </w:r>
      <w:r>
        <w:rPr/>
        <w:t>uang,</w:t>
      </w:r>
      <w:r>
        <w:rPr>
          <w:spacing w:val="-2"/>
        </w:rPr>
        <w:t> </w:t>
      </w:r>
      <w:r>
        <w:rPr/>
        <w:t>yang keduanya</w:t>
      </w:r>
      <w:r>
        <w:rPr>
          <w:spacing w:val="42"/>
        </w:rPr>
        <w:t>  </w:t>
      </w:r>
      <w:r>
        <w:rPr/>
        <w:t>berdampak</w:t>
      </w:r>
      <w:r>
        <w:rPr>
          <w:spacing w:val="44"/>
        </w:rPr>
        <w:t>  </w:t>
      </w:r>
      <w:r>
        <w:rPr/>
        <w:t>pada</w:t>
      </w:r>
      <w:r>
        <w:rPr>
          <w:spacing w:val="42"/>
        </w:rPr>
        <w:t>  </w:t>
      </w:r>
      <w:r>
        <w:rPr/>
        <w:t>keputusan</w:t>
      </w:r>
      <w:r>
        <w:rPr>
          <w:spacing w:val="43"/>
        </w:rPr>
        <w:t>  </w:t>
      </w:r>
      <w:r>
        <w:rPr/>
        <w:t>keuangan</w:t>
      </w:r>
      <w:r>
        <w:rPr>
          <w:spacing w:val="43"/>
        </w:rPr>
        <w:t>  </w:t>
      </w:r>
      <w:r>
        <w:rPr/>
        <w:t>mereka,</w:t>
      </w:r>
      <w:r>
        <w:rPr>
          <w:spacing w:val="43"/>
        </w:rPr>
        <w:t>  </w:t>
      </w:r>
      <w:r>
        <w:rPr>
          <w:spacing w:val="-2"/>
        </w:rPr>
        <w:t>termasuk</w:t>
      </w:r>
    </w:p>
    <w:p>
      <w:pPr>
        <w:pStyle w:val="BodyText"/>
        <w:spacing w:after="0" w:line="360" w:lineRule="auto"/>
        <w:jc w:val="both"/>
        <w:sectPr>
          <w:pgSz w:w="11910" w:h="16840"/>
          <w:pgMar w:header="0" w:footer="1000" w:top="1360" w:bottom="1200" w:left="1417" w:right="1275"/>
        </w:sectPr>
      </w:pPr>
    </w:p>
    <w:p>
      <w:pPr>
        <w:pStyle w:val="BodyText"/>
        <w:spacing w:line="360" w:lineRule="auto" w:before="80"/>
        <w:ind w:left="1823" w:right="162"/>
        <w:jc w:val="both"/>
      </w:pPr>
      <w:r>
        <w:rPr/>
        <w:t>menabung dan membeli.</w:t>
      </w:r>
      <w:hyperlink w:history="true" w:anchor="_bookmark101">
        <w:r>
          <w:rPr>
            <w:vertAlign w:val="superscript"/>
          </w:rPr>
          <w:t>66</w:t>
        </w:r>
      </w:hyperlink>
      <w:r>
        <w:rPr>
          <w:vertAlign w:val="baseline"/>
        </w:rPr>
        <w:t> Oleh karena itu, keyakinan konsumen dilihat sebagai ukuran kinerja ekonomi. Pelanggan cenderung melakukan pembelian</w:t>
      </w:r>
      <w:r>
        <w:rPr>
          <w:spacing w:val="-11"/>
          <w:vertAlign w:val="baseline"/>
        </w:rPr>
        <w:t> </w:t>
      </w:r>
      <w:r>
        <w:rPr>
          <w:vertAlign w:val="baseline"/>
        </w:rPr>
        <w:t>jika</w:t>
      </w:r>
      <w:r>
        <w:rPr>
          <w:spacing w:val="-12"/>
          <w:vertAlign w:val="baseline"/>
        </w:rPr>
        <w:t> </w:t>
      </w:r>
      <w:r>
        <w:rPr>
          <w:vertAlign w:val="baseline"/>
        </w:rPr>
        <w:t>mereka</w:t>
      </w:r>
      <w:r>
        <w:rPr>
          <w:spacing w:val="-12"/>
          <w:vertAlign w:val="baseline"/>
        </w:rPr>
        <w:t> </w:t>
      </w:r>
      <w:r>
        <w:rPr>
          <w:vertAlign w:val="baseline"/>
        </w:rPr>
        <w:t>yakin</w:t>
      </w:r>
      <w:r>
        <w:rPr>
          <w:spacing w:val="-10"/>
          <w:vertAlign w:val="baseline"/>
        </w:rPr>
        <w:t> </w:t>
      </w:r>
      <w:r>
        <w:rPr>
          <w:vertAlign w:val="baseline"/>
        </w:rPr>
        <w:t>dengan</w:t>
      </w:r>
      <w:r>
        <w:rPr>
          <w:spacing w:val="-11"/>
          <w:vertAlign w:val="baseline"/>
        </w:rPr>
        <w:t> </w:t>
      </w:r>
      <w:r>
        <w:rPr>
          <w:vertAlign w:val="baseline"/>
        </w:rPr>
        <w:t>pendapatan</w:t>
      </w:r>
      <w:r>
        <w:rPr>
          <w:spacing w:val="-11"/>
          <w:vertAlign w:val="baseline"/>
        </w:rPr>
        <w:t> </w:t>
      </w:r>
      <w:r>
        <w:rPr>
          <w:vertAlign w:val="baseline"/>
        </w:rPr>
        <w:t>masa</w:t>
      </w:r>
      <w:r>
        <w:rPr>
          <w:spacing w:val="-11"/>
          <w:vertAlign w:val="baseline"/>
        </w:rPr>
        <w:t> </w:t>
      </w:r>
      <w:r>
        <w:rPr>
          <w:vertAlign w:val="baseline"/>
        </w:rPr>
        <w:t>depan</w:t>
      </w:r>
      <w:r>
        <w:rPr>
          <w:spacing w:val="-11"/>
          <w:vertAlign w:val="baseline"/>
        </w:rPr>
        <w:t> </w:t>
      </w:r>
      <w:r>
        <w:rPr>
          <w:vertAlign w:val="baseline"/>
        </w:rPr>
        <w:t>mereka,</w:t>
      </w:r>
      <w:r>
        <w:rPr>
          <w:spacing w:val="-11"/>
          <w:vertAlign w:val="baseline"/>
        </w:rPr>
        <w:t> </w:t>
      </w:r>
      <w:r>
        <w:rPr>
          <w:vertAlign w:val="baseline"/>
        </w:rPr>
        <w:t>tetapi mereka juga cenderung menghemat uang dan mengurangi konsumsi jika keyakinan mereka berkurang.</w:t>
      </w:r>
    </w:p>
    <w:p>
      <w:pPr>
        <w:pStyle w:val="BodyText"/>
        <w:spacing w:line="360" w:lineRule="auto"/>
        <w:ind w:left="1823" w:right="161" w:firstLine="360"/>
        <w:jc w:val="both"/>
      </w:pPr>
      <w:r>
        <w:rPr/>
        <w:t>Menurut</w:t>
      </w:r>
      <w:r>
        <w:rPr>
          <w:spacing w:val="-5"/>
        </w:rPr>
        <w:t> </w:t>
      </w:r>
      <w:r>
        <w:rPr/>
        <w:t>penelitian</w:t>
      </w:r>
      <w:r>
        <w:rPr>
          <w:spacing w:val="-5"/>
        </w:rPr>
        <w:t> </w:t>
      </w:r>
      <w:r>
        <w:rPr/>
        <w:t>yang</w:t>
      </w:r>
      <w:r>
        <w:rPr>
          <w:spacing w:val="-5"/>
        </w:rPr>
        <w:t> </w:t>
      </w:r>
      <w:r>
        <w:rPr/>
        <w:t>dilakukan</w:t>
      </w:r>
      <w:r>
        <w:rPr>
          <w:spacing w:val="-5"/>
        </w:rPr>
        <w:t> </w:t>
      </w:r>
      <w:r>
        <w:rPr/>
        <w:t>oleh</w:t>
      </w:r>
      <w:r>
        <w:rPr>
          <w:spacing w:val="-5"/>
        </w:rPr>
        <w:t> </w:t>
      </w:r>
      <w:r>
        <w:rPr/>
        <w:t>Corredor</w:t>
      </w:r>
      <w:r>
        <w:rPr>
          <w:spacing w:val="-4"/>
        </w:rPr>
        <w:t> </w:t>
      </w:r>
      <w:r>
        <w:rPr/>
        <w:t>et</w:t>
      </w:r>
      <w:r>
        <w:rPr>
          <w:spacing w:val="-5"/>
        </w:rPr>
        <w:t> </w:t>
      </w:r>
      <w:r>
        <w:rPr/>
        <w:t>al</w:t>
      </w:r>
      <w:r>
        <w:rPr>
          <w:spacing w:val="-4"/>
        </w:rPr>
        <w:t> </w:t>
      </w:r>
      <w:r>
        <w:rPr/>
        <w:t>meyakini</w:t>
      </w:r>
      <w:r>
        <w:rPr>
          <w:spacing w:val="-5"/>
        </w:rPr>
        <w:t> </w:t>
      </w:r>
      <w:r>
        <w:rPr/>
        <w:t>bahwa Indeks Keyakinan Konsumen berpengaruh positif dan signifikan terhadap return</w:t>
      </w:r>
      <w:r>
        <w:rPr>
          <w:spacing w:val="-3"/>
        </w:rPr>
        <w:t> </w:t>
      </w:r>
      <w:r>
        <w:rPr/>
        <w:t>saham.</w:t>
      </w:r>
      <w:hyperlink w:history="true" w:anchor="_bookmark102">
        <w:r>
          <w:rPr>
            <w:vertAlign w:val="superscript"/>
          </w:rPr>
          <w:t>67</w:t>
        </w:r>
      </w:hyperlink>
      <w:r>
        <w:rPr>
          <w:spacing w:val="-1"/>
          <w:vertAlign w:val="baseline"/>
        </w:rPr>
        <w:t> </w:t>
      </w:r>
      <w:r>
        <w:rPr>
          <w:vertAlign w:val="baseline"/>
        </w:rPr>
        <w:t>Adapun</w:t>
      </w:r>
      <w:r>
        <w:rPr>
          <w:spacing w:val="-2"/>
          <w:vertAlign w:val="baseline"/>
        </w:rPr>
        <w:t> </w:t>
      </w:r>
      <w:r>
        <w:rPr>
          <w:vertAlign w:val="baseline"/>
        </w:rPr>
        <w:t>terdapat</w:t>
      </w:r>
      <w:r>
        <w:rPr>
          <w:spacing w:val="-2"/>
          <w:vertAlign w:val="baseline"/>
        </w:rPr>
        <w:t> </w:t>
      </w:r>
      <w:r>
        <w:rPr>
          <w:vertAlign w:val="baseline"/>
        </w:rPr>
        <w:t>pada</w:t>
      </w:r>
      <w:r>
        <w:rPr>
          <w:spacing w:val="-3"/>
          <w:vertAlign w:val="baseline"/>
        </w:rPr>
        <w:t> </w:t>
      </w:r>
      <w:r>
        <w:rPr>
          <w:vertAlign w:val="baseline"/>
        </w:rPr>
        <w:t>jurnal</w:t>
      </w:r>
      <w:r>
        <w:rPr>
          <w:spacing w:val="-2"/>
          <w:vertAlign w:val="baseline"/>
        </w:rPr>
        <w:t> </w:t>
      </w:r>
      <w:r>
        <w:rPr>
          <w:vertAlign w:val="baseline"/>
        </w:rPr>
        <w:t>internasional</w:t>
      </w:r>
      <w:r>
        <w:rPr>
          <w:spacing w:val="-2"/>
          <w:vertAlign w:val="baseline"/>
        </w:rPr>
        <w:t> </w:t>
      </w:r>
      <w:r>
        <w:rPr>
          <w:vertAlign w:val="baseline"/>
        </w:rPr>
        <w:t>yang</w:t>
      </w:r>
      <w:r>
        <w:rPr>
          <w:spacing w:val="-2"/>
          <w:vertAlign w:val="baseline"/>
        </w:rPr>
        <w:t> </w:t>
      </w:r>
      <w:r>
        <w:rPr>
          <w:vertAlign w:val="baseline"/>
        </w:rPr>
        <w:t>ditulis</w:t>
      </w:r>
      <w:r>
        <w:rPr>
          <w:spacing w:val="-5"/>
          <w:vertAlign w:val="baseline"/>
        </w:rPr>
        <w:t> </w:t>
      </w:r>
      <w:r>
        <w:rPr>
          <w:vertAlign w:val="baseline"/>
        </w:rPr>
        <w:t>oleh Pan juga mengatakan hal yang sama dengan Corredor bahwasanya indeks keyakinan konsumen memiliki pengaruh positif dan signifikan terhadap </w:t>
      </w:r>
      <w:r>
        <w:rPr>
          <w:spacing w:val="-2"/>
          <w:vertAlign w:val="baseline"/>
        </w:rPr>
        <w:t>saham.</w:t>
      </w:r>
      <w:hyperlink w:history="true" w:anchor="_bookmark103">
        <w:r>
          <w:rPr>
            <w:spacing w:val="-2"/>
            <w:vertAlign w:val="superscript"/>
          </w:rPr>
          <w:t>68</w:t>
        </w:r>
      </w:hyperlink>
    </w:p>
    <w:p>
      <w:pPr>
        <w:pStyle w:val="BodyText"/>
        <w:spacing w:line="360" w:lineRule="auto" w:before="1"/>
        <w:ind w:left="1823" w:right="164"/>
        <w:jc w:val="both"/>
      </w:pPr>
      <w:r>
        <w:rPr>
          <w:b/>
        </w:rPr>
        <w:t>H1: </w:t>
      </w:r>
      <w:r>
        <w:rPr/>
        <w:t>Indeks Keyakinan Konsumen berpengaruh positif terhadap Indeks Saham Syariah Indonesia</w:t>
      </w:r>
    </w:p>
    <w:p>
      <w:pPr>
        <w:pStyle w:val="Heading2"/>
        <w:numPr>
          <w:ilvl w:val="2"/>
          <w:numId w:val="12"/>
        </w:numPr>
        <w:tabs>
          <w:tab w:pos="1823" w:val="left" w:leader="none"/>
        </w:tabs>
        <w:spacing w:line="360" w:lineRule="auto" w:before="160" w:after="0"/>
        <w:ind w:left="1823" w:right="162" w:hanging="720"/>
        <w:jc w:val="both"/>
      </w:pPr>
      <w:bookmarkStart w:name="_bookmark100" w:id="101"/>
      <w:bookmarkEnd w:id="101"/>
      <w:r>
        <w:rPr>
          <w:b w:val="0"/>
        </w:rPr>
      </w:r>
      <w:r>
        <w:rPr/>
        <w:t>Pengaruh Nilai Tukar terhadap Indeks Saham Syariah Indonesia </w:t>
      </w:r>
      <w:r>
        <w:rPr>
          <w:spacing w:val="-2"/>
        </w:rPr>
        <w:t>(ISSI)</w:t>
      </w:r>
    </w:p>
    <w:p>
      <w:pPr>
        <w:pStyle w:val="BodyText"/>
        <w:spacing w:line="360" w:lineRule="auto" w:before="161"/>
        <w:ind w:left="1823" w:right="159" w:firstLine="360"/>
        <w:jc w:val="both"/>
      </w:pPr>
      <w:r>
        <w:rPr/>
        <w:t>Ketika bisnis bersaing secara internasional, fluktuasi nilai tukar mata uang juga dapat berdampak pada operasi lokal dan nilai pasar. Ini berarti bahwa</w:t>
      </w:r>
      <w:r>
        <w:rPr>
          <w:spacing w:val="-1"/>
        </w:rPr>
        <w:t> </w:t>
      </w:r>
      <w:r>
        <w:rPr/>
        <w:t>imbal hasil saham perusahaan juga dapat dipengaruhi oleh fluktuasi nilai</w:t>
      </w:r>
      <w:r>
        <w:rPr>
          <w:spacing w:val="-13"/>
        </w:rPr>
        <w:t> </w:t>
      </w:r>
      <w:r>
        <w:rPr/>
        <w:t>tukar.</w:t>
      </w:r>
      <w:r>
        <w:rPr>
          <w:spacing w:val="-13"/>
        </w:rPr>
        <w:t> </w:t>
      </w:r>
      <w:r>
        <w:rPr/>
        <w:t>Nilai</w:t>
      </w:r>
      <w:r>
        <w:rPr>
          <w:spacing w:val="-13"/>
        </w:rPr>
        <w:t> </w:t>
      </w:r>
      <w:r>
        <w:rPr/>
        <w:t>tukar</w:t>
      </w:r>
      <w:r>
        <w:rPr>
          <w:spacing w:val="-14"/>
        </w:rPr>
        <w:t> </w:t>
      </w:r>
      <w:r>
        <w:rPr/>
        <w:t>yang</w:t>
      </w:r>
      <w:r>
        <w:rPr>
          <w:spacing w:val="-13"/>
        </w:rPr>
        <w:t> </w:t>
      </w:r>
      <w:r>
        <w:rPr/>
        <w:t>relatif</w:t>
      </w:r>
      <w:r>
        <w:rPr>
          <w:spacing w:val="-9"/>
        </w:rPr>
        <w:t> </w:t>
      </w:r>
      <w:r>
        <w:rPr/>
        <w:t>rendah</w:t>
      </w:r>
      <w:r>
        <w:rPr>
          <w:spacing w:val="-11"/>
        </w:rPr>
        <w:t> </w:t>
      </w:r>
      <w:r>
        <w:rPr/>
        <w:t>terhadap</w:t>
      </w:r>
      <w:r>
        <w:rPr>
          <w:spacing w:val="-11"/>
        </w:rPr>
        <w:t> </w:t>
      </w:r>
      <w:r>
        <w:rPr/>
        <w:t>mata</w:t>
      </w:r>
      <w:r>
        <w:rPr>
          <w:spacing w:val="-14"/>
        </w:rPr>
        <w:t> </w:t>
      </w:r>
      <w:r>
        <w:rPr/>
        <w:t>uang</w:t>
      </w:r>
      <w:r>
        <w:rPr>
          <w:spacing w:val="-11"/>
        </w:rPr>
        <w:t> </w:t>
      </w:r>
      <w:r>
        <w:rPr/>
        <w:t>lain,</w:t>
      </w:r>
      <w:r>
        <w:rPr>
          <w:spacing w:val="-13"/>
        </w:rPr>
        <w:t> </w:t>
      </w:r>
      <w:r>
        <w:rPr/>
        <w:t>terutama dolar</w:t>
      </w:r>
      <w:r>
        <w:rPr>
          <w:spacing w:val="-3"/>
        </w:rPr>
        <w:t> </w:t>
      </w:r>
      <w:r>
        <w:rPr/>
        <w:t>AS,</w:t>
      </w:r>
      <w:r>
        <w:rPr>
          <w:spacing w:val="-1"/>
        </w:rPr>
        <w:t> </w:t>
      </w:r>
      <w:r>
        <w:rPr/>
        <w:t>akan</w:t>
      </w:r>
      <w:r>
        <w:rPr>
          <w:spacing w:val="-1"/>
        </w:rPr>
        <w:t> </w:t>
      </w:r>
      <w:r>
        <w:rPr/>
        <w:t>mendorong</w:t>
      </w:r>
      <w:r>
        <w:rPr>
          <w:spacing w:val="-1"/>
        </w:rPr>
        <w:t> </w:t>
      </w:r>
      <w:r>
        <w:rPr/>
        <w:t>ekspor</w:t>
      </w:r>
      <w:r>
        <w:rPr>
          <w:spacing w:val="-2"/>
        </w:rPr>
        <w:t> </w:t>
      </w:r>
      <w:r>
        <w:rPr/>
        <w:t>dan</w:t>
      </w:r>
      <w:r>
        <w:rPr>
          <w:spacing w:val="-1"/>
        </w:rPr>
        <w:t> </w:t>
      </w:r>
      <w:r>
        <w:rPr/>
        <w:t>menahan peningkatan</w:t>
      </w:r>
      <w:r>
        <w:rPr>
          <w:spacing w:val="-1"/>
        </w:rPr>
        <w:t> </w:t>
      </w:r>
      <w:r>
        <w:rPr/>
        <w:t>impor.</w:t>
      </w:r>
      <w:r>
        <w:rPr>
          <w:spacing w:val="-2"/>
        </w:rPr>
        <w:t> </w:t>
      </w:r>
      <w:r>
        <w:rPr/>
        <w:t>Selain itu, nilai tukar rupiah yang rendah mengurangi daya beli masyarakat, yang membuat nilai tukar rupiah kurang menarik. Penurunan imbal hasil saham syariah</w:t>
      </w:r>
      <w:r>
        <w:rPr>
          <w:spacing w:val="-13"/>
        </w:rPr>
        <w:t> </w:t>
      </w:r>
      <w:r>
        <w:rPr/>
        <w:t>akan</w:t>
      </w:r>
      <w:r>
        <w:rPr>
          <w:spacing w:val="-13"/>
        </w:rPr>
        <w:t> </w:t>
      </w:r>
      <w:r>
        <w:rPr/>
        <w:t>terpengaruh</w:t>
      </w:r>
      <w:r>
        <w:rPr>
          <w:spacing w:val="-11"/>
        </w:rPr>
        <w:t> </w:t>
      </w:r>
      <w:r>
        <w:rPr/>
        <w:t>secara</w:t>
      </w:r>
      <w:r>
        <w:rPr>
          <w:spacing w:val="-14"/>
        </w:rPr>
        <w:t> </w:t>
      </w:r>
      <w:r>
        <w:rPr/>
        <w:t>negatif</w:t>
      </w:r>
      <w:r>
        <w:rPr>
          <w:spacing w:val="-14"/>
        </w:rPr>
        <w:t> </w:t>
      </w:r>
      <w:r>
        <w:rPr/>
        <w:t>oleh</w:t>
      </w:r>
      <w:r>
        <w:rPr>
          <w:spacing w:val="-14"/>
        </w:rPr>
        <w:t> </w:t>
      </w:r>
      <w:r>
        <w:rPr/>
        <w:t>hal</w:t>
      </w:r>
      <w:r>
        <w:rPr>
          <w:spacing w:val="-13"/>
        </w:rPr>
        <w:t> </w:t>
      </w:r>
      <w:r>
        <w:rPr/>
        <w:t>ini</w:t>
      </w:r>
      <w:hyperlink w:history="true" w:anchor="_bookmark104">
        <w:r>
          <w:rPr/>
          <w:t>.</w:t>
        </w:r>
        <w:r>
          <w:rPr>
            <w:vertAlign w:val="superscript"/>
          </w:rPr>
          <w:t>69</w:t>
        </w:r>
      </w:hyperlink>
      <w:r>
        <w:rPr>
          <w:spacing w:val="-12"/>
          <w:vertAlign w:val="baseline"/>
        </w:rPr>
        <w:t> </w:t>
      </w:r>
      <w:r>
        <w:rPr>
          <w:vertAlign w:val="baseline"/>
        </w:rPr>
        <w:t>Oleh</w:t>
      </w:r>
      <w:r>
        <w:rPr>
          <w:spacing w:val="-13"/>
          <w:vertAlign w:val="baseline"/>
        </w:rPr>
        <w:t> </w:t>
      </w:r>
      <w:r>
        <w:rPr>
          <w:vertAlign w:val="baseline"/>
        </w:rPr>
        <w:t>karena</w:t>
      </w:r>
      <w:r>
        <w:rPr>
          <w:spacing w:val="-14"/>
          <w:vertAlign w:val="baseline"/>
        </w:rPr>
        <w:t> </w:t>
      </w:r>
      <w:r>
        <w:rPr>
          <w:vertAlign w:val="baseline"/>
        </w:rPr>
        <w:t>itu,</w:t>
      </w:r>
      <w:r>
        <w:rPr>
          <w:spacing w:val="-13"/>
          <w:vertAlign w:val="baseline"/>
        </w:rPr>
        <w:t> </w:t>
      </w:r>
      <w:r>
        <w:rPr>
          <w:vertAlign w:val="baseline"/>
        </w:rPr>
        <w:t>dapat disimpulkan bahwa harga saham dan imbal hasil yang diterima pemegang </w:t>
      </w:r>
      <w:r>
        <w:rPr>
          <w:spacing w:val="-2"/>
          <w:vertAlign w:val="baseline"/>
        </w:rPr>
        <w:t>saham</w:t>
      </w:r>
      <w:r>
        <w:rPr>
          <w:spacing w:val="-5"/>
          <w:vertAlign w:val="baseline"/>
        </w:rPr>
        <w:t> </w:t>
      </w:r>
      <w:r>
        <w:rPr>
          <w:spacing w:val="-2"/>
          <w:vertAlign w:val="baseline"/>
        </w:rPr>
        <w:t>akan</w:t>
      </w:r>
      <w:r>
        <w:rPr>
          <w:spacing w:val="-6"/>
          <w:vertAlign w:val="baseline"/>
        </w:rPr>
        <w:t> </w:t>
      </w:r>
      <w:r>
        <w:rPr>
          <w:spacing w:val="-2"/>
          <w:vertAlign w:val="baseline"/>
        </w:rPr>
        <w:t>menurun</w:t>
      </w:r>
      <w:r>
        <w:rPr>
          <w:spacing w:val="-6"/>
          <w:vertAlign w:val="baseline"/>
        </w:rPr>
        <w:t> </w:t>
      </w:r>
      <w:r>
        <w:rPr>
          <w:spacing w:val="-2"/>
          <w:vertAlign w:val="baseline"/>
        </w:rPr>
        <w:t>jika</w:t>
      </w:r>
      <w:r>
        <w:rPr>
          <w:spacing w:val="-5"/>
          <w:vertAlign w:val="baseline"/>
        </w:rPr>
        <w:t> </w:t>
      </w:r>
      <w:r>
        <w:rPr>
          <w:spacing w:val="-2"/>
          <w:vertAlign w:val="baseline"/>
        </w:rPr>
        <w:t>nilai</w:t>
      </w:r>
      <w:r>
        <w:rPr>
          <w:spacing w:val="-5"/>
          <w:vertAlign w:val="baseline"/>
        </w:rPr>
        <w:t> </w:t>
      </w:r>
      <w:r>
        <w:rPr>
          <w:spacing w:val="-2"/>
          <w:vertAlign w:val="baseline"/>
        </w:rPr>
        <w:t>mata</w:t>
      </w:r>
      <w:r>
        <w:rPr>
          <w:spacing w:val="-7"/>
          <w:vertAlign w:val="baseline"/>
        </w:rPr>
        <w:t> </w:t>
      </w:r>
      <w:r>
        <w:rPr>
          <w:spacing w:val="-2"/>
          <w:vertAlign w:val="baseline"/>
        </w:rPr>
        <w:t>uang</w:t>
      </w:r>
      <w:r>
        <w:rPr>
          <w:spacing w:val="-6"/>
          <w:vertAlign w:val="baseline"/>
        </w:rPr>
        <w:t> </w:t>
      </w:r>
      <w:r>
        <w:rPr>
          <w:spacing w:val="-2"/>
          <w:vertAlign w:val="baseline"/>
        </w:rPr>
        <w:t>lokal</w:t>
      </w:r>
      <w:r>
        <w:rPr>
          <w:spacing w:val="-6"/>
          <w:vertAlign w:val="baseline"/>
        </w:rPr>
        <w:t> </w:t>
      </w:r>
      <w:r>
        <w:rPr>
          <w:spacing w:val="-2"/>
          <w:vertAlign w:val="baseline"/>
        </w:rPr>
        <w:t>menurun</w:t>
      </w:r>
      <w:r>
        <w:rPr>
          <w:spacing w:val="-7"/>
          <w:vertAlign w:val="baseline"/>
        </w:rPr>
        <w:t> </w:t>
      </w:r>
      <w:r>
        <w:rPr>
          <w:spacing w:val="-2"/>
          <w:vertAlign w:val="baseline"/>
        </w:rPr>
        <w:t>terhadap</w:t>
      </w:r>
      <w:r>
        <w:rPr>
          <w:spacing w:val="-6"/>
          <w:vertAlign w:val="baseline"/>
        </w:rPr>
        <w:t> </w:t>
      </w:r>
      <w:r>
        <w:rPr>
          <w:spacing w:val="-2"/>
          <w:vertAlign w:val="baseline"/>
        </w:rPr>
        <w:t>mata</w:t>
      </w:r>
      <w:r>
        <w:rPr>
          <w:spacing w:val="-7"/>
          <w:vertAlign w:val="baseline"/>
        </w:rPr>
        <w:t> </w:t>
      </w:r>
      <w:r>
        <w:rPr>
          <w:spacing w:val="-4"/>
          <w:vertAlign w:val="baseline"/>
        </w:rPr>
        <w:t>uang</w:t>
      </w:r>
    </w:p>
    <w:p>
      <w:pPr>
        <w:pStyle w:val="BodyText"/>
        <w:spacing w:before="161"/>
        <w:rPr>
          <w:sz w:val="20"/>
        </w:rPr>
      </w:pPr>
      <w:r>
        <w:rPr>
          <w:sz w:val="20"/>
        </w:rPr>
        <mc:AlternateContent>
          <mc:Choice Requires="wps">
            <w:drawing>
              <wp:anchor distT="0" distB="0" distL="0" distR="0" allowOverlap="1" layoutInCell="1" locked="0" behindDoc="1" simplePos="0" relativeHeight="487609344">
                <wp:simplePos x="0" y="0"/>
                <wp:positionH relativeFrom="page">
                  <wp:posOffset>914704</wp:posOffset>
                </wp:positionH>
                <wp:positionV relativeFrom="paragraph">
                  <wp:posOffset>263955</wp:posOffset>
                </wp:positionV>
                <wp:extent cx="1829435" cy="9525"/>
                <wp:effectExtent l="0" t="0" r="0" b="0"/>
                <wp:wrapTopAndBottom/>
                <wp:docPr id="288" name="Graphic 288"/>
                <wp:cNvGraphicFramePr>
                  <a:graphicFrameLocks/>
                </wp:cNvGraphicFramePr>
                <a:graphic>
                  <a:graphicData uri="http://schemas.microsoft.com/office/word/2010/wordprocessingShape">
                    <wps:wsp>
                      <wps:cNvPr id="288" name="Graphic 28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783915pt;width:144.020pt;height:.72003pt;mso-position-horizontal-relative:page;mso-position-vertical-relative:paragraph;z-index:-15707136;mso-wrap-distance-left:0;mso-wrap-distance-right:0" id="docshape260" filled="true" fillcolor="#000000" stroked="false">
                <v:fill type="solid"/>
                <w10:wrap type="topAndBottom"/>
              </v:rect>
            </w:pict>
          </mc:Fallback>
        </mc:AlternateContent>
      </w:r>
    </w:p>
    <w:p>
      <w:pPr>
        <w:tabs>
          <w:tab w:pos="1248" w:val="left" w:leader="none"/>
          <w:tab w:pos="1607" w:val="left" w:leader="none"/>
          <w:tab w:pos="2527" w:val="left" w:leader="none"/>
          <w:tab w:pos="3785" w:val="left" w:leader="none"/>
          <w:tab w:pos="4610" w:val="left" w:leader="none"/>
          <w:tab w:pos="4967" w:val="left" w:leader="none"/>
          <w:tab w:pos="6058" w:val="left" w:leader="none"/>
          <w:tab w:pos="7360" w:val="left" w:leader="none"/>
          <w:tab w:pos="7765" w:val="left" w:leader="none"/>
          <w:tab w:pos="8549" w:val="left" w:leader="none"/>
        </w:tabs>
        <w:spacing w:before="101"/>
        <w:ind w:left="23" w:right="160" w:firstLine="719"/>
        <w:jc w:val="left"/>
        <w:rPr>
          <w:sz w:val="20"/>
        </w:rPr>
      </w:pPr>
      <w:bookmarkStart w:name="_bookmark101" w:id="102"/>
      <w:bookmarkEnd w:id="102"/>
      <w:r>
        <w:rPr/>
      </w:r>
      <w:r>
        <w:rPr>
          <w:sz w:val="20"/>
          <w:vertAlign w:val="superscript"/>
        </w:rPr>
        <w:t>66</w:t>
      </w:r>
      <w:r>
        <w:rPr>
          <w:sz w:val="20"/>
          <w:vertAlign w:val="baseline"/>
        </w:rPr>
        <w:t> Ming-Hsiang Chen, ‘Understanding the Impact of Changes in Consumer Confidence on Hotel Stock </w:t>
      </w:r>
      <w:r>
        <w:rPr>
          <w:spacing w:val="-2"/>
          <w:sz w:val="20"/>
          <w:vertAlign w:val="baseline"/>
        </w:rPr>
        <w:t>Performance</w:t>
      </w:r>
      <w:r>
        <w:rPr>
          <w:sz w:val="20"/>
          <w:vertAlign w:val="baseline"/>
        </w:rPr>
        <w:tab/>
      </w:r>
      <w:r>
        <w:rPr>
          <w:spacing w:val="-5"/>
          <w:sz w:val="20"/>
          <w:vertAlign w:val="baseline"/>
        </w:rPr>
        <w:t>in</w:t>
      </w:r>
      <w:r>
        <w:rPr>
          <w:sz w:val="20"/>
          <w:vertAlign w:val="baseline"/>
        </w:rPr>
        <w:tab/>
      </w:r>
      <w:r>
        <w:rPr>
          <w:spacing w:val="-2"/>
          <w:sz w:val="20"/>
          <w:vertAlign w:val="baseline"/>
        </w:rPr>
        <w:t>Taiwan’,</w:t>
      </w:r>
      <w:r>
        <w:rPr>
          <w:sz w:val="20"/>
          <w:vertAlign w:val="baseline"/>
        </w:rPr>
        <w:tab/>
      </w:r>
      <w:r>
        <w:rPr>
          <w:i/>
          <w:spacing w:val="-2"/>
          <w:sz w:val="20"/>
          <w:vertAlign w:val="baseline"/>
        </w:rPr>
        <w:t>International</w:t>
      </w:r>
      <w:r>
        <w:rPr>
          <w:i/>
          <w:sz w:val="20"/>
          <w:vertAlign w:val="baseline"/>
        </w:rPr>
        <w:tab/>
      </w:r>
      <w:r>
        <w:rPr>
          <w:i/>
          <w:spacing w:val="-2"/>
          <w:sz w:val="20"/>
          <w:vertAlign w:val="baseline"/>
        </w:rPr>
        <w:t>Journal</w:t>
      </w:r>
      <w:r>
        <w:rPr>
          <w:i/>
          <w:sz w:val="20"/>
          <w:vertAlign w:val="baseline"/>
        </w:rPr>
        <w:tab/>
      </w:r>
      <w:r>
        <w:rPr>
          <w:i/>
          <w:spacing w:val="-5"/>
          <w:sz w:val="20"/>
          <w:vertAlign w:val="baseline"/>
        </w:rPr>
        <w:t>of</w:t>
      </w:r>
      <w:r>
        <w:rPr>
          <w:i/>
          <w:sz w:val="20"/>
          <w:vertAlign w:val="baseline"/>
        </w:rPr>
        <w:tab/>
      </w:r>
      <w:r>
        <w:rPr>
          <w:i/>
          <w:spacing w:val="-2"/>
          <w:sz w:val="20"/>
          <w:vertAlign w:val="baseline"/>
        </w:rPr>
        <w:t>Hospitality</w:t>
      </w:r>
      <w:r>
        <w:rPr>
          <w:i/>
          <w:sz w:val="20"/>
          <w:vertAlign w:val="baseline"/>
        </w:rPr>
        <w:tab/>
      </w:r>
      <w:r>
        <w:rPr>
          <w:i/>
          <w:spacing w:val="-2"/>
          <w:sz w:val="20"/>
          <w:vertAlign w:val="baseline"/>
        </w:rPr>
        <w:t>Management</w:t>
      </w:r>
      <w:r>
        <w:rPr>
          <w:spacing w:val="-2"/>
          <w:sz w:val="20"/>
          <w:vertAlign w:val="baseline"/>
        </w:rPr>
        <w:t>,</w:t>
      </w:r>
      <w:r>
        <w:rPr>
          <w:sz w:val="20"/>
          <w:vertAlign w:val="baseline"/>
        </w:rPr>
        <w:tab/>
      </w:r>
      <w:r>
        <w:rPr>
          <w:spacing w:val="-5"/>
          <w:sz w:val="20"/>
          <w:vertAlign w:val="baseline"/>
        </w:rPr>
        <w:t>50</w:t>
      </w:r>
      <w:r>
        <w:rPr>
          <w:sz w:val="20"/>
          <w:vertAlign w:val="baseline"/>
        </w:rPr>
        <w:tab/>
      </w:r>
      <w:r>
        <w:rPr>
          <w:spacing w:val="-2"/>
          <w:sz w:val="20"/>
          <w:vertAlign w:val="baseline"/>
        </w:rPr>
        <w:t>(2015),</w:t>
      </w:r>
      <w:r>
        <w:rPr>
          <w:sz w:val="20"/>
          <w:vertAlign w:val="baseline"/>
        </w:rPr>
        <w:tab/>
      </w:r>
      <w:r>
        <w:rPr>
          <w:spacing w:val="-2"/>
          <w:sz w:val="20"/>
          <w:vertAlign w:val="baseline"/>
        </w:rPr>
        <w:t>55–65</w:t>
      </w:r>
    </w:p>
    <w:p>
      <w:pPr>
        <w:spacing w:line="228" w:lineRule="exact" w:before="0"/>
        <w:ind w:left="23" w:right="0" w:firstLine="0"/>
        <w:jc w:val="left"/>
        <w:rPr>
          <w:sz w:val="20"/>
        </w:rPr>
      </w:pPr>
      <w:r>
        <w:rPr>
          <w:spacing w:val="-2"/>
          <w:sz w:val="20"/>
        </w:rPr>
        <w:t>&lt;https://doi.org/10.1016/j.ijhm.2015.07.010&gt;.</w:t>
      </w:r>
    </w:p>
    <w:p>
      <w:pPr>
        <w:spacing w:before="0"/>
        <w:ind w:left="23" w:right="0" w:firstLine="719"/>
        <w:jc w:val="left"/>
        <w:rPr>
          <w:sz w:val="20"/>
        </w:rPr>
      </w:pPr>
      <w:bookmarkStart w:name="_bookmark102" w:id="103"/>
      <w:bookmarkEnd w:id="103"/>
      <w:r>
        <w:rPr/>
      </w:r>
      <w:r>
        <w:rPr>
          <w:sz w:val="20"/>
          <w:vertAlign w:val="superscript"/>
        </w:rPr>
        <w:t>67</w:t>
      </w:r>
      <w:r>
        <w:rPr>
          <w:sz w:val="20"/>
          <w:vertAlign w:val="baseline"/>
        </w:rPr>
        <w:t> P. Corredor, E. Ferrer, and R. Santamaria, ‘The Impact of Investor Sentiment on Stock Returns in</w:t>
      </w:r>
      <w:r>
        <w:rPr>
          <w:spacing w:val="80"/>
          <w:sz w:val="20"/>
          <w:vertAlign w:val="baseline"/>
        </w:rPr>
        <w:t> </w:t>
      </w:r>
      <w:r>
        <w:rPr>
          <w:sz w:val="20"/>
          <w:vertAlign w:val="baseline"/>
        </w:rPr>
        <w:t>Emerging</w:t>
      </w:r>
      <w:r>
        <w:rPr>
          <w:spacing w:val="-5"/>
          <w:sz w:val="20"/>
          <w:vertAlign w:val="baseline"/>
        </w:rPr>
        <w:t> </w:t>
      </w:r>
      <w:r>
        <w:rPr>
          <w:sz w:val="20"/>
          <w:vertAlign w:val="baseline"/>
        </w:rPr>
        <w:t>Markets:</w:t>
      </w:r>
      <w:r>
        <w:rPr>
          <w:spacing w:val="-6"/>
          <w:sz w:val="20"/>
          <w:vertAlign w:val="baseline"/>
        </w:rPr>
        <w:t> </w:t>
      </w:r>
      <w:r>
        <w:rPr>
          <w:sz w:val="20"/>
          <w:vertAlign w:val="baseline"/>
        </w:rPr>
        <w:t>The</w:t>
      </w:r>
      <w:r>
        <w:rPr>
          <w:spacing w:val="-6"/>
          <w:sz w:val="20"/>
          <w:vertAlign w:val="baseline"/>
        </w:rPr>
        <w:t> </w:t>
      </w:r>
      <w:r>
        <w:rPr>
          <w:sz w:val="20"/>
          <w:vertAlign w:val="baseline"/>
        </w:rPr>
        <w:t>Case</w:t>
      </w:r>
      <w:r>
        <w:rPr>
          <w:spacing w:val="-3"/>
          <w:sz w:val="20"/>
          <w:vertAlign w:val="baseline"/>
        </w:rPr>
        <w:t> </w:t>
      </w:r>
      <w:r>
        <w:rPr>
          <w:sz w:val="20"/>
          <w:vertAlign w:val="baseline"/>
        </w:rPr>
        <w:t>of</w:t>
      </w:r>
      <w:r>
        <w:rPr>
          <w:spacing w:val="-6"/>
          <w:sz w:val="20"/>
          <w:vertAlign w:val="baseline"/>
        </w:rPr>
        <w:t> </w:t>
      </w:r>
      <w:r>
        <w:rPr>
          <w:sz w:val="20"/>
          <w:vertAlign w:val="baseline"/>
        </w:rPr>
        <w:t>Central</w:t>
      </w:r>
      <w:r>
        <w:rPr>
          <w:spacing w:val="-5"/>
          <w:sz w:val="20"/>
          <w:vertAlign w:val="baseline"/>
        </w:rPr>
        <w:t> </w:t>
      </w:r>
      <w:r>
        <w:rPr>
          <w:sz w:val="20"/>
          <w:vertAlign w:val="baseline"/>
        </w:rPr>
        <w:t>European</w:t>
      </w:r>
      <w:r>
        <w:rPr>
          <w:spacing w:val="-5"/>
          <w:sz w:val="20"/>
          <w:vertAlign w:val="baseline"/>
        </w:rPr>
        <w:t> </w:t>
      </w:r>
      <w:r>
        <w:rPr>
          <w:sz w:val="20"/>
          <w:vertAlign w:val="baseline"/>
        </w:rPr>
        <w:t>Markets’, </w:t>
      </w:r>
      <w:r>
        <w:rPr>
          <w:i/>
          <w:sz w:val="20"/>
          <w:vertAlign w:val="baseline"/>
        </w:rPr>
        <w:t>Eastern</w:t>
      </w:r>
      <w:r>
        <w:rPr>
          <w:i/>
          <w:spacing w:val="-5"/>
          <w:sz w:val="20"/>
          <w:vertAlign w:val="baseline"/>
        </w:rPr>
        <w:t> </w:t>
      </w:r>
      <w:r>
        <w:rPr>
          <w:i/>
          <w:sz w:val="20"/>
          <w:vertAlign w:val="baseline"/>
        </w:rPr>
        <w:t>European</w:t>
      </w:r>
      <w:r>
        <w:rPr>
          <w:i/>
          <w:spacing w:val="-5"/>
          <w:sz w:val="20"/>
          <w:vertAlign w:val="baseline"/>
        </w:rPr>
        <w:t> </w:t>
      </w:r>
      <w:r>
        <w:rPr>
          <w:i/>
          <w:sz w:val="20"/>
          <w:vertAlign w:val="baseline"/>
        </w:rPr>
        <w:t>Economics</w:t>
      </w:r>
      <w:r>
        <w:rPr>
          <w:sz w:val="20"/>
          <w:vertAlign w:val="baseline"/>
        </w:rPr>
        <w:t>,</w:t>
      </w:r>
      <w:r>
        <w:rPr>
          <w:spacing w:val="-5"/>
          <w:sz w:val="20"/>
          <w:vertAlign w:val="baseline"/>
        </w:rPr>
        <w:t> </w:t>
      </w:r>
      <w:r>
        <w:rPr>
          <w:sz w:val="20"/>
          <w:vertAlign w:val="baseline"/>
        </w:rPr>
        <w:t>53.4</w:t>
      </w:r>
      <w:r>
        <w:rPr>
          <w:spacing w:val="-5"/>
          <w:sz w:val="20"/>
          <w:vertAlign w:val="baseline"/>
        </w:rPr>
        <w:t> </w:t>
      </w:r>
      <w:r>
        <w:rPr>
          <w:sz w:val="20"/>
          <w:vertAlign w:val="baseline"/>
        </w:rPr>
        <w:t>(2015),</w:t>
      </w:r>
      <w:r>
        <w:rPr>
          <w:spacing w:val="-5"/>
          <w:sz w:val="20"/>
          <w:vertAlign w:val="baseline"/>
        </w:rPr>
        <w:t> </w:t>
      </w:r>
      <w:r>
        <w:rPr>
          <w:spacing w:val="-2"/>
          <w:sz w:val="20"/>
          <w:vertAlign w:val="baseline"/>
        </w:rPr>
        <w:t>328–55</w:t>
      </w:r>
    </w:p>
    <w:p>
      <w:pPr>
        <w:spacing w:before="1"/>
        <w:ind w:left="23" w:right="0" w:firstLine="0"/>
        <w:jc w:val="left"/>
        <w:rPr>
          <w:sz w:val="20"/>
        </w:rPr>
      </w:pPr>
      <w:r>
        <w:rPr>
          <w:spacing w:val="-2"/>
          <w:sz w:val="20"/>
        </w:rPr>
        <w:t>&lt;https://doi.org/10.1080/00128775.2015.1079139&gt;.</w:t>
      </w:r>
    </w:p>
    <w:p>
      <w:pPr>
        <w:tabs>
          <w:tab w:pos="1612" w:val="left" w:leader="none"/>
          <w:tab w:pos="2837" w:val="left" w:leader="none"/>
          <w:tab w:pos="3597" w:val="left" w:leader="none"/>
          <w:tab w:pos="5091" w:val="left" w:leader="none"/>
          <w:tab w:pos="6407" w:val="left" w:leader="none"/>
          <w:tab w:pos="7360" w:val="left" w:leader="none"/>
          <w:tab w:pos="9052" w:val="right" w:leader="none"/>
        </w:tabs>
        <w:spacing w:before="1"/>
        <w:ind w:left="23" w:right="160" w:firstLine="719"/>
        <w:jc w:val="left"/>
        <w:rPr>
          <w:sz w:val="20"/>
        </w:rPr>
      </w:pPr>
      <w:bookmarkStart w:name="_bookmark103" w:id="104"/>
      <w:bookmarkEnd w:id="104"/>
      <w:r>
        <w:rPr/>
      </w:r>
      <w:r>
        <w:rPr>
          <w:sz w:val="20"/>
          <w:vertAlign w:val="superscript"/>
        </w:rPr>
        <w:t>68</w:t>
      </w:r>
      <w:r>
        <w:rPr>
          <w:spacing w:val="40"/>
          <w:sz w:val="20"/>
          <w:vertAlign w:val="baseline"/>
        </w:rPr>
        <w:t> </w:t>
      </w:r>
      <w:r>
        <w:rPr>
          <w:sz w:val="20"/>
          <w:vertAlign w:val="baseline"/>
        </w:rPr>
        <w:t>Wei-Fong</w:t>
      </w:r>
      <w:r>
        <w:rPr>
          <w:spacing w:val="40"/>
          <w:sz w:val="20"/>
          <w:vertAlign w:val="baseline"/>
        </w:rPr>
        <w:t> </w:t>
      </w:r>
      <w:r>
        <w:rPr>
          <w:sz w:val="20"/>
          <w:vertAlign w:val="baseline"/>
        </w:rPr>
        <w:t>Pan,</w:t>
      </w:r>
      <w:r>
        <w:rPr>
          <w:spacing w:val="40"/>
          <w:sz w:val="20"/>
          <w:vertAlign w:val="baseline"/>
        </w:rPr>
        <w:t> </w:t>
      </w:r>
      <w:r>
        <w:rPr>
          <w:sz w:val="20"/>
          <w:vertAlign w:val="baseline"/>
        </w:rPr>
        <w:t>‘Does</w:t>
      </w:r>
      <w:r>
        <w:rPr>
          <w:spacing w:val="40"/>
          <w:sz w:val="20"/>
          <w:vertAlign w:val="baseline"/>
        </w:rPr>
        <w:t> </w:t>
      </w:r>
      <w:r>
        <w:rPr>
          <w:sz w:val="20"/>
          <w:vertAlign w:val="baseline"/>
        </w:rPr>
        <w:t>Investor</w:t>
      </w:r>
      <w:r>
        <w:rPr>
          <w:spacing w:val="40"/>
          <w:sz w:val="20"/>
          <w:vertAlign w:val="baseline"/>
        </w:rPr>
        <w:t> </w:t>
      </w:r>
      <w:r>
        <w:rPr>
          <w:sz w:val="20"/>
          <w:vertAlign w:val="baseline"/>
        </w:rPr>
        <w:t>Sentiment</w:t>
      </w:r>
      <w:r>
        <w:rPr>
          <w:spacing w:val="40"/>
          <w:sz w:val="20"/>
          <w:vertAlign w:val="baseline"/>
        </w:rPr>
        <w:t> </w:t>
      </w:r>
      <w:r>
        <w:rPr>
          <w:sz w:val="20"/>
          <w:vertAlign w:val="baseline"/>
        </w:rPr>
        <w:t>Drive</w:t>
      </w:r>
      <w:r>
        <w:rPr>
          <w:spacing w:val="40"/>
          <w:sz w:val="20"/>
          <w:vertAlign w:val="baseline"/>
        </w:rPr>
        <w:t> </w:t>
      </w:r>
      <w:r>
        <w:rPr>
          <w:sz w:val="20"/>
          <w:vertAlign w:val="baseline"/>
        </w:rPr>
        <w:t>Stock</w:t>
      </w:r>
      <w:r>
        <w:rPr>
          <w:spacing w:val="40"/>
          <w:sz w:val="20"/>
          <w:vertAlign w:val="baseline"/>
        </w:rPr>
        <w:t> </w:t>
      </w:r>
      <w:r>
        <w:rPr>
          <w:sz w:val="20"/>
          <w:vertAlign w:val="baseline"/>
        </w:rPr>
        <w:t>Market</w:t>
      </w:r>
      <w:r>
        <w:rPr>
          <w:spacing w:val="40"/>
          <w:sz w:val="20"/>
          <w:vertAlign w:val="baseline"/>
        </w:rPr>
        <w:t> </w:t>
      </w:r>
      <w:r>
        <w:rPr>
          <w:sz w:val="20"/>
          <w:vertAlign w:val="baseline"/>
        </w:rPr>
        <w:t>Bubbles?</w:t>
      </w:r>
      <w:r>
        <w:rPr>
          <w:spacing w:val="40"/>
          <w:sz w:val="20"/>
          <w:vertAlign w:val="baseline"/>
        </w:rPr>
        <w:t> </w:t>
      </w:r>
      <w:r>
        <w:rPr>
          <w:sz w:val="20"/>
          <w:vertAlign w:val="baseline"/>
        </w:rPr>
        <w:t>Beware</w:t>
      </w:r>
      <w:r>
        <w:rPr>
          <w:spacing w:val="40"/>
          <w:sz w:val="20"/>
          <w:vertAlign w:val="baseline"/>
        </w:rPr>
        <w:t> </w:t>
      </w:r>
      <w:r>
        <w:rPr>
          <w:sz w:val="20"/>
          <w:vertAlign w:val="baseline"/>
        </w:rPr>
        <w:t>of</w:t>
      </w:r>
      <w:r>
        <w:rPr>
          <w:spacing w:val="40"/>
          <w:sz w:val="20"/>
          <w:vertAlign w:val="baseline"/>
        </w:rPr>
        <w:t> </w:t>
      </w:r>
      <w:r>
        <w:rPr>
          <w:sz w:val="20"/>
          <w:vertAlign w:val="baseline"/>
        </w:rPr>
        <w:t>Excessive </w:t>
      </w:r>
      <w:r>
        <w:rPr>
          <w:spacing w:val="-2"/>
          <w:sz w:val="20"/>
          <w:vertAlign w:val="baseline"/>
        </w:rPr>
        <w:t>Optimism!’,</w:t>
      </w:r>
      <w:r>
        <w:rPr>
          <w:sz w:val="20"/>
          <w:vertAlign w:val="baseline"/>
        </w:rPr>
        <w:tab/>
      </w:r>
      <w:r>
        <w:rPr>
          <w:i/>
          <w:spacing w:val="-2"/>
          <w:sz w:val="20"/>
          <w:vertAlign w:val="baseline"/>
        </w:rPr>
        <w:t>Journal</w:t>
      </w:r>
      <w:r>
        <w:rPr>
          <w:i/>
          <w:sz w:val="20"/>
          <w:vertAlign w:val="baseline"/>
        </w:rPr>
        <w:tab/>
      </w:r>
      <w:r>
        <w:rPr>
          <w:i/>
          <w:spacing w:val="-5"/>
          <w:sz w:val="20"/>
          <w:vertAlign w:val="baseline"/>
        </w:rPr>
        <w:t>of</w:t>
      </w:r>
      <w:r>
        <w:rPr>
          <w:i/>
          <w:sz w:val="20"/>
          <w:vertAlign w:val="baseline"/>
        </w:rPr>
        <w:tab/>
      </w:r>
      <w:r>
        <w:rPr>
          <w:i/>
          <w:spacing w:val="-2"/>
          <w:sz w:val="20"/>
          <w:vertAlign w:val="baseline"/>
        </w:rPr>
        <w:t>Behavioral</w:t>
      </w:r>
      <w:r>
        <w:rPr>
          <w:i/>
          <w:sz w:val="20"/>
          <w:vertAlign w:val="baseline"/>
        </w:rPr>
        <w:tab/>
      </w:r>
      <w:r>
        <w:rPr>
          <w:i/>
          <w:spacing w:val="-2"/>
          <w:sz w:val="20"/>
          <w:vertAlign w:val="baseline"/>
        </w:rPr>
        <w:t>Finance</w:t>
      </w:r>
      <w:r>
        <w:rPr>
          <w:spacing w:val="-2"/>
          <w:sz w:val="20"/>
          <w:vertAlign w:val="baseline"/>
        </w:rPr>
        <w:t>,</w:t>
      </w:r>
      <w:r>
        <w:rPr>
          <w:sz w:val="20"/>
          <w:vertAlign w:val="baseline"/>
        </w:rPr>
        <w:tab/>
      </w:r>
      <w:r>
        <w:rPr>
          <w:spacing w:val="-4"/>
          <w:sz w:val="20"/>
          <w:vertAlign w:val="baseline"/>
        </w:rPr>
        <w:t>21.1</w:t>
      </w:r>
      <w:r>
        <w:rPr>
          <w:sz w:val="20"/>
          <w:vertAlign w:val="baseline"/>
        </w:rPr>
        <w:tab/>
      </w:r>
      <w:r>
        <w:rPr>
          <w:spacing w:val="-2"/>
          <w:sz w:val="20"/>
          <w:vertAlign w:val="baseline"/>
        </w:rPr>
        <w:t>(2020),</w:t>
      </w:r>
      <w:r>
        <w:rPr>
          <w:sz w:val="20"/>
          <w:vertAlign w:val="baseline"/>
        </w:rPr>
        <w:tab/>
      </w:r>
      <w:r>
        <w:rPr>
          <w:spacing w:val="-2"/>
          <w:sz w:val="20"/>
          <w:vertAlign w:val="baseline"/>
        </w:rPr>
        <w:t>27–41</w:t>
      </w:r>
    </w:p>
    <w:p>
      <w:pPr>
        <w:spacing w:line="228" w:lineRule="exact" w:before="0"/>
        <w:ind w:left="23" w:right="0" w:firstLine="0"/>
        <w:jc w:val="left"/>
        <w:rPr>
          <w:sz w:val="20"/>
        </w:rPr>
      </w:pPr>
      <w:r>
        <w:rPr>
          <w:spacing w:val="-2"/>
          <w:sz w:val="20"/>
        </w:rPr>
        <w:t>&lt;https://doi.org/10.1080/15427560.2019.1587764&gt;.</w:t>
      </w:r>
    </w:p>
    <w:p>
      <w:pPr>
        <w:spacing w:before="0"/>
        <w:ind w:left="23" w:right="167" w:firstLine="719"/>
        <w:jc w:val="both"/>
        <w:rPr>
          <w:sz w:val="20"/>
        </w:rPr>
      </w:pPr>
      <w:bookmarkStart w:name="_bookmark104" w:id="105"/>
      <w:bookmarkEnd w:id="105"/>
      <w:r>
        <w:rPr/>
      </w:r>
      <w:r>
        <w:rPr>
          <w:sz w:val="20"/>
          <w:vertAlign w:val="superscript"/>
        </w:rPr>
        <w:t>69</w:t>
      </w:r>
      <w:r>
        <w:rPr>
          <w:spacing w:val="-5"/>
          <w:sz w:val="20"/>
          <w:vertAlign w:val="baseline"/>
        </w:rPr>
        <w:t> </w:t>
      </w:r>
      <w:r>
        <w:rPr>
          <w:sz w:val="20"/>
          <w:vertAlign w:val="baseline"/>
        </w:rPr>
        <w:t>Rikho</w:t>
      </w:r>
      <w:r>
        <w:rPr>
          <w:spacing w:val="-4"/>
          <w:sz w:val="20"/>
          <w:vertAlign w:val="baseline"/>
        </w:rPr>
        <w:t> </w:t>
      </w:r>
      <w:r>
        <w:rPr>
          <w:sz w:val="20"/>
          <w:vertAlign w:val="baseline"/>
        </w:rPr>
        <w:t>Nugroho,</w:t>
      </w:r>
      <w:r>
        <w:rPr>
          <w:spacing w:val="-5"/>
          <w:sz w:val="20"/>
          <w:vertAlign w:val="baseline"/>
        </w:rPr>
        <w:t> </w:t>
      </w:r>
      <w:r>
        <w:rPr>
          <w:sz w:val="20"/>
          <w:vertAlign w:val="baseline"/>
        </w:rPr>
        <w:t>Riyanti</w:t>
      </w:r>
      <w:r>
        <w:rPr>
          <w:spacing w:val="-6"/>
          <w:sz w:val="20"/>
          <w:vertAlign w:val="baseline"/>
        </w:rPr>
        <w:t> </w:t>
      </w:r>
      <w:r>
        <w:rPr>
          <w:sz w:val="20"/>
          <w:vertAlign w:val="baseline"/>
        </w:rPr>
        <w:t>Riyanti,</w:t>
      </w:r>
      <w:r>
        <w:rPr>
          <w:spacing w:val="-5"/>
          <w:sz w:val="20"/>
          <w:vertAlign w:val="baseline"/>
        </w:rPr>
        <w:t> </w:t>
      </w:r>
      <w:r>
        <w:rPr>
          <w:sz w:val="20"/>
          <w:vertAlign w:val="baseline"/>
        </w:rPr>
        <w:t>and</w:t>
      </w:r>
      <w:r>
        <w:rPr>
          <w:spacing w:val="-4"/>
          <w:sz w:val="20"/>
          <w:vertAlign w:val="baseline"/>
        </w:rPr>
        <w:t> </w:t>
      </w:r>
      <w:r>
        <w:rPr>
          <w:sz w:val="20"/>
          <w:vertAlign w:val="baseline"/>
        </w:rPr>
        <w:t>Andry</w:t>
      </w:r>
      <w:r>
        <w:rPr>
          <w:spacing w:val="-4"/>
          <w:sz w:val="20"/>
          <w:vertAlign w:val="baseline"/>
        </w:rPr>
        <w:t> </w:t>
      </w:r>
      <w:r>
        <w:rPr>
          <w:sz w:val="20"/>
          <w:vertAlign w:val="baseline"/>
        </w:rPr>
        <w:t>Priharta,</w:t>
      </w:r>
      <w:r>
        <w:rPr>
          <w:spacing w:val="-5"/>
          <w:sz w:val="20"/>
          <w:vertAlign w:val="baseline"/>
        </w:rPr>
        <w:t> </w:t>
      </w:r>
      <w:r>
        <w:rPr>
          <w:sz w:val="20"/>
          <w:vertAlign w:val="baseline"/>
        </w:rPr>
        <w:t>‘Pengaruh</w:t>
      </w:r>
      <w:r>
        <w:rPr>
          <w:spacing w:val="-4"/>
          <w:sz w:val="20"/>
          <w:vertAlign w:val="baseline"/>
        </w:rPr>
        <w:t> </w:t>
      </w:r>
      <w:r>
        <w:rPr>
          <w:sz w:val="20"/>
          <w:vertAlign w:val="baseline"/>
        </w:rPr>
        <w:t>Inflasi,</w:t>
      </w:r>
      <w:r>
        <w:rPr>
          <w:spacing w:val="-5"/>
          <w:sz w:val="20"/>
          <w:vertAlign w:val="baseline"/>
        </w:rPr>
        <w:t> </w:t>
      </w:r>
      <w:r>
        <w:rPr>
          <w:sz w:val="20"/>
          <w:vertAlign w:val="baseline"/>
        </w:rPr>
        <w:t>Nilai</w:t>
      </w:r>
      <w:r>
        <w:rPr>
          <w:spacing w:val="-5"/>
          <w:sz w:val="20"/>
          <w:vertAlign w:val="baseline"/>
        </w:rPr>
        <w:t> </w:t>
      </w:r>
      <w:r>
        <w:rPr>
          <w:sz w:val="20"/>
          <w:vertAlign w:val="baseline"/>
        </w:rPr>
        <w:t>Tukar</w:t>
      </w:r>
      <w:r>
        <w:rPr>
          <w:spacing w:val="-4"/>
          <w:sz w:val="20"/>
          <w:vertAlign w:val="baseline"/>
        </w:rPr>
        <w:t> </w:t>
      </w:r>
      <w:r>
        <w:rPr>
          <w:sz w:val="20"/>
          <w:vertAlign w:val="baseline"/>
        </w:rPr>
        <w:t>Mata</w:t>
      </w:r>
      <w:r>
        <w:rPr>
          <w:spacing w:val="-5"/>
          <w:sz w:val="20"/>
          <w:vertAlign w:val="baseline"/>
        </w:rPr>
        <w:t> </w:t>
      </w:r>
      <w:r>
        <w:rPr>
          <w:sz w:val="20"/>
          <w:vertAlign w:val="baseline"/>
        </w:rPr>
        <w:t>Uang,</w:t>
      </w:r>
      <w:r>
        <w:rPr>
          <w:spacing w:val="-5"/>
          <w:sz w:val="20"/>
          <w:vertAlign w:val="baseline"/>
        </w:rPr>
        <w:t> </w:t>
      </w:r>
      <w:r>
        <w:rPr>
          <w:sz w:val="20"/>
          <w:vertAlign w:val="baseline"/>
        </w:rPr>
        <w:t>Debt to Equity Ratio, Dan Return On Assets Terhadap Return Saham Perusahaan Transportasi Di Bursa Efek Indonesia’, </w:t>
      </w:r>
      <w:r>
        <w:rPr>
          <w:i/>
          <w:sz w:val="20"/>
          <w:vertAlign w:val="baseline"/>
        </w:rPr>
        <w:t>Jurnal</w:t>
      </w:r>
      <w:r>
        <w:rPr>
          <w:i/>
          <w:spacing w:val="-1"/>
          <w:sz w:val="20"/>
          <w:vertAlign w:val="baseline"/>
        </w:rPr>
        <w:t> </w:t>
      </w:r>
      <w:r>
        <w:rPr>
          <w:i/>
          <w:sz w:val="20"/>
          <w:vertAlign w:val="baseline"/>
        </w:rPr>
        <w:t>Muhammadiyah Manajemen Bisnis</w:t>
      </w:r>
      <w:r>
        <w:rPr>
          <w:sz w:val="20"/>
          <w:vertAlign w:val="baseline"/>
        </w:rPr>
        <w:t>, 4.1</w:t>
      </w:r>
      <w:r>
        <w:rPr>
          <w:spacing w:val="-1"/>
          <w:sz w:val="20"/>
          <w:vertAlign w:val="baseline"/>
        </w:rPr>
        <w:t> </w:t>
      </w:r>
      <w:r>
        <w:rPr>
          <w:sz w:val="20"/>
          <w:vertAlign w:val="baseline"/>
        </w:rPr>
        <w:t>(2023), 7 &lt;https://doi.org/10.24853/jmmb.4.1.7-18&gt;.</w:t>
      </w:r>
    </w:p>
    <w:p>
      <w:pPr>
        <w:spacing w:after="0"/>
        <w:jc w:val="both"/>
        <w:rPr>
          <w:sz w:val="20"/>
        </w:rPr>
        <w:sectPr>
          <w:pgSz w:w="11910" w:h="16840"/>
          <w:pgMar w:header="0" w:footer="1000" w:top="1340" w:bottom="1200" w:left="1417" w:right="1275"/>
        </w:sectPr>
      </w:pPr>
    </w:p>
    <w:p>
      <w:pPr>
        <w:pStyle w:val="BodyText"/>
        <w:spacing w:line="360" w:lineRule="auto" w:before="60"/>
        <w:ind w:left="1823" w:right="165"/>
        <w:jc w:val="both"/>
      </w:pPr>
      <w:r>
        <w:rPr/>
        <w:t>lainnya. Di sisi lain, harga saham akan naik sebagai respons terhadap penguatan mata uang lokal terhadap mata uang lainnya, sehingga meningkatkan imbal hasil bagi pemegang saham.</w:t>
      </w:r>
    </w:p>
    <w:p>
      <w:pPr>
        <w:pStyle w:val="BodyText"/>
        <w:spacing w:line="360" w:lineRule="auto"/>
        <w:ind w:left="1823" w:right="162" w:firstLine="360"/>
        <w:jc w:val="both"/>
      </w:pPr>
      <w:r>
        <w:rPr/>
        <w:t>Hal</w:t>
      </w:r>
      <w:r>
        <w:rPr>
          <w:spacing w:val="-5"/>
        </w:rPr>
        <w:t> </w:t>
      </w:r>
      <w:r>
        <w:rPr/>
        <w:t>ini</w:t>
      </w:r>
      <w:r>
        <w:rPr>
          <w:spacing w:val="-5"/>
        </w:rPr>
        <w:t> </w:t>
      </w:r>
      <w:r>
        <w:rPr/>
        <w:t>konsisten</w:t>
      </w:r>
      <w:r>
        <w:rPr>
          <w:spacing w:val="-5"/>
        </w:rPr>
        <w:t> </w:t>
      </w:r>
      <w:r>
        <w:rPr/>
        <w:t>dengan</w:t>
      </w:r>
      <w:r>
        <w:rPr>
          <w:spacing w:val="-5"/>
        </w:rPr>
        <w:t> </w:t>
      </w:r>
      <w:r>
        <w:rPr/>
        <w:t>penelitian</w:t>
      </w:r>
      <w:r>
        <w:rPr>
          <w:spacing w:val="-5"/>
        </w:rPr>
        <w:t> </w:t>
      </w:r>
      <w:r>
        <w:rPr/>
        <w:t>lain</w:t>
      </w:r>
      <w:r>
        <w:rPr>
          <w:spacing w:val="-5"/>
        </w:rPr>
        <w:t> </w:t>
      </w:r>
      <w:r>
        <w:rPr/>
        <w:t>yang</w:t>
      </w:r>
      <w:r>
        <w:rPr>
          <w:spacing w:val="-5"/>
        </w:rPr>
        <w:t> </w:t>
      </w:r>
      <w:r>
        <w:rPr/>
        <w:t>menunjukkan</w:t>
      </w:r>
      <w:r>
        <w:rPr>
          <w:spacing w:val="-5"/>
        </w:rPr>
        <w:t> </w:t>
      </w:r>
      <w:r>
        <w:rPr/>
        <w:t>bahwa</w:t>
      </w:r>
      <w:r>
        <w:rPr>
          <w:spacing w:val="-6"/>
        </w:rPr>
        <w:t> </w:t>
      </w:r>
      <w:r>
        <w:rPr/>
        <w:t>nilai tukar berdampak negatif terhadap harga saham.</w:t>
      </w:r>
      <w:hyperlink w:history="true" w:anchor="_bookmark106">
        <w:r>
          <w:rPr>
            <w:vertAlign w:val="superscript"/>
          </w:rPr>
          <w:t>70</w:t>
        </w:r>
      </w:hyperlink>
      <w:r>
        <w:rPr>
          <w:vertAlign w:val="baseline"/>
        </w:rPr>
        <w:t> Adapun Dwijayanti pun sepakat</w:t>
      </w:r>
      <w:r>
        <w:rPr>
          <w:spacing w:val="-12"/>
          <w:vertAlign w:val="baseline"/>
        </w:rPr>
        <w:t> </w:t>
      </w:r>
      <w:r>
        <w:rPr>
          <w:vertAlign w:val="baseline"/>
        </w:rPr>
        <w:t>bahwasanya</w:t>
      </w:r>
      <w:r>
        <w:rPr>
          <w:spacing w:val="-14"/>
          <w:vertAlign w:val="baseline"/>
        </w:rPr>
        <w:t> </w:t>
      </w:r>
      <w:r>
        <w:rPr>
          <w:vertAlign w:val="baseline"/>
        </w:rPr>
        <w:t>nilai</w:t>
      </w:r>
      <w:r>
        <w:rPr>
          <w:spacing w:val="-10"/>
          <w:vertAlign w:val="baseline"/>
        </w:rPr>
        <w:t> </w:t>
      </w:r>
      <w:r>
        <w:rPr>
          <w:vertAlign w:val="baseline"/>
        </w:rPr>
        <w:t>tukar</w:t>
      </w:r>
      <w:r>
        <w:rPr>
          <w:spacing w:val="-14"/>
          <w:vertAlign w:val="baseline"/>
        </w:rPr>
        <w:t> </w:t>
      </w:r>
      <w:r>
        <w:rPr>
          <w:vertAlign w:val="baseline"/>
        </w:rPr>
        <w:t>berpengaruh</w:t>
      </w:r>
      <w:r>
        <w:rPr>
          <w:spacing w:val="-13"/>
          <w:vertAlign w:val="baseline"/>
        </w:rPr>
        <w:t> </w:t>
      </w:r>
      <w:r>
        <w:rPr>
          <w:vertAlign w:val="baseline"/>
        </w:rPr>
        <w:t>negatif</w:t>
      </w:r>
      <w:r>
        <w:rPr>
          <w:spacing w:val="-13"/>
          <w:vertAlign w:val="baseline"/>
        </w:rPr>
        <w:t> </w:t>
      </w:r>
      <w:r>
        <w:rPr>
          <w:vertAlign w:val="baseline"/>
        </w:rPr>
        <w:t>dan</w:t>
      </w:r>
      <w:r>
        <w:rPr>
          <w:spacing w:val="-13"/>
          <w:vertAlign w:val="baseline"/>
        </w:rPr>
        <w:t> </w:t>
      </w:r>
      <w:r>
        <w:rPr>
          <w:vertAlign w:val="baseline"/>
        </w:rPr>
        <w:t>signifikan</w:t>
      </w:r>
      <w:r>
        <w:rPr>
          <w:spacing w:val="-13"/>
          <w:vertAlign w:val="baseline"/>
        </w:rPr>
        <w:t> </w:t>
      </w:r>
      <w:r>
        <w:rPr>
          <w:vertAlign w:val="baseline"/>
        </w:rPr>
        <w:t>terhadap harga saham.</w:t>
      </w:r>
      <w:hyperlink w:history="true" w:anchor="_bookmark107">
        <w:r>
          <w:rPr>
            <w:vertAlign w:val="superscript"/>
          </w:rPr>
          <w:t>71</w:t>
        </w:r>
      </w:hyperlink>
    </w:p>
    <w:p>
      <w:pPr>
        <w:pStyle w:val="BodyText"/>
        <w:spacing w:line="360" w:lineRule="auto"/>
        <w:ind w:left="1823" w:right="163"/>
        <w:jc w:val="both"/>
      </w:pPr>
      <w:r>
        <w:rPr>
          <w:b/>
        </w:rPr>
        <w:t>H2: </w:t>
      </w:r>
      <w:r>
        <w:rPr/>
        <w:t>Nilai tukar berpengaruh negatif terhadap Indeks Saham Syariah </w:t>
      </w:r>
      <w:r>
        <w:rPr>
          <w:spacing w:val="-2"/>
        </w:rPr>
        <w:t>Indonesia</w:t>
      </w:r>
    </w:p>
    <w:p>
      <w:pPr>
        <w:pStyle w:val="Heading2"/>
        <w:numPr>
          <w:ilvl w:val="2"/>
          <w:numId w:val="12"/>
        </w:numPr>
        <w:tabs>
          <w:tab w:pos="1823" w:val="left" w:leader="none"/>
        </w:tabs>
        <w:spacing w:line="240" w:lineRule="auto" w:before="161" w:after="0"/>
        <w:ind w:left="1823" w:right="0" w:hanging="720"/>
        <w:jc w:val="both"/>
      </w:pPr>
      <w:bookmarkStart w:name="_bookmark105" w:id="106"/>
      <w:bookmarkEnd w:id="106"/>
      <w:r>
        <w:rPr>
          <w:b w:val="0"/>
        </w:rPr>
      </w:r>
      <w:r>
        <w:rPr/>
        <w:t>Pengaruh</w:t>
      </w:r>
      <w:r>
        <w:rPr>
          <w:spacing w:val="-3"/>
        </w:rPr>
        <w:t> </w:t>
      </w:r>
      <w:r>
        <w:rPr/>
        <w:t>Inflasi</w:t>
      </w:r>
      <w:r>
        <w:rPr>
          <w:spacing w:val="-4"/>
        </w:rPr>
        <w:t> </w:t>
      </w:r>
      <w:r>
        <w:rPr/>
        <w:t>terhadap</w:t>
      </w:r>
      <w:r>
        <w:rPr>
          <w:spacing w:val="-3"/>
        </w:rPr>
        <w:t> </w:t>
      </w:r>
      <w:r>
        <w:rPr/>
        <w:t>Indeks</w:t>
      </w:r>
      <w:r>
        <w:rPr>
          <w:spacing w:val="-6"/>
        </w:rPr>
        <w:t> </w:t>
      </w:r>
      <w:r>
        <w:rPr/>
        <w:t>Saham</w:t>
      </w:r>
      <w:r>
        <w:rPr>
          <w:spacing w:val="-3"/>
        </w:rPr>
        <w:t> </w:t>
      </w:r>
      <w:r>
        <w:rPr/>
        <w:t>Syariah</w:t>
      </w:r>
      <w:r>
        <w:rPr>
          <w:spacing w:val="-4"/>
        </w:rPr>
        <w:t> </w:t>
      </w:r>
      <w:r>
        <w:rPr/>
        <w:t>Indonesia</w:t>
      </w:r>
      <w:r>
        <w:rPr>
          <w:spacing w:val="-3"/>
        </w:rPr>
        <w:t> </w:t>
      </w:r>
      <w:r>
        <w:rPr>
          <w:spacing w:val="-2"/>
        </w:rPr>
        <w:t>(ISSI)</w:t>
      </w:r>
    </w:p>
    <w:p>
      <w:pPr>
        <w:pStyle w:val="BodyText"/>
        <w:spacing w:before="22"/>
        <w:rPr>
          <w:b/>
        </w:rPr>
      </w:pPr>
    </w:p>
    <w:p>
      <w:pPr>
        <w:pStyle w:val="BodyText"/>
        <w:spacing w:line="360" w:lineRule="auto"/>
        <w:ind w:left="1823" w:right="160" w:firstLine="360"/>
        <w:jc w:val="both"/>
      </w:pPr>
      <w:r>
        <w:rPr/>
        <w:t>Tingkat harga yang ditentukan oleh inflasi merupakan salah satu indikator ekonomi makro yang dapat berdampak pada pasar modal. Pendapatan riil dan suku bunga riil akan terpengaruh oleh tingkat inflasi. Ketika inflasi tidak terkendali, individu cenderung ingin menjaga aset mereka</w:t>
      </w:r>
      <w:r>
        <w:rPr>
          <w:spacing w:val="-15"/>
        </w:rPr>
        <w:t> </w:t>
      </w:r>
      <w:r>
        <w:rPr/>
        <w:t>dengan</w:t>
      </w:r>
      <w:r>
        <w:rPr>
          <w:spacing w:val="-15"/>
        </w:rPr>
        <w:t> </w:t>
      </w:r>
      <w:r>
        <w:rPr/>
        <w:t>melakukan</w:t>
      </w:r>
      <w:r>
        <w:rPr>
          <w:spacing w:val="-15"/>
        </w:rPr>
        <w:t> </w:t>
      </w:r>
      <w:r>
        <w:rPr/>
        <w:t>investasi</w:t>
      </w:r>
      <w:r>
        <w:rPr>
          <w:spacing w:val="-15"/>
        </w:rPr>
        <w:t> </w:t>
      </w:r>
      <w:r>
        <w:rPr/>
        <w:t>yang</w:t>
      </w:r>
      <w:r>
        <w:rPr>
          <w:spacing w:val="-15"/>
        </w:rPr>
        <w:t> </w:t>
      </w:r>
      <w:r>
        <w:rPr/>
        <w:t>lebih</w:t>
      </w:r>
      <w:r>
        <w:rPr>
          <w:spacing w:val="-15"/>
        </w:rPr>
        <w:t> </w:t>
      </w:r>
      <w:r>
        <w:rPr/>
        <w:t>aman,</w:t>
      </w:r>
      <w:r>
        <w:rPr>
          <w:spacing w:val="-15"/>
        </w:rPr>
        <w:t> </w:t>
      </w:r>
      <w:r>
        <w:rPr/>
        <w:t>seperti</w:t>
      </w:r>
      <w:r>
        <w:rPr>
          <w:spacing w:val="-15"/>
        </w:rPr>
        <w:t> </w:t>
      </w:r>
      <w:r>
        <w:rPr/>
        <w:t>membeli</w:t>
      </w:r>
      <w:r>
        <w:rPr>
          <w:spacing w:val="-15"/>
        </w:rPr>
        <w:t> </w:t>
      </w:r>
      <w:r>
        <w:rPr/>
        <w:t>emas atau logam mulia lainnya daripada ekuitas. Meskipun demikian, investor dalam kegiatan investasi pasar modal biasanya merasa lebih aman ketika inflasi stabil dan terkendali, yang terkadang dikenal sebagai inflasi inersia. Situasi yang dikenal sebagai inflasi adalah ketika harga produk secara umum</w:t>
      </w:r>
      <w:r>
        <w:rPr>
          <w:spacing w:val="-1"/>
        </w:rPr>
        <w:t> </w:t>
      </w:r>
      <w:r>
        <w:rPr/>
        <w:t>dan</w:t>
      </w:r>
      <w:r>
        <w:rPr>
          <w:spacing w:val="-1"/>
        </w:rPr>
        <w:t> </w:t>
      </w:r>
      <w:r>
        <w:rPr/>
        <w:t>konsisten</w:t>
      </w:r>
      <w:r>
        <w:rPr>
          <w:spacing w:val="-2"/>
        </w:rPr>
        <w:t> </w:t>
      </w:r>
      <w:r>
        <w:rPr/>
        <w:t>naik</w:t>
      </w:r>
      <w:r>
        <w:rPr>
          <w:spacing w:val="-1"/>
        </w:rPr>
        <w:t> </w:t>
      </w:r>
      <w:r>
        <w:rPr/>
        <w:t>dalam</w:t>
      </w:r>
      <w:r>
        <w:rPr>
          <w:spacing w:val="-1"/>
        </w:rPr>
        <w:t> </w:t>
      </w:r>
      <w:r>
        <w:rPr/>
        <w:t>skala</w:t>
      </w:r>
      <w:r>
        <w:rPr>
          <w:spacing w:val="-2"/>
        </w:rPr>
        <w:t> </w:t>
      </w:r>
      <w:r>
        <w:rPr/>
        <w:t>besar.</w:t>
      </w:r>
      <w:r>
        <w:rPr>
          <w:spacing w:val="-2"/>
        </w:rPr>
        <w:t> </w:t>
      </w:r>
      <w:r>
        <w:rPr/>
        <w:t>Harga</w:t>
      </w:r>
      <w:r>
        <w:rPr>
          <w:spacing w:val="-2"/>
        </w:rPr>
        <w:t> </w:t>
      </w:r>
      <w:r>
        <w:rPr/>
        <w:t>umumnya</w:t>
      </w:r>
      <w:r>
        <w:rPr>
          <w:spacing w:val="-2"/>
        </w:rPr>
        <w:t> </w:t>
      </w:r>
      <w:r>
        <w:rPr/>
        <w:t>naik</w:t>
      </w:r>
      <w:r>
        <w:rPr>
          <w:spacing w:val="-1"/>
        </w:rPr>
        <w:t> </w:t>
      </w:r>
      <w:r>
        <w:rPr/>
        <w:t>sebagai akibat dari kenaikan inflasi. Daya beli masyarakat akan terus menurun dalam situasi seperti ini, dan kenaikan harga bahan baku dapat meningkatkan biaya produksi. Beberapa bisnis merasa lebih sulit untuk menjual produk mereka sebagai akibat dari menurunnya daya beli masyarakat,</w:t>
      </w:r>
      <w:r>
        <w:rPr>
          <w:spacing w:val="-15"/>
        </w:rPr>
        <w:t> </w:t>
      </w:r>
      <w:r>
        <w:rPr/>
        <w:t>yang</w:t>
      </w:r>
      <w:r>
        <w:rPr>
          <w:spacing w:val="-15"/>
        </w:rPr>
        <w:t> </w:t>
      </w:r>
      <w:r>
        <w:rPr/>
        <w:t>berdampak</w:t>
      </w:r>
      <w:r>
        <w:rPr>
          <w:spacing w:val="-15"/>
        </w:rPr>
        <w:t> </w:t>
      </w:r>
      <w:r>
        <w:rPr/>
        <w:t>pada</w:t>
      </w:r>
      <w:r>
        <w:rPr>
          <w:spacing w:val="-15"/>
        </w:rPr>
        <w:t> </w:t>
      </w:r>
      <w:r>
        <w:rPr/>
        <w:t>penjualan</w:t>
      </w:r>
      <w:r>
        <w:rPr>
          <w:spacing w:val="-15"/>
        </w:rPr>
        <w:t> </w:t>
      </w:r>
      <w:r>
        <w:rPr/>
        <w:t>dan</w:t>
      </w:r>
      <w:r>
        <w:rPr>
          <w:spacing w:val="-15"/>
        </w:rPr>
        <w:t> </w:t>
      </w:r>
      <w:r>
        <w:rPr/>
        <w:t>menurunkan</w:t>
      </w:r>
      <w:r>
        <w:rPr>
          <w:spacing w:val="-15"/>
        </w:rPr>
        <w:t> </w:t>
      </w:r>
      <w:r>
        <w:rPr/>
        <w:t>profitabilitas. Harga saham perusahaan akan turun seiring dengan menurunnya profitabilitas perusahaan. Karena pengembalian yang akan diberikan perusahaan kepada pemegang saham juga akan berkurang, investor memandang</w:t>
      </w:r>
      <w:r>
        <w:rPr>
          <w:spacing w:val="3"/>
        </w:rPr>
        <w:t> </w:t>
      </w:r>
      <w:r>
        <w:rPr/>
        <w:t>penurunan</w:t>
      </w:r>
      <w:r>
        <w:rPr>
          <w:spacing w:val="8"/>
        </w:rPr>
        <w:t> </w:t>
      </w:r>
      <w:r>
        <w:rPr/>
        <w:t>harga</w:t>
      </w:r>
      <w:r>
        <w:rPr>
          <w:spacing w:val="7"/>
        </w:rPr>
        <w:t> </w:t>
      </w:r>
      <w:r>
        <w:rPr/>
        <w:t>saham</w:t>
      </w:r>
      <w:r>
        <w:rPr>
          <w:spacing w:val="8"/>
        </w:rPr>
        <w:t> </w:t>
      </w:r>
      <w:r>
        <w:rPr/>
        <w:t>sebagai</w:t>
      </w:r>
      <w:r>
        <w:rPr>
          <w:spacing w:val="7"/>
        </w:rPr>
        <w:t> </w:t>
      </w:r>
      <w:r>
        <w:rPr/>
        <w:t>hal</w:t>
      </w:r>
      <w:r>
        <w:rPr>
          <w:spacing w:val="12"/>
        </w:rPr>
        <w:t> </w:t>
      </w:r>
      <w:r>
        <w:rPr/>
        <w:t>yang</w:t>
      </w:r>
      <w:r>
        <w:rPr>
          <w:spacing w:val="6"/>
        </w:rPr>
        <w:t> </w:t>
      </w:r>
      <w:r>
        <w:rPr/>
        <w:t>kurang</w:t>
      </w:r>
      <w:r>
        <w:rPr>
          <w:spacing w:val="5"/>
        </w:rPr>
        <w:t> </w:t>
      </w:r>
      <w:r>
        <w:rPr/>
        <w:t>menarik</w:t>
      </w:r>
      <w:r>
        <w:rPr>
          <w:spacing w:val="6"/>
        </w:rPr>
        <w:t> </w:t>
      </w:r>
      <w:r>
        <w:rPr>
          <w:spacing w:val="-5"/>
        </w:rPr>
        <w:t>dan</w:t>
      </w:r>
    </w:p>
    <w:p>
      <w:pPr>
        <w:pStyle w:val="BodyText"/>
        <w:spacing w:before="117"/>
        <w:rPr>
          <w:sz w:val="20"/>
        </w:rPr>
      </w:pPr>
      <w:r>
        <w:rPr>
          <w:sz w:val="20"/>
        </w:rPr>
        <mc:AlternateContent>
          <mc:Choice Requires="wps">
            <w:drawing>
              <wp:anchor distT="0" distB="0" distL="0" distR="0" allowOverlap="1" layoutInCell="1" locked="0" behindDoc="1" simplePos="0" relativeHeight="487609856">
                <wp:simplePos x="0" y="0"/>
                <wp:positionH relativeFrom="page">
                  <wp:posOffset>914704</wp:posOffset>
                </wp:positionH>
                <wp:positionV relativeFrom="paragraph">
                  <wp:posOffset>235731</wp:posOffset>
                </wp:positionV>
                <wp:extent cx="1829435" cy="9525"/>
                <wp:effectExtent l="0" t="0" r="0" b="0"/>
                <wp:wrapTopAndBottom/>
                <wp:docPr id="289" name="Graphic 289"/>
                <wp:cNvGraphicFramePr>
                  <a:graphicFrameLocks/>
                </wp:cNvGraphicFramePr>
                <a:graphic>
                  <a:graphicData uri="http://schemas.microsoft.com/office/word/2010/wordprocessingShape">
                    <wps:wsp>
                      <wps:cNvPr id="289" name="Graphic 289"/>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561533pt;width:144.020pt;height:.72003pt;mso-position-horizontal-relative:page;mso-position-vertical-relative:paragraph;z-index:-15706624;mso-wrap-distance-left:0;mso-wrap-distance-right:0" id="docshape261" filled="true" fillcolor="#000000" stroked="false">
                <v:fill type="solid"/>
                <w10:wrap type="topAndBottom"/>
              </v:rect>
            </w:pict>
          </mc:Fallback>
        </mc:AlternateContent>
      </w:r>
    </w:p>
    <w:p>
      <w:pPr>
        <w:spacing w:before="101"/>
        <w:ind w:left="23" w:right="157" w:firstLine="719"/>
        <w:jc w:val="both"/>
        <w:rPr>
          <w:sz w:val="20"/>
        </w:rPr>
      </w:pPr>
      <w:bookmarkStart w:name="_bookmark106" w:id="107"/>
      <w:bookmarkEnd w:id="107"/>
      <w:r>
        <w:rPr/>
      </w:r>
      <w:r>
        <w:rPr>
          <w:sz w:val="20"/>
          <w:vertAlign w:val="superscript"/>
        </w:rPr>
        <w:t>70</w:t>
      </w:r>
      <w:r>
        <w:rPr>
          <w:sz w:val="20"/>
          <w:vertAlign w:val="baseline"/>
        </w:rPr>
        <w:t> Ramadya Savira and Dheo Rimbano, ‘Pengaruh Suku Bunga Dan Kurs Terhadap Harga Saham Perusahaan</w:t>
      </w:r>
      <w:r>
        <w:rPr>
          <w:spacing w:val="-4"/>
          <w:sz w:val="20"/>
          <w:vertAlign w:val="baseline"/>
        </w:rPr>
        <w:t> </w:t>
      </w:r>
      <w:r>
        <w:rPr>
          <w:sz w:val="20"/>
          <w:vertAlign w:val="baseline"/>
        </w:rPr>
        <w:t>Real</w:t>
      </w:r>
      <w:r>
        <w:rPr>
          <w:spacing w:val="-6"/>
          <w:sz w:val="20"/>
          <w:vertAlign w:val="baseline"/>
        </w:rPr>
        <w:t> </w:t>
      </w:r>
      <w:r>
        <w:rPr>
          <w:sz w:val="20"/>
          <w:vertAlign w:val="baseline"/>
        </w:rPr>
        <w:t>Estate</w:t>
      </w:r>
      <w:r>
        <w:rPr>
          <w:spacing w:val="-5"/>
          <w:sz w:val="20"/>
          <w:vertAlign w:val="baseline"/>
        </w:rPr>
        <w:t> </w:t>
      </w:r>
      <w:r>
        <w:rPr>
          <w:sz w:val="20"/>
          <w:vertAlign w:val="baseline"/>
        </w:rPr>
        <w:t>Dan</w:t>
      </w:r>
      <w:r>
        <w:rPr>
          <w:spacing w:val="-4"/>
          <w:sz w:val="20"/>
          <w:vertAlign w:val="baseline"/>
        </w:rPr>
        <w:t> </w:t>
      </w:r>
      <w:r>
        <w:rPr>
          <w:sz w:val="20"/>
          <w:vertAlign w:val="baseline"/>
        </w:rPr>
        <w:t>Property</w:t>
      </w:r>
      <w:r>
        <w:rPr>
          <w:spacing w:val="-7"/>
          <w:sz w:val="20"/>
          <w:vertAlign w:val="baseline"/>
        </w:rPr>
        <w:t> </w:t>
      </w:r>
      <w:r>
        <w:rPr>
          <w:sz w:val="20"/>
          <w:vertAlign w:val="baseline"/>
        </w:rPr>
        <w:t>(Kajian</w:t>
      </w:r>
      <w:r>
        <w:rPr>
          <w:spacing w:val="-4"/>
          <w:sz w:val="20"/>
          <w:vertAlign w:val="baseline"/>
        </w:rPr>
        <w:t> </w:t>
      </w:r>
      <w:r>
        <w:rPr>
          <w:sz w:val="20"/>
          <w:vertAlign w:val="baseline"/>
        </w:rPr>
        <w:t>Empiris</w:t>
      </w:r>
      <w:r>
        <w:rPr>
          <w:spacing w:val="-6"/>
          <w:sz w:val="20"/>
          <w:vertAlign w:val="baseline"/>
        </w:rPr>
        <w:t> </w:t>
      </w:r>
      <w:r>
        <w:rPr>
          <w:sz w:val="20"/>
          <w:vertAlign w:val="baseline"/>
        </w:rPr>
        <w:t>Pada</w:t>
      </w:r>
      <w:r>
        <w:rPr>
          <w:spacing w:val="-7"/>
          <w:sz w:val="20"/>
          <w:vertAlign w:val="baseline"/>
        </w:rPr>
        <w:t> </w:t>
      </w:r>
      <w:r>
        <w:rPr>
          <w:sz w:val="20"/>
          <w:vertAlign w:val="baseline"/>
        </w:rPr>
        <w:t>Bursa</w:t>
      </w:r>
      <w:r>
        <w:rPr>
          <w:spacing w:val="-5"/>
          <w:sz w:val="20"/>
          <w:vertAlign w:val="baseline"/>
        </w:rPr>
        <w:t> </w:t>
      </w:r>
      <w:r>
        <w:rPr>
          <w:sz w:val="20"/>
          <w:vertAlign w:val="baseline"/>
        </w:rPr>
        <w:t>Efek</w:t>
      </w:r>
      <w:r>
        <w:rPr>
          <w:spacing w:val="-4"/>
          <w:sz w:val="20"/>
          <w:vertAlign w:val="baseline"/>
        </w:rPr>
        <w:t> </w:t>
      </w:r>
      <w:r>
        <w:rPr>
          <w:sz w:val="20"/>
          <w:vertAlign w:val="baseline"/>
        </w:rPr>
        <w:t>Indonesia</w:t>
      </w:r>
      <w:r>
        <w:rPr>
          <w:spacing w:val="-6"/>
          <w:sz w:val="20"/>
          <w:vertAlign w:val="baseline"/>
        </w:rPr>
        <w:t> </w:t>
      </w:r>
      <w:r>
        <w:rPr>
          <w:sz w:val="20"/>
          <w:vertAlign w:val="baseline"/>
        </w:rPr>
        <w:t>)</w:t>
      </w:r>
      <w:r>
        <w:rPr>
          <w:spacing w:val="-5"/>
          <w:sz w:val="20"/>
          <w:vertAlign w:val="baseline"/>
        </w:rPr>
        <w:t> </w:t>
      </w:r>
      <w:r>
        <w:rPr>
          <w:sz w:val="20"/>
          <w:vertAlign w:val="baseline"/>
        </w:rPr>
        <w:t>Periode</w:t>
      </w:r>
      <w:r>
        <w:rPr>
          <w:spacing w:val="-5"/>
          <w:sz w:val="20"/>
          <w:vertAlign w:val="baseline"/>
        </w:rPr>
        <w:t> </w:t>
      </w:r>
      <w:r>
        <w:rPr>
          <w:sz w:val="20"/>
          <w:vertAlign w:val="baseline"/>
        </w:rPr>
        <w:t>Bulanan</w:t>
      </w:r>
      <w:r>
        <w:rPr>
          <w:spacing w:val="-4"/>
          <w:sz w:val="20"/>
          <w:vertAlign w:val="baseline"/>
        </w:rPr>
        <w:t> </w:t>
      </w:r>
      <w:r>
        <w:rPr>
          <w:sz w:val="20"/>
          <w:vertAlign w:val="baseline"/>
        </w:rPr>
        <w:t>2013-2014’, </w:t>
      </w:r>
      <w:r>
        <w:rPr>
          <w:i/>
          <w:sz w:val="20"/>
          <w:vertAlign w:val="baseline"/>
        </w:rPr>
        <w:t>Motivasi: Jurnal Manajemen Dan Bisnis</w:t>
      </w:r>
      <w:r>
        <w:rPr>
          <w:sz w:val="20"/>
          <w:vertAlign w:val="baseline"/>
        </w:rPr>
        <w:t>, 1.1 (2016), 25–36 </w:t>
      </w:r>
      <w:hyperlink r:id="rId17">
        <w:r>
          <w:rPr>
            <w:sz w:val="20"/>
            <w:vertAlign w:val="baseline"/>
          </w:rPr>
          <w:t>&lt;http://jurnal.um-</w:t>
        </w:r>
      </w:hyperlink>
      <w:r>
        <w:rPr>
          <w:sz w:val="20"/>
          <w:vertAlign w:val="baseline"/>
        </w:rPr>
        <w:t> </w:t>
      </w:r>
      <w:r>
        <w:rPr>
          <w:spacing w:val="-2"/>
          <w:sz w:val="20"/>
          <w:vertAlign w:val="baseline"/>
        </w:rPr>
        <w:t>palembang.ac.id/motivasi/article/view/713&gt;.</w:t>
      </w:r>
    </w:p>
    <w:p>
      <w:pPr>
        <w:spacing w:line="229" w:lineRule="exact" w:before="0"/>
        <w:ind w:left="743" w:right="0" w:firstLine="0"/>
        <w:jc w:val="both"/>
        <w:rPr>
          <w:sz w:val="20"/>
        </w:rPr>
      </w:pPr>
      <w:bookmarkStart w:name="_bookmark107" w:id="108"/>
      <w:bookmarkEnd w:id="108"/>
      <w:r>
        <w:rPr/>
      </w:r>
      <w:r>
        <w:rPr>
          <w:sz w:val="20"/>
          <w:vertAlign w:val="superscript"/>
        </w:rPr>
        <w:t>71</w:t>
      </w:r>
      <w:r>
        <w:rPr>
          <w:spacing w:val="-2"/>
          <w:sz w:val="20"/>
          <w:vertAlign w:val="baseline"/>
        </w:rPr>
        <w:t> Dwijayanti.</w:t>
      </w:r>
    </w:p>
    <w:p>
      <w:pPr>
        <w:spacing w:after="0" w:line="229" w:lineRule="exact"/>
        <w:jc w:val="both"/>
        <w:rPr>
          <w:sz w:val="20"/>
        </w:rPr>
        <w:sectPr>
          <w:pgSz w:w="11910" w:h="16840"/>
          <w:pgMar w:header="0" w:footer="1000" w:top="1360" w:bottom="1200" w:left="1417" w:right="1275"/>
        </w:sectPr>
      </w:pPr>
    </w:p>
    <w:p>
      <w:pPr>
        <w:pStyle w:val="BodyText"/>
        <w:spacing w:line="360" w:lineRule="auto" w:before="60"/>
        <w:ind w:left="1823" w:right="163"/>
        <w:jc w:val="both"/>
      </w:pPr>
      <w:r>
        <w:rPr/>
        <w:t>kurang menguntungkan. Inflasi yang tinggi akan berdampak negatif bagi investor karena akan meningkatkan biaya produksi yang harus dibebankan oleh</w:t>
      </w:r>
      <w:r>
        <w:rPr>
          <w:spacing w:val="-10"/>
        </w:rPr>
        <w:t> </w:t>
      </w:r>
      <w:r>
        <w:rPr/>
        <w:t>perusahaan,</w:t>
      </w:r>
      <w:r>
        <w:rPr>
          <w:spacing w:val="-9"/>
        </w:rPr>
        <w:t> </w:t>
      </w:r>
      <w:r>
        <w:rPr/>
        <w:t>yang</w:t>
      </w:r>
      <w:r>
        <w:rPr>
          <w:spacing w:val="-9"/>
        </w:rPr>
        <w:t> </w:t>
      </w:r>
      <w:r>
        <w:rPr/>
        <w:t>pada</w:t>
      </w:r>
      <w:r>
        <w:rPr>
          <w:spacing w:val="-10"/>
        </w:rPr>
        <w:t> </w:t>
      </w:r>
      <w:r>
        <w:rPr/>
        <w:t>akhirnya</w:t>
      </w:r>
      <w:r>
        <w:rPr>
          <w:spacing w:val="-10"/>
        </w:rPr>
        <w:t> </w:t>
      </w:r>
      <w:r>
        <w:rPr/>
        <w:t>akan</w:t>
      </w:r>
      <w:r>
        <w:rPr>
          <w:spacing w:val="-9"/>
        </w:rPr>
        <w:t> </w:t>
      </w:r>
      <w:r>
        <w:rPr/>
        <w:t>meningkatkan</w:t>
      </w:r>
      <w:r>
        <w:rPr>
          <w:spacing w:val="-10"/>
        </w:rPr>
        <w:t> </w:t>
      </w:r>
      <w:r>
        <w:rPr/>
        <w:t>harga</w:t>
      </w:r>
      <w:r>
        <w:rPr>
          <w:spacing w:val="-10"/>
        </w:rPr>
        <w:t> </w:t>
      </w:r>
      <w:r>
        <w:rPr/>
        <w:t>jual.</w:t>
      </w:r>
      <w:r>
        <w:rPr>
          <w:spacing w:val="-9"/>
        </w:rPr>
        <w:t> </w:t>
      </w:r>
      <w:r>
        <w:rPr/>
        <w:t>Hal</w:t>
      </w:r>
      <w:r>
        <w:rPr>
          <w:spacing w:val="-9"/>
        </w:rPr>
        <w:t> </w:t>
      </w:r>
      <w:r>
        <w:rPr/>
        <w:t>ini akan berdampak negatif terhadap penjualan perusahaan, yang akan menurunkan laba perusahaan dan pada akhirnya akan menurunkan laba yang diterima perusahaan.</w:t>
      </w:r>
    </w:p>
    <w:p>
      <w:pPr>
        <w:pStyle w:val="BodyText"/>
        <w:spacing w:line="360" w:lineRule="auto" w:before="1"/>
        <w:ind w:left="1823" w:right="161" w:firstLine="360"/>
        <w:jc w:val="both"/>
      </w:pPr>
      <w:r>
        <w:rPr/>
        <w:t>Menurut penelitian yang dilakukan oleh Rachmawati bahwasanya inflasi</w:t>
      </w:r>
      <w:r>
        <w:rPr>
          <w:spacing w:val="-8"/>
        </w:rPr>
        <w:t> </w:t>
      </w:r>
      <w:r>
        <w:rPr/>
        <w:t>berpengaruh</w:t>
      </w:r>
      <w:r>
        <w:rPr>
          <w:spacing w:val="-9"/>
        </w:rPr>
        <w:t> </w:t>
      </w:r>
      <w:r>
        <w:rPr/>
        <w:t>negatif</w:t>
      </w:r>
      <w:r>
        <w:rPr>
          <w:spacing w:val="-9"/>
        </w:rPr>
        <w:t> </w:t>
      </w:r>
      <w:r>
        <w:rPr/>
        <w:t>terhadap</w:t>
      </w:r>
      <w:r>
        <w:rPr>
          <w:spacing w:val="-9"/>
        </w:rPr>
        <w:t> </w:t>
      </w:r>
      <w:r>
        <w:rPr/>
        <w:t>saham.</w:t>
      </w:r>
      <w:hyperlink w:history="true" w:anchor="_bookmark109">
        <w:r>
          <w:rPr>
            <w:vertAlign w:val="superscript"/>
          </w:rPr>
          <w:t>72</w:t>
        </w:r>
      </w:hyperlink>
      <w:r>
        <w:rPr>
          <w:spacing w:val="-8"/>
          <w:vertAlign w:val="baseline"/>
        </w:rPr>
        <w:t> </w:t>
      </w:r>
      <w:r>
        <w:rPr>
          <w:vertAlign w:val="baseline"/>
        </w:rPr>
        <w:t>Bersamaan</w:t>
      </w:r>
      <w:r>
        <w:rPr>
          <w:spacing w:val="-9"/>
          <w:vertAlign w:val="baseline"/>
        </w:rPr>
        <w:t> </w:t>
      </w:r>
      <w:r>
        <w:rPr>
          <w:vertAlign w:val="baseline"/>
        </w:rPr>
        <w:t>dengan</w:t>
      </w:r>
      <w:r>
        <w:rPr>
          <w:spacing w:val="-9"/>
          <w:vertAlign w:val="baseline"/>
        </w:rPr>
        <w:t> </w:t>
      </w:r>
      <w:r>
        <w:rPr>
          <w:vertAlign w:val="baseline"/>
        </w:rPr>
        <w:t>penelitian yang dilakukan oleh Ahmad yang menyatakan bahwa inflasi berpengaruh negatif dan signifikan terhadap IHSG.</w:t>
      </w:r>
      <w:hyperlink w:history="true" w:anchor="_bookmark110">
        <w:r>
          <w:rPr>
            <w:vertAlign w:val="superscript"/>
          </w:rPr>
          <w:t>73</w:t>
        </w:r>
      </w:hyperlink>
    </w:p>
    <w:p>
      <w:pPr>
        <w:pStyle w:val="BodyText"/>
        <w:spacing w:before="1"/>
        <w:ind w:left="1823"/>
        <w:jc w:val="both"/>
      </w:pPr>
      <w:r>
        <w:rPr>
          <w:b/>
        </w:rPr>
        <w:t>H3:</w:t>
      </w:r>
      <w:r>
        <w:rPr>
          <w:b/>
          <w:spacing w:val="-6"/>
        </w:rPr>
        <w:t> </w:t>
      </w:r>
      <w:r>
        <w:rPr/>
        <w:t>Inflasi</w:t>
      </w:r>
      <w:r>
        <w:rPr>
          <w:spacing w:val="-1"/>
        </w:rPr>
        <w:t> </w:t>
      </w:r>
      <w:r>
        <w:rPr/>
        <w:t>berpengaruh</w:t>
      </w:r>
      <w:r>
        <w:rPr>
          <w:spacing w:val="-1"/>
        </w:rPr>
        <w:t> </w:t>
      </w:r>
      <w:r>
        <w:rPr/>
        <w:t>negatif</w:t>
      </w:r>
      <w:r>
        <w:rPr>
          <w:spacing w:val="-3"/>
        </w:rPr>
        <w:t> </w:t>
      </w:r>
      <w:r>
        <w:rPr/>
        <w:t>terhadap</w:t>
      </w:r>
      <w:r>
        <w:rPr>
          <w:spacing w:val="-1"/>
        </w:rPr>
        <w:t> </w:t>
      </w:r>
      <w:r>
        <w:rPr/>
        <w:t>Indeks</w:t>
      </w:r>
      <w:r>
        <w:rPr>
          <w:spacing w:val="-3"/>
        </w:rPr>
        <w:t> </w:t>
      </w:r>
      <w:r>
        <w:rPr/>
        <w:t>Saham</w:t>
      </w:r>
      <w:r>
        <w:rPr>
          <w:spacing w:val="-2"/>
        </w:rPr>
        <w:t> </w:t>
      </w:r>
      <w:r>
        <w:rPr/>
        <w:t>Syariah </w:t>
      </w:r>
      <w:r>
        <w:rPr>
          <w:spacing w:val="-2"/>
        </w:rPr>
        <w:t>Indonesia</w:t>
      </w:r>
    </w:p>
    <w:p>
      <w:pPr>
        <w:pStyle w:val="BodyText"/>
        <w:spacing w:before="21"/>
      </w:pPr>
    </w:p>
    <w:p>
      <w:pPr>
        <w:pStyle w:val="Heading2"/>
        <w:numPr>
          <w:ilvl w:val="2"/>
          <w:numId w:val="12"/>
        </w:numPr>
        <w:tabs>
          <w:tab w:pos="1823" w:val="left" w:leader="none"/>
        </w:tabs>
        <w:spacing w:line="360" w:lineRule="auto" w:before="0" w:after="0"/>
        <w:ind w:left="1823" w:right="165" w:hanging="720"/>
        <w:jc w:val="left"/>
      </w:pPr>
      <w:bookmarkStart w:name="_bookmark108" w:id="109"/>
      <w:bookmarkEnd w:id="109"/>
      <w:r>
        <w:rPr>
          <w:b w:val="0"/>
        </w:rPr>
      </w:r>
      <w:r>
        <w:rPr/>
        <w:t>Pengaruh Indeks Produksi Industri terhadap Indeks Saham Syariah Indonesia (ISSI)</w:t>
      </w:r>
    </w:p>
    <w:p>
      <w:pPr>
        <w:pStyle w:val="BodyText"/>
        <w:spacing w:line="360" w:lineRule="auto" w:before="161"/>
        <w:ind w:left="1823" w:right="160" w:firstLine="360"/>
        <w:jc w:val="both"/>
      </w:pPr>
      <w:r>
        <w:rPr/>
        <w:t>Indeks</w:t>
      </w:r>
      <w:r>
        <w:rPr>
          <w:spacing w:val="40"/>
        </w:rPr>
        <w:t> </w:t>
      </w:r>
      <w:r>
        <w:rPr/>
        <w:t>Produksi</w:t>
      </w:r>
      <w:r>
        <w:rPr>
          <w:spacing w:val="40"/>
        </w:rPr>
        <w:t> </w:t>
      </w:r>
      <w:r>
        <w:rPr/>
        <w:t>Industri (IPI)</w:t>
      </w:r>
      <w:r>
        <w:rPr>
          <w:spacing w:val="40"/>
        </w:rPr>
        <w:t> </w:t>
      </w:r>
      <w:r>
        <w:rPr/>
        <w:t>memiliki</w:t>
      </w:r>
      <w:r>
        <w:rPr>
          <w:spacing w:val="-1"/>
        </w:rPr>
        <w:t> </w:t>
      </w:r>
      <w:r>
        <w:rPr/>
        <w:t>peran</w:t>
      </w:r>
      <w:r>
        <w:rPr>
          <w:spacing w:val="40"/>
        </w:rPr>
        <w:t> </w:t>
      </w:r>
      <w:r>
        <w:rPr/>
        <w:t>penting</w:t>
      </w:r>
      <w:r>
        <w:rPr>
          <w:spacing w:val="-1"/>
        </w:rPr>
        <w:t> </w:t>
      </w:r>
      <w:r>
        <w:rPr/>
        <w:t>dalam memengaruhi Indeks Saham Syariah Indonesia</w:t>
      </w:r>
      <w:r>
        <w:rPr>
          <w:spacing w:val="-2"/>
        </w:rPr>
        <w:t> </w:t>
      </w:r>
      <w:r>
        <w:rPr/>
        <w:t>(ISSI). Secara teoritis, IPI mencerminkan tingkat aktivitas produksi sektor industri, yang merupakan salah satu pilar utama perekonomian. Peningkatan IPI menandakan pertumbuhan produksi barang dan jasa industri, yang biasanya diikuti oleh peningkatan pendapatan dan laba perusahaan industri. Karena ISSI merupakan indeks yang terdiri dari saham-saham yang memenuhi prinsip syariah dan banyak di antaranya berasal dari sektor industri, perubahan IPI dapat menjadi indikator awal perubahan kinerja keuangan perusahaan- perusahaan tersebut. Dengan demikian, kenaikan IPI diharapkan dapat meningkatkan sentimen positif investor terhadap saham syariah, sehingga mendorong kenaikan ISSI. Dari sisi investor, perubahan IPI dapat memengaruhi</w:t>
      </w:r>
      <w:r>
        <w:rPr>
          <w:spacing w:val="-14"/>
        </w:rPr>
        <w:t> </w:t>
      </w:r>
      <w:r>
        <w:rPr/>
        <w:t>persepsi</w:t>
      </w:r>
      <w:r>
        <w:rPr>
          <w:spacing w:val="-13"/>
        </w:rPr>
        <w:t> </w:t>
      </w:r>
      <w:r>
        <w:rPr/>
        <w:t>risiko</w:t>
      </w:r>
      <w:r>
        <w:rPr>
          <w:spacing w:val="-14"/>
        </w:rPr>
        <w:t> </w:t>
      </w:r>
      <w:r>
        <w:rPr/>
        <w:t>dan</w:t>
      </w:r>
      <w:r>
        <w:rPr>
          <w:spacing w:val="-14"/>
        </w:rPr>
        <w:t> </w:t>
      </w:r>
      <w:r>
        <w:rPr/>
        <w:t>potensi</w:t>
      </w:r>
      <w:r>
        <w:rPr>
          <w:spacing w:val="-14"/>
        </w:rPr>
        <w:t> </w:t>
      </w:r>
      <w:r>
        <w:rPr/>
        <w:t>keuntungan</w:t>
      </w:r>
      <w:r>
        <w:rPr>
          <w:spacing w:val="-14"/>
        </w:rPr>
        <w:t> </w:t>
      </w:r>
      <w:r>
        <w:rPr/>
        <w:t>saham</w:t>
      </w:r>
      <w:r>
        <w:rPr>
          <w:spacing w:val="-14"/>
        </w:rPr>
        <w:t> </w:t>
      </w:r>
      <w:r>
        <w:rPr/>
        <w:t>syariah.</w:t>
      </w:r>
      <w:r>
        <w:rPr>
          <w:spacing w:val="-12"/>
        </w:rPr>
        <w:t> </w:t>
      </w:r>
      <w:r>
        <w:rPr/>
        <w:t>Ketika IPI meningkat, investor mungkin melihat potensi pertumbuhan laba </w:t>
      </w:r>
      <w:r>
        <w:rPr>
          <w:spacing w:val="-2"/>
        </w:rPr>
        <w:t>perusahaan</w:t>
      </w:r>
      <w:r>
        <w:rPr>
          <w:spacing w:val="-4"/>
        </w:rPr>
        <w:t> </w:t>
      </w:r>
      <w:r>
        <w:rPr>
          <w:spacing w:val="-2"/>
        </w:rPr>
        <w:t>syariah</w:t>
      </w:r>
      <w:r>
        <w:rPr>
          <w:spacing w:val="-4"/>
        </w:rPr>
        <w:t> </w:t>
      </w:r>
      <w:r>
        <w:rPr>
          <w:spacing w:val="-2"/>
        </w:rPr>
        <w:t>yang</w:t>
      </w:r>
      <w:r>
        <w:rPr>
          <w:spacing w:val="3"/>
        </w:rPr>
        <w:t> </w:t>
      </w:r>
      <w:r>
        <w:rPr>
          <w:spacing w:val="-2"/>
        </w:rPr>
        <w:t>bergerak</w:t>
      </w:r>
      <w:r>
        <w:rPr>
          <w:spacing w:val="-3"/>
        </w:rPr>
        <w:t> </w:t>
      </w:r>
      <w:r>
        <w:rPr>
          <w:spacing w:val="-2"/>
        </w:rPr>
        <w:t>di</w:t>
      </w:r>
      <w:r>
        <w:rPr>
          <w:spacing w:val="-3"/>
        </w:rPr>
        <w:t> </w:t>
      </w:r>
      <w:r>
        <w:rPr>
          <w:spacing w:val="-2"/>
        </w:rPr>
        <w:t>sektor</w:t>
      </w:r>
      <w:r>
        <w:rPr>
          <w:spacing w:val="-1"/>
        </w:rPr>
        <w:t> </w:t>
      </w:r>
      <w:r>
        <w:rPr>
          <w:spacing w:val="-2"/>
        </w:rPr>
        <w:t>industri,</w:t>
      </w:r>
      <w:r>
        <w:rPr>
          <w:spacing w:val="-3"/>
        </w:rPr>
        <w:t> </w:t>
      </w:r>
      <w:r>
        <w:rPr>
          <w:spacing w:val="-2"/>
        </w:rPr>
        <w:t>sehingga</w:t>
      </w:r>
      <w:r>
        <w:rPr>
          <w:spacing w:val="-1"/>
        </w:rPr>
        <w:t> </w:t>
      </w:r>
      <w:r>
        <w:rPr>
          <w:spacing w:val="-2"/>
        </w:rPr>
        <w:t>meningkatkan</w:t>
      </w:r>
    </w:p>
    <w:p>
      <w:pPr>
        <w:pStyle w:val="BodyText"/>
        <w:rPr>
          <w:sz w:val="20"/>
        </w:rPr>
      </w:pPr>
    </w:p>
    <w:p>
      <w:pPr>
        <w:pStyle w:val="BodyText"/>
        <w:spacing w:before="69"/>
        <w:rPr>
          <w:sz w:val="20"/>
        </w:rPr>
      </w:pPr>
      <w:r>
        <w:rPr>
          <w:sz w:val="20"/>
        </w:rPr>
        <mc:AlternateContent>
          <mc:Choice Requires="wps">
            <w:drawing>
              <wp:anchor distT="0" distB="0" distL="0" distR="0" allowOverlap="1" layoutInCell="1" locked="0" behindDoc="1" simplePos="0" relativeHeight="487610368">
                <wp:simplePos x="0" y="0"/>
                <wp:positionH relativeFrom="page">
                  <wp:posOffset>914704</wp:posOffset>
                </wp:positionH>
                <wp:positionV relativeFrom="paragraph">
                  <wp:posOffset>205622</wp:posOffset>
                </wp:positionV>
                <wp:extent cx="1829435" cy="9525"/>
                <wp:effectExtent l="0" t="0" r="0" b="0"/>
                <wp:wrapTopAndBottom/>
                <wp:docPr id="290" name="Graphic 290"/>
                <wp:cNvGraphicFramePr>
                  <a:graphicFrameLocks/>
                </wp:cNvGraphicFramePr>
                <a:graphic>
                  <a:graphicData uri="http://schemas.microsoft.com/office/word/2010/wordprocessingShape">
                    <wps:wsp>
                      <wps:cNvPr id="290" name="Graphic 29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6.190752pt;width:144.020pt;height:.72003pt;mso-position-horizontal-relative:page;mso-position-vertical-relative:paragraph;z-index:-15706112;mso-wrap-distance-left:0;mso-wrap-distance-right:0" id="docshape262" filled="true" fillcolor="#000000" stroked="false">
                <v:fill type="solid"/>
                <w10:wrap type="topAndBottom"/>
              </v:rect>
            </w:pict>
          </mc:Fallback>
        </mc:AlternateContent>
      </w:r>
    </w:p>
    <w:p>
      <w:pPr>
        <w:spacing w:before="101"/>
        <w:ind w:left="23" w:right="157" w:firstLine="719"/>
        <w:jc w:val="both"/>
        <w:rPr>
          <w:sz w:val="20"/>
        </w:rPr>
      </w:pPr>
      <w:bookmarkStart w:name="_bookmark109" w:id="110"/>
      <w:bookmarkEnd w:id="110"/>
      <w:r>
        <w:rPr/>
      </w:r>
      <w:r>
        <w:rPr>
          <w:sz w:val="20"/>
          <w:vertAlign w:val="superscript"/>
        </w:rPr>
        <w:t>72</w:t>
      </w:r>
      <w:r>
        <w:rPr>
          <w:sz w:val="20"/>
          <w:vertAlign w:val="baseline"/>
        </w:rPr>
        <w:t> Yuni Rachmawati, ‘Pengaruh Inflasi Dan Suku Bunga Terhadap Harga Saham Pada Perusahaan Perbankan Yang Terdaftar Di LQ45 Bursa Efek Indonesia’, </w:t>
      </w:r>
      <w:r>
        <w:rPr>
          <w:i/>
          <w:sz w:val="20"/>
          <w:vertAlign w:val="baseline"/>
        </w:rPr>
        <w:t>Jurnal Media Akuntansi (Mediasi)</w:t>
      </w:r>
      <w:r>
        <w:rPr>
          <w:sz w:val="20"/>
          <w:vertAlign w:val="baseline"/>
        </w:rPr>
        <w:t>, 1.1 (2018), 66– 79 &lt;https://doi.org/10.31851/jmediasi.v1i1.2368&gt;.</w:t>
      </w:r>
    </w:p>
    <w:p>
      <w:pPr>
        <w:spacing w:line="229" w:lineRule="exact" w:before="0"/>
        <w:ind w:left="0" w:right="169" w:firstLine="0"/>
        <w:jc w:val="right"/>
        <w:rPr>
          <w:sz w:val="20"/>
        </w:rPr>
      </w:pPr>
      <w:bookmarkStart w:name="_bookmark110" w:id="111"/>
      <w:bookmarkEnd w:id="111"/>
      <w:r>
        <w:rPr/>
      </w:r>
      <w:r>
        <w:rPr>
          <w:sz w:val="20"/>
          <w:vertAlign w:val="superscript"/>
        </w:rPr>
        <w:t>73</w:t>
      </w:r>
      <w:r>
        <w:rPr>
          <w:spacing w:val="-5"/>
          <w:sz w:val="20"/>
          <w:vertAlign w:val="baseline"/>
        </w:rPr>
        <w:t> </w:t>
      </w:r>
      <w:r>
        <w:rPr>
          <w:sz w:val="20"/>
          <w:vertAlign w:val="baseline"/>
        </w:rPr>
        <w:t>Shabran</w:t>
      </w:r>
      <w:r>
        <w:rPr>
          <w:spacing w:val="-4"/>
          <w:sz w:val="20"/>
          <w:vertAlign w:val="baseline"/>
        </w:rPr>
        <w:t> </w:t>
      </w:r>
      <w:r>
        <w:rPr>
          <w:sz w:val="20"/>
          <w:vertAlign w:val="baseline"/>
        </w:rPr>
        <w:t>Jamil</w:t>
      </w:r>
      <w:r>
        <w:rPr>
          <w:spacing w:val="-6"/>
          <w:sz w:val="20"/>
          <w:vertAlign w:val="baseline"/>
        </w:rPr>
        <w:t> </w:t>
      </w:r>
      <w:r>
        <w:rPr>
          <w:sz w:val="20"/>
          <w:vertAlign w:val="baseline"/>
        </w:rPr>
        <w:t>Ahmad</w:t>
      </w:r>
      <w:r>
        <w:rPr>
          <w:spacing w:val="-3"/>
          <w:sz w:val="20"/>
          <w:vertAlign w:val="baseline"/>
        </w:rPr>
        <w:t> </w:t>
      </w:r>
      <w:r>
        <w:rPr>
          <w:sz w:val="20"/>
          <w:vertAlign w:val="baseline"/>
        </w:rPr>
        <w:t>and</w:t>
      </w:r>
      <w:r>
        <w:rPr>
          <w:spacing w:val="-4"/>
          <w:sz w:val="20"/>
          <w:vertAlign w:val="baseline"/>
        </w:rPr>
        <w:t> </w:t>
      </w:r>
      <w:r>
        <w:rPr>
          <w:sz w:val="20"/>
          <w:vertAlign w:val="baseline"/>
        </w:rPr>
        <w:t>Juarsa</w:t>
      </w:r>
      <w:r>
        <w:rPr>
          <w:spacing w:val="-5"/>
          <w:sz w:val="20"/>
          <w:vertAlign w:val="baseline"/>
        </w:rPr>
        <w:t> </w:t>
      </w:r>
      <w:r>
        <w:rPr>
          <w:sz w:val="20"/>
          <w:vertAlign w:val="baseline"/>
        </w:rPr>
        <w:t>Badri,</w:t>
      </w:r>
      <w:r>
        <w:rPr>
          <w:spacing w:val="-4"/>
          <w:sz w:val="20"/>
          <w:vertAlign w:val="baseline"/>
        </w:rPr>
        <w:t> </w:t>
      </w:r>
      <w:r>
        <w:rPr>
          <w:sz w:val="20"/>
          <w:vertAlign w:val="baseline"/>
        </w:rPr>
        <w:t>‘Pengaruh</w:t>
      </w:r>
      <w:r>
        <w:rPr>
          <w:spacing w:val="-6"/>
          <w:sz w:val="20"/>
          <w:vertAlign w:val="baseline"/>
        </w:rPr>
        <w:t> </w:t>
      </w:r>
      <w:r>
        <w:rPr>
          <w:sz w:val="20"/>
          <w:vertAlign w:val="baseline"/>
        </w:rPr>
        <w:t>Inflasi</w:t>
      </w:r>
      <w:r>
        <w:rPr>
          <w:spacing w:val="-6"/>
          <w:sz w:val="20"/>
          <w:vertAlign w:val="baseline"/>
        </w:rPr>
        <w:t> </w:t>
      </w:r>
      <w:r>
        <w:rPr>
          <w:sz w:val="20"/>
          <w:vertAlign w:val="baseline"/>
        </w:rPr>
        <w:t>Dan</w:t>
      </w:r>
      <w:r>
        <w:rPr>
          <w:spacing w:val="-3"/>
          <w:sz w:val="20"/>
          <w:vertAlign w:val="baseline"/>
        </w:rPr>
        <w:t> </w:t>
      </w:r>
      <w:r>
        <w:rPr>
          <w:sz w:val="20"/>
          <w:vertAlign w:val="baseline"/>
        </w:rPr>
        <w:t>Tingkat</w:t>
      </w:r>
      <w:r>
        <w:rPr>
          <w:spacing w:val="-5"/>
          <w:sz w:val="20"/>
          <w:vertAlign w:val="baseline"/>
        </w:rPr>
        <w:t> </w:t>
      </w:r>
      <w:r>
        <w:rPr>
          <w:sz w:val="20"/>
          <w:vertAlign w:val="baseline"/>
        </w:rPr>
        <w:t>Suku</w:t>
      </w:r>
      <w:r>
        <w:rPr>
          <w:spacing w:val="-4"/>
          <w:sz w:val="20"/>
          <w:vertAlign w:val="baseline"/>
        </w:rPr>
        <w:t> </w:t>
      </w:r>
      <w:r>
        <w:rPr>
          <w:sz w:val="20"/>
          <w:vertAlign w:val="baseline"/>
        </w:rPr>
        <w:t>Bunga</w:t>
      </w:r>
      <w:r>
        <w:rPr>
          <w:spacing w:val="-4"/>
          <w:sz w:val="20"/>
          <w:vertAlign w:val="baseline"/>
        </w:rPr>
        <w:t> </w:t>
      </w:r>
      <w:r>
        <w:rPr>
          <w:sz w:val="20"/>
          <w:vertAlign w:val="baseline"/>
        </w:rPr>
        <w:t>Terhadap</w:t>
      </w:r>
      <w:r>
        <w:rPr>
          <w:spacing w:val="-4"/>
          <w:sz w:val="20"/>
          <w:vertAlign w:val="baseline"/>
        </w:rPr>
        <w:t> </w:t>
      </w:r>
      <w:r>
        <w:rPr>
          <w:spacing w:val="-2"/>
          <w:sz w:val="20"/>
          <w:vertAlign w:val="baseline"/>
        </w:rPr>
        <w:t>Indeks</w:t>
      </w:r>
    </w:p>
    <w:p>
      <w:pPr>
        <w:spacing w:before="0"/>
        <w:ind w:left="0" w:right="159" w:firstLine="0"/>
        <w:jc w:val="right"/>
        <w:rPr>
          <w:sz w:val="20"/>
        </w:rPr>
      </w:pPr>
      <w:r>
        <w:rPr>
          <w:sz w:val="20"/>
        </w:rPr>
        <w:t>Harga</w:t>
      </w:r>
      <w:r>
        <w:rPr>
          <w:spacing w:val="7"/>
          <w:sz w:val="20"/>
        </w:rPr>
        <w:t> </w:t>
      </w:r>
      <w:r>
        <w:rPr>
          <w:sz w:val="20"/>
        </w:rPr>
        <w:t>Saham</w:t>
      </w:r>
      <w:r>
        <w:rPr>
          <w:spacing w:val="8"/>
          <w:sz w:val="20"/>
        </w:rPr>
        <w:t> </w:t>
      </w:r>
      <w:r>
        <w:rPr>
          <w:sz w:val="20"/>
        </w:rPr>
        <w:t>Gabungan</w:t>
      </w:r>
      <w:r>
        <w:rPr>
          <w:spacing w:val="6"/>
          <w:sz w:val="20"/>
        </w:rPr>
        <w:t> </w:t>
      </w:r>
      <w:r>
        <w:rPr>
          <w:sz w:val="20"/>
        </w:rPr>
        <w:t>Yang</w:t>
      </w:r>
      <w:r>
        <w:rPr>
          <w:spacing w:val="8"/>
          <w:sz w:val="20"/>
        </w:rPr>
        <w:t> </w:t>
      </w:r>
      <w:r>
        <w:rPr>
          <w:sz w:val="20"/>
        </w:rPr>
        <w:t>Terdaftar</w:t>
      </w:r>
      <w:r>
        <w:rPr>
          <w:spacing w:val="7"/>
          <w:sz w:val="20"/>
        </w:rPr>
        <w:t> </w:t>
      </w:r>
      <w:r>
        <w:rPr>
          <w:sz w:val="20"/>
        </w:rPr>
        <w:t>Di</w:t>
      </w:r>
      <w:r>
        <w:rPr>
          <w:spacing w:val="7"/>
          <w:sz w:val="20"/>
        </w:rPr>
        <w:t> </w:t>
      </w:r>
      <w:r>
        <w:rPr>
          <w:sz w:val="20"/>
        </w:rPr>
        <w:t>Bursa</w:t>
      </w:r>
      <w:r>
        <w:rPr>
          <w:spacing w:val="7"/>
          <w:sz w:val="20"/>
        </w:rPr>
        <w:t> </w:t>
      </w:r>
      <w:r>
        <w:rPr>
          <w:sz w:val="20"/>
        </w:rPr>
        <w:t>Efek</w:t>
      </w:r>
      <w:r>
        <w:rPr>
          <w:spacing w:val="8"/>
          <w:sz w:val="20"/>
        </w:rPr>
        <w:t> </w:t>
      </w:r>
      <w:r>
        <w:rPr>
          <w:sz w:val="20"/>
        </w:rPr>
        <w:t>Indonesia</w:t>
      </w:r>
      <w:r>
        <w:rPr>
          <w:spacing w:val="7"/>
          <w:sz w:val="20"/>
        </w:rPr>
        <w:t> </w:t>
      </w:r>
      <w:r>
        <w:rPr>
          <w:sz w:val="20"/>
        </w:rPr>
        <w:t>Pada</w:t>
      </w:r>
      <w:r>
        <w:rPr>
          <w:spacing w:val="7"/>
          <w:sz w:val="20"/>
        </w:rPr>
        <w:t> </w:t>
      </w:r>
      <w:r>
        <w:rPr>
          <w:sz w:val="20"/>
        </w:rPr>
        <w:t>Tahun</w:t>
      </w:r>
      <w:r>
        <w:rPr>
          <w:spacing w:val="8"/>
          <w:sz w:val="20"/>
        </w:rPr>
        <w:t> </w:t>
      </w:r>
      <w:r>
        <w:rPr>
          <w:sz w:val="20"/>
        </w:rPr>
        <w:t>2013-2021’,</w:t>
      </w:r>
      <w:r>
        <w:rPr>
          <w:spacing w:val="9"/>
          <w:sz w:val="20"/>
        </w:rPr>
        <w:t> </w:t>
      </w:r>
      <w:r>
        <w:rPr>
          <w:i/>
          <w:sz w:val="20"/>
        </w:rPr>
        <w:t>Jurnal</w:t>
      </w:r>
      <w:r>
        <w:rPr>
          <w:i/>
          <w:spacing w:val="6"/>
          <w:sz w:val="20"/>
        </w:rPr>
        <w:t> </w:t>
      </w:r>
      <w:r>
        <w:rPr>
          <w:i/>
          <w:spacing w:val="-2"/>
          <w:sz w:val="20"/>
        </w:rPr>
        <w:t>Economina</w:t>
      </w:r>
      <w:r>
        <w:rPr>
          <w:spacing w:val="-2"/>
          <w:sz w:val="20"/>
        </w:rPr>
        <w:t>,</w:t>
      </w:r>
    </w:p>
    <w:p>
      <w:pPr>
        <w:spacing w:before="1"/>
        <w:ind w:left="23" w:right="0" w:firstLine="0"/>
        <w:jc w:val="left"/>
        <w:rPr>
          <w:sz w:val="20"/>
        </w:rPr>
      </w:pPr>
      <w:r>
        <w:rPr>
          <w:sz w:val="20"/>
        </w:rPr>
        <w:t>1.3</w:t>
      </w:r>
      <w:r>
        <w:rPr>
          <w:spacing w:val="-4"/>
          <w:sz w:val="20"/>
        </w:rPr>
        <w:t> </w:t>
      </w:r>
      <w:r>
        <w:rPr>
          <w:sz w:val="20"/>
        </w:rPr>
        <w:t>(2022),</w:t>
      </w:r>
      <w:r>
        <w:rPr>
          <w:spacing w:val="-4"/>
          <w:sz w:val="20"/>
        </w:rPr>
        <w:t> </w:t>
      </w:r>
      <w:r>
        <w:rPr>
          <w:sz w:val="20"/>
        </w:rPr>
        <w:t>679–89</w:t>
      </w:r>
      <w:r>
        <w:rPr>
          <w:spacing w:val="-4"/>
          <w:sz w:val="20"/>
        </w:rPr>
        <w:t> </w:t>
      </w:r>
      <w:r>
        <w:rPr>
          <w:spacing w:val="-2"/>
          <w:sz w:val="20"/>
        </w:rPr>
        <w:t>&lt;https://doi.org/10.55681/economina.v1i3.160&gt;.</w:t>
      </w:r>
    </w:p>
    <w:p>
      <w:pPr>
        <w:spacing w:after="0"/>
        <w:jc w:val="left"/>
        <w:rPr>
          <w:sz w:val="20"/>
        </w:rPr>
        <w:sectPr>
          <w:pgSz w:w="11910" w:h="16840"/>
          <w:pgMar w:header="0" w:footer="1000" w:top="1360" w:bottom="1200" w:left="1417" w:right="1275"/>
        </w:sectPr>
      </w:pPr>
    </w:p>
    <w:p>
      <w:pPr>
        <w:pStyle w:val="BodyText"/>
        <w:spacing w:line="360" w:lineRule="auto" w:before="60"/>
        <w:ind w:left="1823" w:right="163"/>
        <w:jc w:val="both"/>
      </w:pPr>
      <w:r>
        <w:rPr/>
        <w:t>permintaan saham dan mendorong ISSI naik. Sebaliknya, penurunan IPI dapat menimbulkan kekhawatiran terhadap perlambatan ekonomi dan menekan</w:t>
      </w:r>
      <w:r>
        <w:rPr>
          <w:spacing w:val="-15"/>
        </w:rPr>
        <w:t> </w:t>
      </w:r>
      <w:r>
        <w:rPr/>
        <w:t>harga</w:t>
      </w:r>
      <w:r>
        <w:rPr>
          <w:spacing w:val="-15"/>
        </w:rPr>
        <w:t> </w:t>
      </w:r>
      <w:r>
        <w:rPr/>
        <w:t>saham</w:t>
      </w:r>
      <w:r>
        <w:rPr>
          <w:spacing w:val="-15"/>
        </w:rPr>
        <w:t> </w:t>
      </w:r>
      <w:r>
        <w:rPr/>
        <w:t>syariah.</w:t>
      </w:r>
      <w:r>
        <w:rPr>
          <w:spacing w:val="-15"/>
        </w:rPr>
        <w:t> </w:t>
      </w:r>
      <w:r>
        <w:rPr/>
        <w:t>Namun,</w:t>
      </w:r>
      <w:r>
        <w:rPr>
          <w:spacing w:val="-15"/>
        </w:rPr>
        <w:t> </w:t>
      </w:r>
      <w:r>
        <w:rPr/>
        <w:t>volatilitas</w:t>
      </w:r>
      <w:r>
        <w:rPr>
          <w:spacing w:val="-15"/>
        </w:rPr>
        <w:t> </w:t>
      </w:r>
      <w:r>
        <w:rPr/>
        <w:t>pasar</w:t>
      </w:r>
      <w:r>
        <w:rPr>
          <w:spacing w:val="-15"/>
        </w:rPr>
        <w:t> </w:t>
      </w:r>
      <w:r>
        <w:rPr/>
        <w:t>dan</w:t>
      </w:r>
      <w:r>
        <w:rPr>
          <w:spacing w:val="-15"/>
        </w:rPr>
        <w:t> </w:t>
      </w:r>
      <w:r>
        <w:rPr/>
        <w:t>sentimen</w:t>
      </w:r>
      <w:r>
        <w:rPr>
          <w:spacing w:val="-15"/>
        </w:rPr>
        <w:t> </w:t>
      </w:r>
      <w:r>
        <w:rPr/>
        <w:t>global juga dapat menyebabkan reaksi pasar yang berbeda dari ekspektasi berdasarkan IPI semata.</w:t>
      </w:r>
    </w:p>
    <w:p>
      <w:pPr>
        <w:pStyle w:val="BodyText"/>
        <w:spacing w:line="360" w:lineRule="auto"/>
        <w:ind w:left="1823" w:right="161" w:firstLine="360"/>
        <w:jc w:val="both"/>
      </w:pPr>
      <w:r>
        <w:rPr/>
        <w:t>Hal tersebut sejalan dengan penelitian yang dilakukan Winarti bahwasanya Indeks Produksi Industri berpengaruh positif dan signifikan terhadap</w:t>
      </w:r>
      <w:r>
        <w:rPr>
          <w:spacing w:val="-14"/>
        </w:rPr>
        <w:t> </w:t>
      </w:r>
      <w:r>
        <w:rPr/>
        <w:t>JII.</w:t>
      </w:r>
      <w:hyperlink w:history="true" w:anchor="_bookmark111">
        <w:r>
          <w:rPr>
            <w:vertAlign w:val="superscript"/>
          </w:rPr>
          <w:t>74</w:t>
        </w:r>
      </w:hyperlink>
      <w:r>
        <w:rPr>
          <w:spacing w:val="34"/>
          <w:vertAlign w:val="baseline"/>
        </w:rPr>
        <w:t> </w:t>
      </w:r>
      <w:r>
        <w:rPr>
          <w:vertAlign w:val="baseline"/>
        </w:rPr>
        <w:t>Ghassani</w:t>
      </w:r>
      <w:r>
        <w:rPr>
          <w:spacing w:val="-14"/>
          <w:vertAlign w:val="baseline"/>
        </w:rPr>
        <w:t> </w:t>
      </w:r>
      <w:r>
        <w:rPr>
          <w:vertAlign w:val="baseline"/>
        </w:rPr>
        <w:t>dalam</w:t>
      </w:r>
      <w:r>
        <w:rPr>
          <w:spacing w:val="-14"/>
          <w:vertAlign w:val="baseline"/>
        </w:rPr>
        <w:t> </w:t>
      </w:r>
      <w:r>
        <w:rPr>
          <w:vertAlign w:val="baseline"/>
        </w:rPr>
        <w:t>penelitiannya</w:t>
      </w:r>
      <w:r>
        <w:rPr>
          <w:spacing w:val="-15"/>
          <w:vertAlign w:val="baseline"/>
        </w:rPr>
        <w:t> </w:t>
      </w:r>
      <w:r>
        <w:rPr>
          <w:vertAlign w:val="baseline"/>
        </w:rPr>
        <w:t>pun</w:t>
      </w:r>
      <w:r>
        <w:rPr>
          <w:spacing w:val="-14"/>
          <w:vertAlign w:val="baseline"/>
        </w:rPr>
        <w:t> </w:t>
      </w:r>
      <w:r>
        <w:rPr>
          <w:vertAlign w:val="baseline"/>
        </w:rPr>
        <w:t>berpendapat</w:t>
      </w:r>
      <w:r>
        <w:rPr>
          <w:spacing w:val="-14"/>
          <w:vertAlign w:val="baseline"/>
        </w:rPr>
        <w:t> </w:t>
      </w:r>
      <w:r>
        <w:rPr>
          <w:vertAlign w:val="baseline"/>
        </w:rPr>
        <w:t>sama</w:t>
      </w:r>
      <w:r>
        <w:rPr>
          <w:spacing w:val="-15"/>
          <w:vertAlign w:val="baseline"/>
        </w:rPr>
        <w:t> </w:t>
      </w:r>
      <w:r>
        <w:rPr>
          <w:vertAlign w:val="baseline"/>
        </w:rPr>
        <w:t>dengan dengan hasil IPI berpengaruh positif dan signifikan terhadap JII.</w:t>
      </w:r>
      <w:hyperlink w:history="true" w:anchor="_bookmark112">
        <w:r>
          <w:rPr>
            <w:vertAlign w:val="superscript"/>
          </w:rPr>
          <w:t>75</w:t>
        </w:r>
      </w:hyperlink>
    </w:p>
    <w:p>
      <w:pPr>
        <w:pStyle w:val="BodyText"/>
        <w:spacing w:line="360" w:lineRule="auto" w:before="1"/>
        <w:ind w:left="1823" w:right="162"/>
        <w:jc w:val="both"/>
      </w:pPr>
      <w:r>
        <w:rPr>
          <w:b/>
        </w:rPr>
        <w:t>H4: </w:t>
      </w:r>
      <w:r>
        <w:rPr/>
        <w:t>Indeks Produksi Industri berpengaruh positif terhadap Indeks Saham Syariah Indonesia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9"/>
        <w:rPr>
          <w:sz w:val="20"/>
        </w:rPr>
      </w:pPr>
      <w:r>
        <w:rPr>
          <w:sz w:val="20"/>
        </w:rPr>
        <mc:AlternateContent>
          <mc:Choice Requires="wps">
            <w:drawing>
              <wp:anchor distT="0" distB="0" distL="0" distR="0" allowOverlap="1" layoutInCell="1" locked="0" behindDoc="1" simplePos="0" relativeHeight="487610880">
                <wp:simplePos x="0" y="0"/>
                <wp:positionH relativeFrom="page">
                  <wp:posOffset>914704</wp:posOffset>
                </wp:positionH>
                <wp:positionV relativeFrom="paragraph">
                  <wp:posOffset>205263</wp:posOffset>
                </wp:positionV>
                <wp:extent cx="1829435" cy="9525"/>
                <wp:effectExtent l="0" t="0" r="0" b="0"/>
                <wp:wrapTopAndBottom/>
                <wp:docPr id="291" name="Graphic 291"/>
                <wp:cNvGraphicFramePr>
                  <a:graphicFrameLocks/>
                </wp:cNvGraphicFramePr>
                <a:graphic>
                  <a:graphicData uri="http://schemas.microsoft.com/office/word/2010/wordprocessingShape">
                    <wps:wsp>
                      <wps:cNvPr id="291" name="Graphic 29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6.16251pt;width:144.020pt;height:.72003pt;mso-position-horizontal-relative:page;mso-position-vertical-relative:paragraph;z-index:-15705600;mso-wrap-distance-left:0;mso-wrap-distance-right:0" id="docshape263" filled="true" fillcolor="#000000" stroked="false">
                <v:fill type="solid"/>
                <w10:wrap type="topAndBottom"/>
              </v:rect>
            </w:pict>
          </mc:Fallback>
        </mc:AlternateContent>
      </w:r>
    </w:p>
    <w:p>
      <w:pPr>
        <w:spacing w:line="229" w:lineRule="exact" w:before="101"/>
        <w:ind w:left="743" w:right="0" w:firstLine="0"/>
        <w:jc w:val="left"/>
        <w:rPr>
          <w:sz w:val="20"/>
        </w:rPr>
      </w:pPr>
      <w:bookmarkStart w:name="_bookmark111" w:id="112"/>
      <w:bookmarkEnd w:id="112"/>
      <w:r>
        <w:rPr/>
      </w:r>
      <w:r>
        <w:rPr>
          <w:sz w:val="20"/>
          <w:vertAlign w:val="superscript"/>
        </w:rPr>
        <w:t>74</w:t>
      </w:r>
      <w:r>
        <w:rPr>
          <w:spacing w:val="20"/>
          <w:sz w:val="20"/>
          <w:vertAlign w:val="baseline"/>
        </w:rPr>
        <w:t> </w:t>
      </w:r>
      <w:r>
        <w:rPr>
          <w:sz w:val="20"/>
          <w:vertAlign w:val="baseline"/>
        </w:rPr>
        <w:t>Nabila</w:t>
      </w:r>
      <w:r>
        <w:rPr>
          <w:spacing w:val="20"/>
          <w:sz w:val="20"/>
          <w:vertAlign w:val="baseline"/>
        </w:rPr>
        <w:t> </w:t>
      </w:r>
      <w:r>
        <w:rPr>
          <w:sz w:val="20"/>
          <w:vertAlign w:val="baseline"/>
        </w:rPr>
        <w:t>Pundhi</w:t>
      </w:r>
      <w:r>
        <w:rPr>
          <w:spacing w:val="20"/>
          <w:sz w:val="20"/>
          <w:vertAlign w:val="baseline"/>
        </w:rPr>
        <w:t> </w:t>
      </w:r>
      <w:r>
        <w:rPr>
          <w:sz w:val="20"/>
          <w:vertAlign w:val="baseline"/>
        </w:rPr>
        <w:t>Winarti,</w:t>
      </w:r>
      <w:r>
        <w:rPr>
          <w:spacing w:val="20"/>
          <w:sz w:val="20"/>
          <w:vertAlign w:val="baseline"/>
        </w:rPr>
        <w:t> </w:t>
      </w:r>
      <w:r>
        <w:rPr>
          <w:sz w:val="20"/>
          <w:vertAlign w:val="baseline"/>
        </w:rPr>
        <w:t>‘Pengaruh</w:t>
      </w:r>
      <w:r>
        <w:rPr>
          <w:spacing w:val="21"/>
          <w:sz w:val="20"/>
          <w:vertAlign w:val="baseline"/>
        </w:rPr>
        <w:t> </w:t>
      </w:r>
      <w:r>
        <w:rPr>
          <w:sz w:val="20"/>
          <w:vertAlign w:val="baseline"/>
        </w:rPr>
        <w:t>Makroekonomi</w:t>
      </w:r>
      <w:r>
        <w:rPr>
          <w:spacing w:val="20"/>
          <w:sz w:val="20"/>
          <w:vertAlign w:val="baseline"/>
        </w:rPr>
        <w:t> </w:t>
      </w:r>
      <w:r>
        <w:rPr>
          <w:sz w:val="20"/>
          <w:vertAlign w:val="baseline"/>
        </w:rPr>
        <w:t>Dan</w:t>
      </w:r>
      <w:r>
        <w:rPr>
          <w:spacing w:val="22"/>
          <w:sz w:val="20"/>
          <w:vertAlign w:val="baseline"/>
        </w:rPr>
        <w:t> </w:t>
      </w:r>
      <w:r>
        <w:rPr>
          <w:sz w:val="20"/>
          <w:vertAlign w:val="baseline"/>
        </w:rPr>
        <w:t>Fundamental</w:t>
      </w:r>
      <w:r>
        <w:rPr>
          <w:spacing w:val="20"/>
          <w:sz w:val="20"/>
          <w:vertAlign w:val="baseline"/>
        </w:rPr>
        <w:t> </w:t>
      </w:r>
      <w:r>
        <w:rPr>
          <w:sz w:val="20"/>
          <w:vertAlign w:val="baseline"/>
        </w:rPr>
        <w:t>Perusahaan</w:t>
      </w:r>
      <w:r>
        <w:rPr>
          <w:spacing w:val="21"/>
          <w:sz w:val="20"/>
          <w:vertAlign w:val="baseline"/>
        </w:rPr>
        <w:t> </w:t>
      </w:r>
      <w:r>
        <w:rPr>
          <w:sz w:val="20"/>
          <w:vertAlign w:val="baseline"/>
        </w:rPr>
        <w:t>Terhadap</w:t>
      </w:r>
      <w:r>
        <w:rPr>
          <w:spacing w:val="22"/>
          <w:sz w:val="20"/>
          <w:vertAlign w:val="baseline"/>
        </w:rPr>
        <w:t> </w:t>
      </w:r>
      <w:r>
        <w:rPr>
          <w:spacing w:val="-2"/>
          <w:sz w:val="20"/>
          <w:vertAlign w:val="baseline"/>
        </w:rPr>
        <w:t>Return</w:t>
      </w:r>
    </w:p>
    <w:p>
      <w:pPr>
        <w:spacing w:line="229" w:lineRule="exact" w:before="0"/>
        <w:ind w:left="23" w:right="0" w:firstLine="0"/>
        <w:jc w:val="left"/>
        <w:rPr>
          <w:sz w:val="20"/>
        </w:rPr>
      </w:pPr>
      <w:r>
        <w:rPr>
          <w:sz w:val="20"/>
        </w:rPr>
        <w:t>Saham</w:t>
      </w:r>
      <w:r>
        <w:rPr>
          <w:spacing w:val="-5"/>
          <w:sz w:val="20"/>
        </w:rPr>
        <w:t> </w:t>
      </w:r>
      <w:r>
        <w:rPr>
          <w:sz w:val="20"/>
        </w:rPr>
        <w:t>(Studi</w:t>
      </w:r>
      <w:r>
        <w:rPr>
          <w:spacing w:val="-6"/>
          <w:sz w:val="20"/>
        </w:rPr>
        <w:t> </w:t>
      </w:r>
      <w:r>
        <w:rPr>
          <w:sz w:val="20"/>
        </w:rPr>
        <w:t>Pada</w:t>
      </w:r>
      <w:r>
        <w:rPr>
          <w:spacing w:val="-5"/>
          <w:sz w:val="20"/>
        </w:rPr>
        <w:t> </w:t>
      </w:r>
      <w:r>
        <w:rPr>
          <w:sz w:val="20"/>
        </w:rPr>
        <w:t>Perusahaan</w:t>
      </w:r>
      <w:r>
        <w:rPr>
          <w:spacing w:val="-4"/>
          <w:sz w:val="20"/>
        </w:rPr>
        <w:t> </w:t>
      </w:r>
      <w:r>
        <w:rPr>
          <w:sz w:val="20"/>
        </w:rPr>
        <w:t>LQ45</w:t>
      </w:r>
      <w:r>
        <w:rPr>
          <w:spacing w:val="-5"/>
          <w:sz w:val="20"/>
        </w:rPr>
        <w:t> </w:t>
      </w:r>
      <w:r>
        <w:rPr>
          <w:sz w:val="20"/>
        </w:rPr>
        <w:t>Periode</w:t>
      </w:r>
      <w:r>
        <w:rPr>
          <w:spacing w:val="-5"/>
          <w:sz w:val="20"/>
        </w:rPr>
        <w:t> </w:t>
      </w:r>
      <w:r>
        <w:rPr>
          <w:sz w:val="20"/>
        </w:rPr>
        <w:t>2008-2011)’,</w:t>
      </w:r>
      <w:r>
        <w:rPr>
          <w:spacing w:val="-8"/>
          <w:sz w:val="20"/>
        </w:rPr>
        <w:t> </w:t>
      </w:r>
      <w:r>
        <w:rPr>
          <w:i/>
          <w:sz w:val="20"/>
        </w:rPr>
        <w:t>UIN</w:t>
      </w:r>
      <w:r>
        <w:rPr>
          <w:i/>
          <w:spacing w:val="-6"/>
          <w:sz w:val="20"/>
        </w:rPr>
        <w:t> </w:t>
      </w:r>
      <w:r>
        <w:rPr>
          <w:i/>
          <w:sz w:val="20"/>
        </w:rPr>
        <w:t>Maliki</w:t>
      </w:r>
      <w:r>
        <w:rPr>
          <w:sz w:val="20"/>
        </w:rPr>
        <w:t>,</w:t>
      </w:r>
      <w:r>
        <w:rPr>
          <w:spacing w:val="-5"/>
          <w:sz w:val="20"/>
        </w:rPr>
        <w:t> </w:t>
      </w:r>
      <w:r>
        <w:rPr>
          <w:spacing w:val="-2"/>
          <w:sz w:val="20"/>
        </w:rPr>
        <w:t>2013.</w:t>
      </w:r>
    </w:p>
    <w:p>
      <w:pPr>
        <w:spacing w:before="0"/>
        <w:ind w:left="23" w:right="159" w:firstLine="719"/>
        <w:jc w:val="left"/>
        <w:rPr>
          <w:sz w:val="20"/>
        </w:rPr>
      </w:pPr>
      <w:bookmarkStart w:name="_bookmark112" w:id="113"/>
      <w:bookmarkEnd w:id="113"/>
      <w:r>
        <w:rPr/>
      </w:r>
      <w:r>
        <w:rPr>
          <w:sz w:val="20"/>
          <w:vertAlign w:val="superscript"/>
        </w:rPr>
        <w:t>75</w:t>
      </w:r>
      <w:r>
        <w:rPr>
          <w:sz w:val="20"/>
          <w:vertAlign w:val="baseline"/>
        </w:rPr>
        <w:t> Rubina Dwi Ghassani and Raditya Sukmana, ‘Pengaruh Variabel Makroekonomi Terhadap Jakarta Islamic Index</w:t>
      </w:r>
      <w:r>
        <w:rPr>
          <w:spacing w:val="1"/>
          <w:sz w:val="20"/>
          <w:vertAlign w:val="baseline"/>
        </w:rPr>
        <w:t> </w:t>
      </w:r>
      <w:r>
        <w:rPr>
          <w:sz w:val="20"/>
          <w:vertAlign w:val="baseline"/>
        </w:rPr>
        <w:t>(JII) Periode Januari</w:t>
      </w:r>
      <w:r>
        <w:rPr>
          <w:spacing w:val="-1"/>
          <w:sz w:val="20"/>
          <w:vertAlign w:val="baseline"/>
        </w:rPr>
        <w:t> </w:t>
      </w:r>
      <w:r>
        <w:rPr>
          <w:sz w:val="20"/>
          <w:vertAlign w:val="baseline"/>
        </w:rPr>
        <w:t>2004 Hingga Desember</w:t>
      </w:r>
      <w:r>
        <w:rPr>
          <w:spacing w:val="-2"/>
          <w:sz w:val="20"/>
          <w:vertAlign w:val="baseline"/>
        </w:rPr>
        <w:t> </w:t>
      </w:r>
      <w:r>
        <w:rPr>
          <w:sz w:val="20"/>
          <w:vertAlign w:val="baseline"/>
        </w:rPr>
        <w:t>2017’,</w:t>
      </w:r>
      <w:r>
        <w:rPr>
          <w:spacing w:val="9"/>
          <w:sz w:val="20"/>
          <w:vertAlign w:val="baseline"/>
        </w:rPr>
        <w:t> </w:t>
      </w:r>
      <w:r>
        <w:rPr>
          <w:i/>
          <w:sz w:val="20"/>
          <w:vertAlign w:val="baseline"/>
        </w:rPr>
        <w:t>Jurnal</w:t>
      </w:r>
      <w:r>
        <w:rPr>
          <w:i/>
          <w:spacing w:val="-1"/>
          <w:sz w:val="20"/>
          <w:vertAlign w:val="baseline"/>
        </w:rPr>
        <w:t> </w:t>
      </w:r>
      <w:r>
        <w:rPr>
          <w:i/>
          <w:sz w:val="20"/>
          <w:vertAlign w:val="baseline"/>
        </w:rPr>
        <w:t>Ekonomi Syariah Teori</w:t>
      </w:r>
      <w:r>
        <w:rPr>
          <w:i/>
          <w:spacing w:val="-1"/>
          <w:sz w:val="20"/>
          <w:vertAlign w:val="baseline"/>
        </w:rPr>
        <w:t> </w:t>
      </w:r>
      <w:r>
        <w:rPr>
          <w:i/>
          <w:sz w:val="20"/>
          <w:vertAlign w:val="baseline"/>
        </w:rPr>
        <w:t>Dan </w:t>
      </w:r>
      <w:r>
        <w:rPr>
          <w:i/>
          <w:spacing w:val="-2"/>
          <w:sz w:val="20"/>
          <w:vertAlign w:val="baseline"/>
        </w:rPr>
        <w:t>Terapan</w:t>
      </w:r>
      <w:r>
        <w:rPr>
          <w:spacing w:val="-2"/>
          <w:sz w:val="20"/>
          <w:vertAlign w:val="baseline"/>
        </w:rPr>
        <w:t>,</w:t>
      </w:r>
    </w:p>
    <w:p>
      <w:pPr>
        <w:spacing w:before="1"/>
        <w:ind w:left="23" w:right="0" w:firstLine="0"/>
        <w:jc w:val="left"/>
        <w:rPr>
          <w:sz w:val="20"/>
        </w:rPr>
      </w:pPr>
      <w:r>
        <w:rPr>
          <w:spacing w:val="-2"/>
          <w:sz w:val="20"/>
        </w:rPr>
        <w:t>6.2</w:t>
      </w:r>
      <w:r>
        <w:rPr>
          <w:spacing w:val="24"/>
          <w:sz w:val="20"/>
        </w:rPr>
        <w:t> </w:t>
      </w:r>
      <w:r>
        <w:rPr>
          <w:spacing w:val="-2"/>
          <w:sz w:val="20"/>
        </w:rPr>
        <w:t>(2020),</w:t>
      </w:r>
      <w:r>
        <w:rPr>
          <w:spacing w:val="23"/>
          <w:sz w:val="20"/>
        </w:rPr>
        <w:t> </w:t>
      </w:r>
      <w:r>
        <w:rPr>
          <w:spacing w:val="-2"/>
          <w:sz w:val="20"/>
        </w:rPr>
        <w:t>372</w:t>
      </w:r>
      <w:r>
        <w:rPr>
          <w:spacing w:val="25"/>
          <w:sz w:val="20"/>
        </w:rPr>
        <w:t> </w:t>
      </w:r>
      <w:r>
        <w:rPr>
          <w:spacing w:val="-2"/>
          <w:sz w:val="20"/>
        </w:rPr>
        <w:t>&lt;https://doi.org/10.20473/vol6iss20192pp372-</w:t>
      </w:r>
      <w:r>
        <w:rPr>
          <w:spacing w:val="-4"/>
          <w:sz w:val="20"/>
        </w:rPr>
        <w:t>385&gt;.</w:t>
      </w:r>
    </w:p>
    <w:p>
      <w:pPr>
        <w:spacing w:after="0"/>
        <w:jc w:val="left"/>
        <w:rPr>
          <w:sz w:val="20"/>
        </w:rPr>
        <w:sectPr>
          <w:pgSz w:w="11910" w:h="16840"/>
          <w:pgMar w:header="0" w:footer="1000" w:top="1360" w:bottom="1200" w:left="1417" w:right="1275"/>
        </w:sectPr>
      </w:pPr>
    </w:p>
    <w:p>
      <w:pPr>
        <w:pStyle w:val="Heading1"/>
        <w:spacing w:line="499" w:lineRule="auto"/>
        <w:ind w:left="3225" w:right="3217" w:firstLine="895"/>
        <w:jc w:val="left"/>
      </w:pPr>
      <w:bookmarkStart w:name="_bookmark113" w:id="114"/>
      <w:bookmarkEnd w:id="114"/>
      <w:r>
        <w:rPr>
          <w:b w:val="0"/>
        </w:rPr>
      </w:r>
      <w:r>
        <w:rPr/>
        <w:t>BAB III </w:t>
      </w:r>
      <w:bookmarkStart w:name="_bookmark114" w:id="115"/>
      <w:bookmarkEnd w:id="115"/>
      <w:r>
        <w:rPr/>
        <w:t>M</w:t>
      </w:r>
      <w:r>
        <w:rPr/>
        <w:t>ETODE</w:t>
      </w:r>
      <w:r>
        <w:rPr>
          <w:spacing w:val="-15"/>
        </w:rPr>
        <w:t> </w:t>
      </w:r>
      <w:r>
        <w:rPr/>
        <w:t>PENELITIAN</w:t>
      </w:r>
    </w:p>
    <w:p>
      <w:pPr>
        <w:pStyle w:val="Heading2"/>
        <w:numPr>
          <w:ilvl w:val="1"/>
          <w:numId w:val="23"/>
        </w:numPr>
        <w:tabs>
          <w:tab w:pos="862" w:val="left" w:leader="none"/>
        </w:tabs>
        <w:spacing w:line="276" w:lineRule="exact" w:before="0" w:after="0"/>
        <w:ind w:left="862" w:right="0" w:hanging="479"/>
        <w:jc w:val="left"/>
      </w:pPr>
      <w:bookmarkStart w:name="_bookmark115" w:id="116"/>
      <w:bookmarkEnd w:id="116"/>
      <w:r>
        <w:rPr>
          <w:b w:val="0"/>
        </w:rPr>
      </w:r>
      <w:r>
        <w:rPr/>
        <w:t>Jenis</w:t>
      </w:r>
      <w:r>
        <w:rPr>
          <w:spacing w:val="-5"/>
        </w:rPr>
        <w:t> </w:t>
      </w:r>
      <w:r>
        <w:rPr/>
        <w:t>dan</w:t>
      </w:r>
      <w:r>
        <w:rPr>
          <w:spacing w:val="-2"/>
        </w:rPr>
        <w:t> </w:t>
      </w:r>
      <w:r>
        <w:rPr/>
        <w:t>Sumber</w:t>
      </w:r>
      <w:r>
        <w:rPr>
          <w:spacing w:val="-2"/>
        </w:rPr>
        <w:t> </w:t>
      </w:r>
      <w:r>
        <w:rPr>
          <w:spacing w:val="-4"/>
        </w:rPr>
        <w:t>Data</w:t>
      </w:r>
    </w:p>
    <w:p>
      <w:pPr>
        <w:pStyle w:val="BodyText"/>
        <w:spacing w:before="22"/>
        <w:rPr>
          <w:b/>
        </w:rPr>
      </w:pPr>
    </w:p>
    <w:p>
      <w:pPr>
        <w:pStyle w:val="Heading2"/>
        <w:numPr>
          <w:ilvl w:val="2"/>
          <w:numId w:val="23"/>
        </w:numPr>
        <w:tabs>
          <w:tab w:pos="1283" w:val="left" w:leader="none"/>
        </w:tabs>
        <w:spacing w:line="240" w:lineRule="auto" w:before="0" w:after="0"/>
        <w:ind w:left="1283" w:right="0" w:hanging="540"/>
        <w:jc w:val="both"/>
      </w:pPr>
      <w:bookmarkStart w:name="_bookmark116" w:id="117"/>
      <w:bookmarkEnd w:id="117"/>
      <w:r>
        <w:rPr>
          <w:b w:val="0"/>
        </w:rPr>
      </w:r>
      <w:r>
        <w:rPr/>
        <w:t>Jenis</w:t>
      </w:r>
      <w:r>
        <w:rPr>
          <w:spacing w:val="-4"/>
        </w:rPr>
        <w:t> Data</w:t>
      </w:r>
    </w:p>
    <w:p>
      <w:pPr>
        <w:pStyle w:val="BodyText"/>
        <w:spacing w:before="24"/>
        <w:rPr>
          <w:b/>
        </w:rPr>
      </w:pPr>
    </w:p>
    <w:p>
      <w:pPr>
        <w:pStyle w:val="BodyText"/>
        <w:spacing w:line="360" w:lineRule="auto"/>
        <w:ind w:left="1463" w:right="161" w:firstLine="720"/>
        <w:jc w:val="both"/>
      </w:pPr>
      <w:r>
        <w:rPr/>
        <w:t>Jenis data kuantitatif digunakan dalam penelitian ini. Istilah data kuantitatif mengacu pada informasi atau penjelasan apa pun yang diberikan dalam bentuk numerik atau yang dapat diukur atau dihitung secara langsung. Dalam penulisan ini menggunakan data dari indeks saham ISSI yang mana sesuai dengan kriteria, Indeks Keyakinan Konsumen, nilai tukar, inflasi, dan Indeks Produksi Industri.</w:t>
      </w:r>
    </w:p>
    <w:p>
      <w:pPr>
        <w:pStyle w:val="BodyText"/>
        <w:spacing w:line="360" w:lineRule="auto" w:before="1"/>
        <w:ind w:left="1463" w:right="161" w:firstLine="720"/>
        <w:jc w:val="both"/>
      </w:pPr>
      <w:r>
        <w:rPr/>
        <w:t>Dengan menggunakan metode penelitian kuantitatif, yang didasarkan pada penggunaan metode statistik dan disesuaikan berdasarkan prosedur lain dengan tetap mengacu pada isi yang terkandung dalam kuantifikasi (perhitungan), kita dapat menggunakan data dari penelitian kita sebelumnya untuk menghasilkan karya seni atau penemuan baru.</w:t>
      </w:r>
      <w:hyperlink w:history="true" w:anchor="_bookmark118">
        <w:r>
          <w:rPr>
            <w:vertAlign w:val="superscript"/>
          </w:rPr>
          <w:t>76</w:t>
        </w:r>
      </w:hyperlink>
      <w:r>
        <w:rPr>
          <w:vertAlign w:val="baseline"/>
        </w:rPr>
        <w:t> Pada penelitian ini penulis menggunakan jenis penelitian kuantitatif untuk melihat pengaruh variabel x dengan variabel y. Adapun variabel y berupa Indeks Saham Syariah Indonesia, sedangkan terdapat 4 variabel x diantaranya Indeks Keyakinan Konsumen (X1), Nilai Tukar (X2), Inflasi (X3), dan Indeks Produksi Industri </w:t>
      </w:r>
      <w:r>
        <w:rPr>
          <w:spacing w:val="-2"/>
          <w:vertAlign w:val="baseline"/>
        </w:rPr>
        <w:t>(X4).</w:t>
      </w:r>
    </w:p>
    <w:p>
      <w:pPr>
        <w:pStyle w:val="Heading2"/>
        <w:numPr>
          <w:ilvl w:val="2"/>
          <w:numId w:val="23"/>
        </w:numPr>
        <w:tabs>
          <w:tab w:pos="1283" w:val="left" w:leader="none"/>
        </w:tabs>
        <w:spacing w:line="240" w:lineRule="auto" w:before="159" w:after="0"/>
        <w:ind w:left="1283" w:right="0" w:hanging="540"/>
        <w:jc w:val="both"/>
      </w:pPr>
      <w:bookmarkStart w:name="_bookmark117" w:id="118"/>
      <w:bookmarkEnd w:id="118"/>
      <w:r>
        <w:rPr>
          <w:b w:val="0"/>
        </w:rPr>
      </w:r>
      <w:r>
        <w:rPr/>
        <w:t>Sumber</w:t>
      </w:r>
      <w:r>
        <w:rPr>
          <w:spacing w:val="-3"/>
        </w:rPr>
        <w:t> </w:t>
      </w:r>
      <w:r>
        <w:rPr>
          <w:spacing w:val="-4"/>
        </w:rPr>
        <w:t>Data</w:t>
      </w:r>
    </w:p>
    <w:p>
      <w:pPr>
        <w:pStyle w:val="BodyText"/>
        <w:spacing w:before="22"/>
        <w:rPr>
          <w:b/>
        </w:rPr>
      </w:pPr>
    </w:p>
    <w:p>
      <w:pPr>
        <w:pStyle w:val="BodyText"/>
        <w:spacing w:line="360" w:lineRule="auto"/>
        <w:ind w:left="1463" w:right="160" w:firstLine="720"/>
        <w:jc w:val="both"/>
      </w:pPr>
      <w:r>
        <w:rPr/>
        <w:t>Sumber data penelitian ini adalah data sekunder. Data yang dikumpulkan untuk alasan selain menyelesaikan masalah saat ini disebut sebagai</w:t>
      </w:r>
      <w:r>
        <w:rPr>
          <w:spacing w:val="-4"/>
        </w:rPr>
        <w:t> </w:t>
      </w:r>
      <w:r>
        <w:rPr/>
        <w:t>data</w:t>
      </w:r>
      <w:r>
        <w:rPr>
          <w:spacing w:val="-5"/>
        </w:rPr>
        <w:t> </w:t>
      </w:r>
      <w:r>
        <w:rPr/>
        <w:t>sekunder.</w:t>
      </w:r>
      <w:r>
        <w:rPr>
          <w:spacing w:val="-3"/>
        </w:rPr>
        <w:t> </w:t>
      </w:r>
      <w:r>
        <w:rPr/>
        <w:t>Informasi</w:t>
      </w:r>
      <w:r>
        <w:rPr>
          <w:spacing w:val="-4"/>
        </w:rPr>
        <w:t> </w:t>
      </w:r>
      <w:r>
        <w:rPr/>
        <w:t>ini</w:t>
      </w:r>
      <w:r>
        <w:rPr>
          <w:spacing w:val="-4"/>
        </w:rPr>
        <w:t> </w:t>
      </w:r>
      <w:r>
        <w:rPr/>
        <w:t>mudah</w:t>
      </w:r>
      <w:r>
        <w:rPr>
          <w:spacing w:val="-4"/>
        </w:rPr>
        <w:t> </w:t>
      </w:r>
      <w:r>
        <w:rPr/>
        <w:t>diakses.</w:t>
      </w:r>
      <w:r>
        <w:rPr>
          <w:spacing w:val="-4"/>
        </w:rPr>
        <w:t> </w:t>
      </w:r>
      <w:r>
        <w:rPr/>
        <w:t>Literatur,</w:t>
      </w:r>
      <w:r>
        <w:rPr>
          <w:spacing w:val="-4"/>
        </w:rPr>
        <w:t> </w:t>
      </w:r>
      <w:r>
        <w:rPr/>
        <w:t>makalah,</w:t>
      </w:r>
      <w:r>
        <w:rPr>
          <w:spacing w:val="-4"/>
        </w:rPr>
        <w:t> </w:t>
      </w:r>
      <w:r>
        <w:rPr/>
        <w:t>jurnal, dan situs web yang berkaitan dengan penelitian yang dilakukan berfungsi sebagai sumber data sekunder untuk penelitian ini</w:t>
      </w:r>
      <w:hyperlink w:history="true" w:anchor="_bookmark119">
        <w:r>
          <w:rPr/>
          <w:t>.</w:t>
        </w:r>
        <w:r>
          <w:rPr>
            <w:vertAlign w:val="superscript"/>
          </w:rPr>
          <w:t>77</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611392">
                <wp:simplePos x="0" y="0"/>
                <wp:positionH relativeFrom="page">
                  <wp:posOffset>914704</wp:posOffset>
                </wp:positionH>
                <wp:positionV relativeFrom="paragraph">
                  <wp:posOffset>178419</wp:posOffset>
                </wp:positionV>
                <wp:extent cx="1829435" cy="9525"/>
                <wp:effectExtent l="0" t="0" r="0" b="0"/>
                <wp:wrapTopAndBottom/>
                <wp:docPr id="292" name="Graphic 292"/>
                <wp:cNvGraphicFramePr>
                  <a:graphicFrameLocks/>
                </wp:cNvGraphicFramePr>
                <a:graphic>
                  <a:graphicData uri="http://schemas.microsoft.com/office/word/2010/wordprocessingShape">
                    <wps:wsp>
                      <wps:cNvPr id="292" name="Graphic 292"/>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4.048793pt;width:144.020pt;height:.72003pt;mso-position-horizontal-relative:page;mso-position-vertical-relative:paragraph;z-index:-15705088;mso-wrap-distance-left:0;mso-wrap-distance-right:0" id="docshape264" filled="true" fillcolor="#000000" stroked="false">
                <v:fill type="solid"/>
                <w10:wrap type="topAndBottom"/>
              </v:rect>
            </w:pict>
          </mc:Fallback>
        </mc:AlternateContent>
      </w:r>
    </w:p>
    <w:p>
      <w:pPr>
        <w:spacing w:before="101"/>
        <w:ind w:left="743" w:right="0" w:firstLine="0"/>
        <w:jc w:val="left"/>
        <w:rPr>
          <w:i/>
          <w:sz w:val="20"/>
        </w:rPr>
      </w:pPr>
      <w:bookmarkStart w:name="_bookmark118" w:id="119"/>
      <w:bookmarkEnd w:id="119"/>
      <w:r>
        <w:rPr/>
      </w:r>
      <w:r>
        <w:rPr>
          <w:sz w:val="20"/>
          <w:vertAlign w:val="superscript"/>
        </w:rPr>
        <w:t>76</w:t>
      </w:r>
      <w:r>
        <w:rPr>
          <w:spacing w:val="-13"/>
          <w:sz w:val="20"/>
          <w:vertAlign w:val="baseline"/>
        </w:rPr>
        <w:t> </w:t>
      </w:r>
      <w:r>
        <w:rPr>
          <w:sz w:val="20"/>
          <w:vertAlign w:val="baseline"/>
        </w:rPr>
        <w:t>Sigit</w:t>
      </w:r>
      <w:r>
        <w:rPr>
          <w:spacing w:val="-12"/>
          <w:sz w:val="20"/>
          <w:vertAlign w:val="baseline"/>
        </w:rPr>
        <w:t> </w:t>
      </w:r>
      <w:r>
        <w:rPr>
          <w:sz w:val="20"/>
          <w:vertAlign w:val="baseline"/>
        </w:rPr>
        <w:t>Hermawan</w:t>
      </w:r>
      <w:r>
        <w:rPr>
          <w:spacing w:val="-13"/>
          <w:sz w:val="20"/>
          <w:vertAlign w:val="baseline"/>
        </w:rPr>
        <w:t> </w:t>
      </w:r>
      <w:r>
        <w:rPr>
          <w:sz w:val="20"/>
          <w:vertAlign w:val="baseline"/>
        </w:rPr>
        <w:t>and</w:t>
      </w:r>
      <w:r>
        <w:rPr>
          <w:spacing w:val="-11"/>
          <w:sz w:val="20"/>
          <w:vertAlign w:val="baseline"/>
        </w:rPr>
        <w:t> </w:t>
      </w:r>
      <w:r>
        <w:rPr>
          <w:sz w:val="20"/>
          <w:vertAlign w:val="baseline"/>
        </w:rPr>
        <w:t>Wiwit</w:t>
      </w:r>
      <w:r>
        <w:rPr>
          <w:spacing w:val="-12"/>
          <w:sz w:val="20"/>
          <w:vertAlign w:val="baseline"/>
        </w:rPr>
        <w:t> </w:t>
      </w:r>
      <w:r>
        <w:rPr>
          <w:sz w:val="20"/>
          <w:vertAlign w:val="baseline"/>
        </w:rPr>
        <w:t>Hariyanto,</w:t>
      </w:r>
      <w:r>
        <w:rPr>
          <w:spacing w:val="-10"/>
          <w:sz w:val="20"/>
          <w:vertAlign w:val="baseline"/>
        </w:rPr>
        <w:t> </w:t>
      </w:r>
      <w:r>
        <w:rPr>
          <w:i/>
          <w:sz w:val="20"/>
          <w:vertAlign w:val="baseline"/>
        </w:rPr>
        <w:t>Buku</w:t>
      </w:r>
      <w:r>
        <w:rPr>
          <w:i/>
          <w:spacing w:val="-11"/>
          <w:sz w:val="20"/>
          <w:vertAlign w:val="baseline"/>
        </w:rPr>
        <w:t> </w:t>
      </w:r>
      <w:r>
        <w:rPr>
          <w:i/>
          <w:sz w:val="20"/>
          <w:vertAlign w:val="baseline"/>
        </w:rPr>
        <w:t>Ajar</w:t>
      </w:r>
      <w:r>
        <w:rPr>
          <w:i/>
          <w:spacing w:val="-12"/>
          <w:sz w:val="20"/>
          <w:vertAlign w:val="baseline"/>
        </w:rPr>
        <w:t> </w:t>
      </w:r>
      <w:r>
        <w:rPr>
          <w:i/>
          <w:sz w:val="20"/>
          <w:vertAlign w:val="baseline"/>
        </w:rPr>
        <w:t>Metode</w:t>
      </w:r>
      <w:r>
        <w:rPr>
          <w:i/>
          <w:spacing w:val="-12"/>
          <w:sz w:val="20"/>
          <w:vertAlign w:val="baseline"/>
        </w:rPr>
        <w:t> </w:t>
      </w:r>
      <w:r>
        <w:rPr>
          <w:i/>
          <w:sz w:val="20"/>
          <w:vertAlign w:val="baseline"/>
        </w:rPr>
        <w:t>Penelitian</w:t>
      </w:r>
      <w:r>
        <w:rPr>
          <w:i/>
          <w:spacing w:val="-11"/>
          <w:sz w:val="20"/>
          <w:vertAlign w:val="baseline"/>
        </w:rPr>
        <w:t> </w:t>
      </w:r>
      <w:r>
        <w:rPr>
          <w:i/>
          <w:sz w:val="20"/>
          <w:vertAlign w:val="baseline"/>
        </w:rPr>
        <w:t>Bisnis</w:t>
      </w:r>
      <w:r>
        <w:rPr>
          <w:i/>
          <w:spacing w:val="-13"/>
          <w:sz w:val="20"/>
          <w:vertAlign w:val="baseline"/>
        </w:rPr>
        <w:t> </w:t>
      </w:r>
      <w:r>
        <w:rPr>
          <w:i/>
          <w:sz w:val="20"/>
          <w:vertAlign w:val="baseline"/>
        </w:rPr>
        <w:t>(Kuantitatif</w:t>
      </w:r>
      <w:r>
        <w:rPr>
          <w:i/>
          <w:spacing w:val="-12"/>
          <w:sz w:val="20"/>
          <w:vertAlign w:val="baseline"/>
        </w:rPr>
        <w:t> </w:t>
      </w:r>
      <w:r>
        <w:rPr>
          <w:i/>
          <w:sz w:val="20"/>
          <w:vertAlign w:val="baseline"/>
        </w:rPr>
        <w:t>Dan</w:t>
      </w:r>
      <w:r>
        <w:rPr>
          <w:i/>
          <w:spacing w:val="-11"/>
          <w:sz w:val="20"/>
          <w:vertAlign w:val="baseline"/>
        </w:rPr>
        <w:t> </w:t>
      </w:r>
      <w:r>
        <w:rPr>
          <w:i/>
          <w:spacing w:val="-2"/>
          <w:sz w:val="20"/>
          <w:vertAlign w:val="baseline"/>
        </w:rPr>
        <w:t>Kualitatif</w:t>
      </w:r>
    </w:p>
    <w:p>
      <w:pPr>
        <w:spacing w:before="0"/>
        <w:ind w:left="23" w:right="0" w:firstLine="0"/>
        <w:jc w:val="left"/>
        <w:rPr>
          <w:sz w:val="20"/>
        </w:rPr>
      </w:pPr>
      <w:r>
        <w:rPr>
          <w:i/>
          <w:spacing w:val="-2"/>
          <w:sz w:val="20"/>
        </w:rPr>
        <w:t>)</w:t>
      </w:r>
      <w:r>
        <w:rPr>
          <w:i/>
          <w:spacing w:val="21"/>
          <w:sz w:val="20"/>
        </w:rPr>
        <w:t> </w:t>
      </w:r>
      <w:r>
        <w:rPr>
          <w:spacing w:val="-2"/>
          <w:sz w:val="20"/>
        </w:rPr>
        <w:t>(Umsida</w:t>
      </w:r>
      <w:r>
        <w:rPr>
          <w:spacing w:val="20"/>
          <w:sz w:val="20"/>
        </w:rPr>
        <w:t> </w:t>
      </w:r>
      <w:r>
        <w:rPr>
          <w:spacing w:val="-2"/>
          <w:sz w:val="20"/>
        </w:rPr>
        <w:t>Press,</w:t>
      </w:r>
      <w:r>
        <w:rPr>
          <w:spacing w:val="19"/>
          <w:sz w:val="20"/>
        </w:rPr>
        <w:t> </w:t>
      </w:r>
      <w:r>
        <w:rPr>
          <w:spacing w:val="-2"/>
          <w:sz w:val="20"/>
        </w:rPr>
        <w:t>2022)</w:t>
      </w:r>
      <w:r>
        <w:rPr>
          <w:spacing w:val="20"/>
          <w:sz w:val="20"/>
        </w:rPr>
        <w:t> </w:t>
      </w:r>
      <w:r>
        <w:rPr>
          <w:spacing w:val="-2"/>
          <w:sz w:val="20"/>
        </w:rPr>
        <w:t>&lt;https://doi.org/10.21070/2022/978-623-464-047-</w:t>
      </w:r>
      <w:r>
        <w:rPr>
          <w:spacing w:val="-5"/>
          <w:sz w:val="20"/>
        </w:rPr>
        <w:t>2&gt;.</w:t>
      </w:r>
    </w:p>
    <w:p>
      <w:pPr>
        <w:spacing w:before="1"/>
        <w:ind w:left="743" w:right="0" w:firstLine="0"/>
        <w:jc w:val="left"/>
        <w:rPr>
          <w:sz w:val="20"/>
        </w:rPr>
      </w:pPr>
      <w:bookmarkStart w:name="_bookmark119" w:id="120"/>
      <w:bookmarkEnd w:id="120"/>
      <w:r>
        <w:rPr/>
      </w:r>
      <w:r>
        <w:rPr>
          <w:sz w:val="20"/>
          <w:vertAlign w:val="superscript"/>
        </w:rPr>
        <w:t>77</w:t>
      </w:r>
      <w:r>
        <w:rPr>
          <w:spacing w:val="-6"/>
          <w:sz w:val="20"/>
          <w:vertAlign w:val="baseline"/>
        </w:rPr>
        <w:t> </w:t>
      </w:r>
      <w:r>
        <w:rPr>
          <w:sz w:val="20"/>
          <w:vertAlign w:val="baseline"/>
        </w:rPr>
        <w:t>Sugiyono,</w:t>
      </w:r>
      <w:r>
        <w:rPr>
          <w:spacing w:val="-4"/>
          <w:sz w:val="20"/>
          <w:vertAlign w:val="baseline"/>
        </w:rPr>
        <w:t> </w:t>
      </w:r>
      <w:r>
        <w:rPr>
          <w:i/>
          <w:sz w:val="20"/>
          <w:vertAlign w:val="baseline"/>
        </w:rPr>
        <w:t>Metode</w:t>
      </w:r>
      <w:r>
        <w:rPr>
          <w:i/>
          <w:spacing w:val="-6"/>
          <w:sz w:val="20"/>
          <w:vertAlign w:val="baseline"/>
        </w:rPr>
        <w:t> </w:t>
      </w:r>
      <w:r>
        <w:rPr>
          <w:i/>
          <w:sz w:val="20"/>
          <w:vertAlign w:val="baseline"/>
        </w:rPr>
        <w:t>Penelitian</w:t>
      </w:r>
      <w:r>
        <w:rPr>
          <w:i/>
          <w:spacing w:val="-7"/>
          <w:sz w:val="20"/>
          <w:vertAlign w:val="baseline"/>
        </w:rPr>
        <w:t> </w:t>
      </w:r>
      <w:r>
        <w:rPr>
          <w:i/>
          <w:sz w:val="20"/>
          <w:vertAlign w:val="baseline"/>
        </w:rPr>
        <w:t>Kuantitatif</w:t>
      </w:r>
      <w:r>
        <w:rPr>
          <w:i/>
          <w:spacing w:val="-6"/>
          <w:sz w:val="20"/>
          <w:vertAlign w:val="baseline"/>
        </w:rPr>
        <w:t> </w:t>
      </w:r>
      <w:r>
        <w:rPr>
          <w:i/>
          <w:sz w:val="20"/>
          <w:vertAlign w:val="baseline"/>
        </w:rPr>
        <w:t>Kualitatif</w:t>
      </w:r>
      <w:r>
        <w:rPr>
          <w:i/>
          <w:spacing w:val="-7"/>
          <w:sz w:val="20"/>
          <w:vertAlign w:val="baseline"/>
        </w:rPr>
        <w:t> </w:t>
      </w:r>
      <w:r>
        <w:rPr>
          <w:i/>
          <w:sz w:val="20"/>
          <w:vertAlign w:val="baseline"/>
        </w:rPr>
        <w:t>Dan</w:t>
      </w:r>
      <w:r>
        <w:rPr>
          <w:i/>
          <w:spacing w:val="-5"/>
          <w:sz w:val="20"/>
          <w:vertAlign w:val="baseline"/>
        </w:rPr>
        <w:t> </w:t>
      </w:r>
      <w:r>
        <w:rPr>
          <w:i/>
          <w:sz w:val="20"/>
          <w:vertAlign w:val="baseline"/>
        </w:rPr>
        <w:t>R&amp;D</w:t>
      </w:r>
      <w:r>
        <w:rPr>
          <w:i/>
          <w:spacing w:val="-1"/>
          <w:sz w:val="20"/>
          <w:vertAlign w:val="baseline"/>
        </w:rPr>
        <w:t> </w:t>
      </w:r>
      <w:r>
        <w:rPr>
          <w:sz w:val="20"/>
          <w:vertAlign w:val="baseline"/>
        </w:rPr>
        <w:t>(Bandung:</w:t>
      </w:r>
      <w:r>
        <w:rPr>
          <w:spacing w:val="-7"/>
          <w:sz w:val="20"/>
          <w:vertAlign w:val="baseline"/>
        </w:rPr>
        <w:t> </w:t>
      </w:r>
      <w:r>
        <w:rPr>
          <w:sz w:val="20"/>
          <w:vertAlign w:val="baseline"/>
        </w:rPr>
        <w:t>Penerbit</w:t>
      </w:r>
      <w:r>
        <w:rPr>
          <w:spacing w:val="-7"/>
          <w:sz w:val="20"/>
          <w:vertAlign w:val="baseline"/>
        </w:rPr>
        <w:t> </w:t>
      </w:r>
      <w:r>
        <w:rPr>
          <w:sz w:val="20"/>
          <w:vertAlign w:val="baseline"/>
        </w:rPr>
        <w:t>Alfabeta,</w:t>
      </w:r>
      <w:r>
        <w:rPr>
          <w:spacing w:val="-5"/>
          <w:sz w:val="20"/>
          <w:vertAlign w:val="baseline"/>
        </w:rPr>
        <w:t> </w:t>
      </w:r>
      <w:r>
        <w:rPr>
          <w:spacing w:val="-2"/>
          <w:sz w:val="20"/>
          <w:vertAlign w:val="baseline"/>
        </w:rPr>
        <w:t>2009).</w:t>
      </w:r>
    </w:p>
    <w:p>
      <w:pPr>
        <w:spacing w:after="0"/>
        <w:jc w:val="left"/>
        <w:rPr>
          <w:sz w:val="20"/>
        </w:rPr>
        <w:sectPr>
          <w:pgSz w:w="11910" w:h="16840"/>
          <w:pgMar w:header="0" w:footer="1000" w:top="1360" w:bottom="1200" w:left="1417" w:right="1275"/>
        </w:sectPr>
      </w:pPr>
    </w:p>
    <w:p>
      <w:pPr>
        <w:pStyle w:val="Heading2"/>
        <w:numPr>
          <w:ilvl w:val="1"/>
          <w:numId w:val="23"/>
        </w:numPr>
        <w:tabs>
          <w:tab w:pos="862" w:val="left" w:leader="none"/>
        </w:tabs>
        <w:spacing w:line="240" w:lineRule="auto" w:before="60" w:after="0"/>
        <w:ind w:left="862" w:right="0" w:hanging="479"/>
        <w:jc w:val="both"/>
      </w:pPr>
      <w:bookmarkStart w:name="_bookmark120" w:id="121"/>
      <w:bookmarkEnd w:id="121"/>
      <w:r>
        <w:rPr>
          <w:b w:val="0"/>
        </w:rPr>
      </w:r>
      <w:r>
        <w:rPr/>
        <w:t>Populasi</w:t>
      </w:r>
      <w:r>
        <w:rPr>
          <w:spacing w:val="-4"/>
        </w:rPr>
        <w:t> </w:t>
      </w:r>
      <w:r>
        <w:rPr/>
        <w:t>dan</w:t>
      </w:r>
      <w:r>
        <w:rPr>
          <w:spacing w:val="-1"/>
        </w:rPr>
        <w:t> </w:t>
      </w:r>
      <w:r>
        <w:rPr>
          <w:spacing w:val="-2"/>
        </w:rPr>
        <w:t>Sampel</w:t>
      </w:r>
    </w:p>
    <w:p>
      <w:pPr>
        <w:pStyle w:val="BodyText"/>
        <w:spacing w:before="22"/>
        <w:rPr>
          <w:b/>
        </w:rPr>
      </w:pPr>
    </w:p>
    <w:p>
      <w:pPr>
        <w:pStyle w:val="Heading2"/>
        <w:numPr>
          <w:ilvl w:val="2"/>
          <w:numId w:val="23"/>
        </w:numPr>
        <w:tabs>
          <w:tab w:pos="1283" w:val="left" w:leader="none"/>
        </w:tabs>
        <w:spacing w:line="240" w:lineRule="auto" w:before="0" w:after="0"/>
        <w:ind w:left="1283" w:right="0" w:hanging="540"/>
        <w:jc w:val="both"/>
      </w:pPr>
      <w:bookmarkStart w:name="_bookmark121" w:id="122"/>
      <w:bookmarkEnd w:id="122"/>
      <w:r>
        <w:rPr>
          <w:b w:val="0"/>
        </w:rPr>
      </w:r>
      <w:r>
        <w:rPr>
          <w:spacing w:val="-2"/>
        </w:rPr>
        <w:t>Populasi</w:t>
      </w:r>
    </w:p>
    <w:p>
      <w:pPr>
        <w:pStyle w:val="BodyText"/>
        <w:spacing w:before="22"/>
        <w:rPr>
          <w:b/>
        </w:rPr>
      </w:pPr>
    </w:p>
    <w:p>
      <w:pPr>
        <w:pStyle w:val="BodyText"/>
        <w:spacing w:line="360" w:lineRule="auto"/>
        <w:ind w:left="1463" w:right="158" w:firstLine="720"/>
        <w:jc w:val="both"/>
      </w:pPr>
      <w:r>
        <w:rPr/>
        <w:t>Karena dianggap sebagai suatu kajian semesta, populasi merupakan kumpulan</w:t>
      </w:r>
      <w:r>
        <w:rPr>
          <w:spacing w:val="-5"/>
        </w:rPr>
        <w:t> </w:t>
      </w:r>
      <w:r>
        <w:rPr/>
        <w:t>semua</w:t>
      </w:r>
      <w:r>
        <w:rPr>
          <w:spacing w:val="-5"/>
        </w:rPr>
        <w:t> </w:t>
      </w:r>
      <w:r>
        <w:rPr/>
        <w:t>elemen</w:t>
      </w:r>
      <w:r>
        <w:rPr>
          <w:spacing w:val="-3"/>
        </w:rPr>
        <w:t> </w:t>
      </w:r>
      <w:r>
        <w:rPr/>
        <w:t>yang</w:t>
      </w:r>
      <w:r>
        <w:rPr>
          <w:spacing w:val="-5"/>
        </w:rPr>
        <w:t> </w:t>
      </w:r>
      <w:r>
        <w:rPr/>
        <w:t>berbentuk</w:t>
      </w:r>
      <w:r>
        <w:rPr>
          <w:spacing w:val="-5"/>
        </w:rPr>
        <w:t> </w:t>
      </w:r>
      <w:r>
        <w:rPr/>
        <w:t>kejadian,</w:t>
      </w:r>
      <w:r>
        <w:rPr>
          <w:spacing w:val="-3"/>
        </w:rPr>
        <w:t> </w:t>
      </w:r>
      <w:r>
        <w:rPr/>
        <w:t>objek,</w:t>
      </w:r>
      <w:r>
        <w:rPr>
          <w:spacing w:val="-5"/>
        </w:rPr>
        <w:t> </w:t>
      </w:r>
      <w:r>
        <w:rPr/>
        <w:t>atau</w:t>
      </w:r>
      <w:r>
        <w:rPr>
          <w:spacing w:val="-5"/>
        </w:rPr>
        <w:t> </w:t>
      </w:r>
      <w:r>
        <w:rPr/>
        <w:t>individu</w:t>
      </w:r>
      <w:r>
        <w:rPr>
          <w:spacing w:val="-5"/>
        </w:rPr>
        <w:t> </w:t>
      </w:r>
      <w:r>
        <w:rPr/>
        <w:t>dengan kualitas yang sebanding dan menjadi fokus perhatian peneliti</w:t>
      </w:r>
      <w:hyperlink w:history="true" w:anchor="_bookmark124">
        <w:r>
          <w:rPr/>
          <w:t>.</w:t>
        </w:r>
        <w:r>
          <w:rPr>
            <w:vertAlign w:val="superscript"/>
          </w:rPr>
          <w:t>78</w:t>
        </w:r>
      </w:hyperlink>
      <w:r>
        <w:rPr>
          <w:vertAlign w:val="baseline"/>
        </w:rPr>
        <w:t> Adapun populasi dalam penelitian ini ialah keseluruhan indeks saham yang terdaftar di Indeks Saham Syariah Indonesia pada tahun 2020-2024.</w:t>
      </w:r>
    </w:p>
    <w:p>
      <w:pPr>
        <w:pStyle w:val="Heading2"/>
        <w:numPr>
          <w:ilvl w:val="2"/>
          <w:numId w:val="23"/>
        </w:numPr>
        <w:tabs>
          <w:tab w:pos="1283" w:val="left" w:leader="none"/>
        </w:tabs>
        <w:spacing w:line="240" w:lineRule="auto" w:before="160" w:after="0"/>
        <w:ind w:left="1283" w:right="0" w:hanging="540"/>
        <w:jc w:val="both"/>
      </w:pPr>
      <w:bookmarkStart w:name="_bookmark122" w:id="123"/>
      <w:bookmarkEnd w:id="123"/>
      <w:r>
        <w:rPr>
          <w:b w:val="0"/>
        </w:rPr>
      </w:r>
      <w:r>
        <w:rPr>
          <w:spacing w:val="-2"/>
        </w:rPr>
        <w:t>Sampel</w:t>
      </w:r>
    </w:p>
    <w:p>
      <w:pPr>
        <w:pStyle w:val="BodyText"/>
        <w:spacing w:before="24"/>
        <w:rPr>
          <w:b/>
        </w:rPr>
      </w:pPr>
    </w:p>
    <w:p>
      <w:pPr>
        <w:pStyle w:val="BodyText"/>
        <w:spacing w:line="360" w:lineRule="auto" w:before="1"/>
        <w:ind w:left="1463" w:right="159" w:firstLine="720"/>
        <w:jc w:val="both"/>
      </w:pPr>
      <w:r>
        <w:rPr/>
        <w:t>Sampel adalah elemen populasi yang terdiri dari banyak individu. Karena peneliti sering kali tidak dapat memeriksa seluruh populasi, maka kelompok ini dipilih. Oleh karena itu, diperlukan populasi yang representatif. Dalam penelitian ini, metode pengambilan sampel yang digunakan adalah sampel jenuh (census sampling), yaitu pengambilan seluruh data populasi sebagai sampel penelitian. Metode ini dipilih karena jumlah data yang tersedia relatif terbatas (60 data bulanan) dan seluruh data tersebut dianggap mewakili populasi secara lengkap sehingga tidak diperlukan pengambilan sampel secara </w:t>
      </w:r>
      <w:r>
        <w:rPr>
          <w:spacing w:val="-2"/>
        </w:rPr>
        <w:t>parsial.</w:t>
      </w:r>
    </w:p>
    <w:p>
      <w:pPr>
        <w:pStyle w:val="Heading2"/>
        <w:numPr>
          <w:ilvl w:val="1"/>
          <w:numId w:val="23"/>
        </w:numPr>
        <w:tabs>
          <w:tab w:pos="862" w:val="left" w:leader="none"/>
        </w:tabs>
        <w:spacing w:line="240" w:lineRule="auto" w:before="160" w:after="0"/>
        <w:ind w:left="862" w:right="0" w:hanging="479"/>
        <w:jc w:val="both"/>
      </w:pPr>
      <w:bookmarkStart w:name="_bookmark123" w:id="124"/>
      <w:bookmarkEnd w:id="124"/>
      <w:r>
        <w:rPr>
          <w:b w:val="0"/>
        </w:rPr>
      </w:r>
      <w:r>
        <w:rPr/>
        <w:t>Teknik</w:t>
      </w:r>
      <w:r>
        <w:rPr>
          <w:spacing w:val="-5"/>
        </w:rPr>
        <w:t> </w:t>
      </w:r>
      <w:r>
        <w:rPr/>
        <w:t>Pengumpulan</w:t>
      </w:r>
      <w:r>
        <w:rPr>
          <w:spacing w:val="-4"/>
        </w:rPr>
        <w:t> Data</w:t>
      </w:r>
    </w:p>
    <w:p>
      <w:pPr>
        <w:pStyle w:val="BodyText"/>
        <w:spacing w:before="21"/>
        <w:rPr>
          <w:b/>
        </w:rPr>
      </w:pPr>
    </w:p>
    <w:p>
      <w:pPr>
        <w:pStyle w:val="BodyText"/>
        <w:spacing w:line="360" w:lineRule="auto" w:before="1"/>
        <w:ind w:left="863" w:right="160" w:firstLine="600"/>
        <w:jc w:val="both"/>
      </w:pPr>
      <w:r>
        <w:rPr/>
        <w:t>Metode pengumpulan data dalam penelitian ini menggunakan data sekunder. Peneliti menggunakan buku, jurnal, dan situs web resmi seperti </w:t>
      </w:r>
      <w:hyperlink r:id="rId18">
        <w:r>
          <w:rPr/>
          <w:t>www.idx.co.id,</w:t>
        </w:r>
      </w:hyperlink>
      <w:r>
        <w:rPr/>
        <w:t> </w:t>
      </w:r>
      <w:hyperlink r:id="rId19">
        <w:r>
          <w:rPr/>
          <w:t>www.bi.go.id,</w:t>
        </w:r>
      </w:hyperlink>
      <w:r>
        <w:rPr>
          <w:spacing w:val="-14"/>
        </w:rPr>
        <w:t> </w:t>
      </w:r>
      <w:hyperlink r:id="rId20">
        <w:r>
          <w:rPr/>
          <w:t>www.bps.go.id,</w:t>
        </w:r>
      </w:hyperlink>
      <w:r>
        <w:rPr>
          <w:spacing w:val="-14"/>
        </w:rPr>
        <w:t> </w:t>
      </w:r>
      <w:r>
        <w:rPr/>
        <w:t>dan</w:t>
      </w:r>
      <w:r>
        <w:rPr>
          <w:spacing w:val="-14"/>
        </w:rPr>
        <w:t> </w:t>
      </w:r>
      <w:r>
        <w:rPr/>
        <w:t>lain-lain</w:t>
      </w:r>
      <w:r>
        <w:rPr>
          <w:spacing w:val="-14"/>
        </w:rPr>
        <w:t> </w:t>
      </w:r>
      <w:r>
        <w:rPr/>
        <w:t>untuk</w:t>
      </w:r>
      <w:r>
        <w:rPr>
          <w:spacing w:val="-14"/>
        </w:rPr>
        <w:t> </w:t>
      </w:r>
      <w:r>
        <w:rPr/>
        <w:t>mengumpulkan</w:t>
      </w:r>
      <w:r>
        <w:rPr>
          <w:spacing w:val="-15"/>
        </w:rPr>
        <w:t> </w:t>
      </w:r>
      <w:r>
        <w:rPr/>
        <w:t>informasi</w:t>
      </w:r>
      <w:r>
        <w:rPr>
          <w:spacing w:val="-14"/>
        </w:rPr>
        <w:t> </w:t>
      </w:r>
      <w:r>
        <w:rPr/>
        <w:t>dan</w:t>
      </w:r>
      <w:r>
        <w:rPr>
          <w:spacing w:val="-14"/>
        </w:rPr>
        <w:t> </w:t>
      </w:r>
      <w:r>
        <w:rPr/>
        <w:t>teori yang</w:t>
      </w:r>
      <w:r>
        <w:rPr>
          <w:spacing w:val="17"/>
        </w:rPr>
        <w:t> </w:t>
      </w:r>
      <w:r>
        <w:rPr/>
        <w:t>digunakan</w:t>
      </w:r>
      <w:r>
        <w:rPr>
          <w:spacing w:val="19"/>
        </w:rPr>
        <w:t> </w:t>
      </w:r>
      <w:r>
        <w:rPr/>
        <w:t>dalam</w:t>
      </w:r>
      <w:r>
        <w:rPr>
          <w:spacing w:val="19"/>
        </w:rPr>
        <w:t> </w:t>
      </w:r>
      <w:r>
        <w:rPr/>
        <w:t>penelitian</w:t>
      </w:r>
      <w:r>
        <w:rPr>
          <w:spacing w:val="19"/>
        </w:rPr>
        <w:t> </w:t>
      </w:r>
      <w:r>
        <w:rPr/>
        <w:t>ini.</w:t>
      </w:r>
      <w:r>
        <w:rPr>
          <w:spacing w:val="19"/>
        </w:rPr>
        <w:t> </w:t>
      </w:r>
      <w:r>
        <w:rPr/>
        <w:t>Data</w:t>
      </w:r>
      <w:r>
        <w:rPr>
          <w:spacing w:val="21"/>
        </w:rPr>
        <w:t> </w:t>
      </w:r>
      <w:r>
        <w:rPr/>
        <w:t>berupa</w:t>
      </w:r>
      <w:r>
        <w:rPr>
          <w:spacing w:val="17"/>
        </w:rPr>
        <w:t> </w:t>
      </w:r>
      <w:r>
        <w:rPr/>
        <w:t>Indeks</w:t>
      </w:r>
      <w:r>
        <w:rPr>
          <w:spacing w:val="19"/>
        </w:rPr>
        <w:t> </w:t>
      </w:r>
      <w:r>
        <w:rPr/>
        <w:t>Saham</w:t>
      </w:r>
      <w:r>
        <w:rPr>
          <w:spacing w:val="19"/>
        </w:rPr>
        <w:t> </w:t>
      </w:r>
      <w:r>
        <w:rPr/>
        <w:t>Syariah</w:t>
      </w:r>
      <w:r>
        <w:rPr>
          <w:spacing w:val="20"/>
        </w:rPr>
        <w:t> </w:t>
      </w:r>
      <w:r>
        <w:rPr>
          <w:spacing w:val="-2"/>
        </w:rPr>
        <w:t>Indonesia</w:t>
      </w:r>
    </w:p>
    <w:p>
      <w:pPr>
        <w:pStyle w:val="BodyText"/>
        <w:spacing w:line="360" w:lineRule="auto"/>
        <w:ind w:left="863" w:right="160"/>
        <w:jc w:val="both"/>
      </w:pPr>
      <w:r>
        <w:rPr/>
        <w:t>(Y) dapat dicari melalui situs web resmi </w:t>
      </w:r>
      <w:hyperlink r:id="rId18">
        <w:r>
          <w:rPr>
            <w:color w:val="0000FF"/>
            <w:u w:val="single" w:color="0000FF"/>
          </w:rPr>
          <w:t>www.idx.co.id</w:t>
        </w:r>
      </w:hyperlink>
      <w:r>
        <w:rPr>
          <w:color w:val="0000FF"/>
        </w:rPr>
        <w:t> </w:t>
      </w:r>
      <w:r>
        <w:rPr/>
        <w:t>dan indeks keyakinan konsumen (X1), nilai tukar (X2), inflasi (X3), dan Indeks Produksi Industri (X4) melalui laman </w:t>
      </w:r>
      <w:hyperlink r:id="rId19">
        <w:r>
          <w:rPr>
            <w:color w:val="0000FF"/>
            <w:u w:val="single" w:color="0000FF"/>
          </w:rPr>
          <w:t>www.bi.go.id</w:t>
        </w:r>
      </w:hyperlink>
      <w:r>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0"/>
        <w:rPr>
          <w:sz w:val="20"/>
        </w:rPr>
      </w:pPr>
      <w:r>
        <w:rPr>
          <w:sz w:val="20"/>
        </w:rPr>
        <mc:AlternateContent>
          <mc:Choice Requires="wps">
            <w:drawing>
              <wp:anchor distT="0" distB="0" distL="0" distR="0" allowOverlap="1" layoutInCell="1" locked="0" behindDoc="1" simplePos="0" relativeHeight="487611904">
                <wp:simplePos x="0" y="0"/>
                <wp:positionH relativeFrom="page">
                  <wp:posOffset>914704</wp:posOffset>
                </wp:positionH>
                <wp:positionV relativeFrom="paragraph">
                  <wp:posOffset>294628</wp:posOffset>
                </wp:positionV>
                <wp:extent cx="1829435" cy="9525"/>
                <wp:effectExtent l="0" t="0" r="0" b="0"/>
                <wp:wrapTopAndBottom/>
                <wp:docPr id="293" name="Graphic 293"/>
                <wp:cNvGraphicFramePr>
                  <a:graphicFrameLocks/>
                </wp:cNvGraphicFramePr>
                <a:graphic>
                  <a:graphicData uri="http://schemas.microsoft.com/office/word/2010/wordprocessingShape">
                    <wps:wsp>
                      <wps:cNvPr id="293" name="Graphic 293"/>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99095pt;width:144.020pt;height:.72003pt;mso-position-horizontal-relative:page;mso-position-vertical-relative:paragraph;z-index:-15704576;mso-wrap-distance-left:0;mso-wrap-distance-right:0" id="docshape265" filled="true" fillcolor="#000000" stroked="false">
                <v:fill type="solid"/>
                <w10:wrap type="topAndBottom"/>
              </v:rect>
            </w:pict>
          </mc:Fallback>
        </mc:AlternateContent>
      </w:r>
    </w:p>
    <w:p>
      <w:pPr>
        <w:spacing w:before="101"/>
        <w:ind w:left="23" w:right="0" w:firstLine="719"/>
        <w:jc w:val="left"/>
        <w:rPr>
          <w:sz w:val="20"/>
        </w:rPr>
      </w:pPr>
      <w:bookmarkStart w:name="_bookmark124" w:id="125"/>
      <w:bookmarkEnd w:id="125"/>
      <w:r>
        <w:rPr/>
      </w:r>
      <w:r>
        <w:rPr>
          <w:sz w:val="20"/>
          <w:vertAlign w:val="superscript"/>
        </w:rPr>
        <w:t>78</w:t>
      </w:r>
      <w:r>
        <w:rPr>
          <w:spacing w:val="40"/>
          <w:sz w:val="20"/>
          <w:vertAlign w:val="baseline"/>
        </w:rPr>
        <w:t> </w:t>
      </w:r>
      <w:r>
        <w:rPr>
          <w:sz w:val="20"/>
          <w:vertAlign w:val="baseline"/>
        </w:rPr>
        <w:t>Ratna</w:t>
      </w:r>
      <w:r>
        <w:rPr>
          <w:spacing w:val="40"/>
          <w:sz w:val="20"/>
          <w:vertAlign w:val="baseline"/>
        </w:rPr>
        <w:t> </w:t>
      </w:r>
      <w:r>
        <w:rPr>
          <w:sz w:val="20"/>
          <w:vertAlign w:val="baseline"/>
        </w:rPr>
        <w:t>Wijayanti</w:t>
      </w:r>
      <w:r>
        <w:rPr>
          <w:spacing w:val="40"/>
          <w:sz w:val="20"/>
          <w:vertAlign w:val="baseline"/>
        </w:rPr>
        <w:t> </w:t>
      </w:r>
      <w:r>
        <w:rPr>
          <w:sz w:val="20"/>
          <w:vertAlign w:val="baseline"/>
        </w:rPr>
        <w:t>D</w:t>
      </w:r>
      <w:r>
        <w:rPr>
          <w:spacing w:val="40"/>
          <w:sz w:val="20"/>
          <w:vertAlign w:val="baseline"/>
        </w:rPr>
        <w:t> </w:t>
      </w:r>
      <w:r>
        <w:rPr>
          <w:sz w:val="20"/>
          <w:vertAlign w:val="baseline"/>
        </w:rPr>
        <w:t>Paramita,</w:t>
      </w:r>
      <w:r>
        <w:rPr>
          <w:spacing w:val="40"/>
          <w:sz w:val="20"/>
          <w:vertAlign w:val="baseline"/>
        </w:rPr>
        <w:t> </w:t>
      </w:r>
      <w:r>
        <w:rPr>
          <w:sz w:val="20"/>
          <w:vertAlign w:val="baseline"/>
        </w:rPr>
        <w:t>Noviansyah</w:t>
      </w:r>
      <w:r>
        <w:rPr>
          <w:spacing w:val="40"/>
          <w:sz w:val="20"/>
          <w:vertAlign w:val="baseline"/>
        </w:rPr>
        <w:t> </w:t>
      </w:r>
      <w:r>
        <w:rPr>
          <w:sz w:val="20"/>
          <w:vertAlign w:val="baseline"/>
        </w:rPr>
        <w:t>Rizal,</w:t>
      </w:r>
      <w:r>
        <w:rPr>
          <w:spacing w:val="40"/>
          <w:sz w:val="20"/>
          <w:vertAlign w:val="baseline"/>
        </w:rPr>
        <w:t> </w:t>
      </w:r>
      <w:r>
        <w:rPr>
          <w:sz w:val="20"/>
          <w:vertAlign w:val="baseline"/>
        </w:rPr>
        <w:t>and</w:t>
      </w:r>
      <w:r>
        <w:rPr>
          <w:spacing w:val="40"/>
          <w:sz w:val="20"/>
          <w:vertAlign w:val="baseline"/>
        </w:rPr>
        <w:t> </w:t>
      </w:r>
      <w:r>
        <w:rPr>
          <w:sz w:val="20"/>
          <w:vertAlign w:val="baseline"/>
        </w:rPr>
        <w:t>Riza</w:t>
      </w:r>
      <w:r>
        <w:rPr>
          <w:spacing w:val="40"/>
          <w:sz w:val="20"/>
          <w:vertAlign w:val="baseline"/>
        </w:rPr>
        <w:t> </w:t>
      </w:r>
      <w:r>
        <w:rPr>
          <w:sz w:val="20"/>
          <w:vertAlign w:val="baseline"/>
        </w:rPr>
        <w:t>Bahtiar</w:t>
      </w:r>
      <w:r>
        <w:rPr>
          <w:spacing w:val="40"/>
          <w:sz w:val="20"/>
          <w:vertAlign w:val="baseline"/>
        </w:rPr>
        <w:t> </w:t>
      </w:r>
      <w:r>
        <w:rPr>
          <w:sz w:val="20"/>
          <w:vertAlign w:val="baseline"/>
        </w:rPr>
        <w:t>Sulistyan,</w:t>
      </w:r>
      <w:r>
        <w:rPr>
          <w:spacing w:val="40"/>
          <w:sz w:val="20"/>
          <w:vertAlign w:val="baseline"/>
        </w:rPr>
        <w:t> </w:t>
      </w:r>
      <w:r>
        <w:rPr>
          <w:i/>
          <w:sz w:val="20"/>
          <w:vertAlign w:val="baseline"/>
        </w:rPr>
        <w:t>Metode</w:t>
      </w:r>
      <w:r>
        <w:rPr>
          <w:i/>
          <w:spacing w:val="40"/>
          <w:sz w:val="20"/>
          <w:vertAlign w:val="baseline"/>
        </w:rPr>
        <w:t> </w:t>
      </w:r>
      <w:r>
        <w:rPr>
          <w:i/>
          <w:sz w:val="20"/>
          <w:vertAlign w:val="baseline"/>
        </w:rPr>
        <w:t>Penelitian Kuantitatif, Edisi 3 </w:t>
      </w:r>
      <w:r>
        <w:rPr>
          <w:sz w:val="20"/>
          <w:vertAlign w:val="baseline"/>
        </w:rPr>
        <w:t>(Lumajang: Widya Gama Press, 2021).</w:t>
      </w:r>
    </w:p>
    <w:p>
      <w:pPr>
        <w:spacing w:after="0"/>
        <w:jc w:val="left"/>
        <w:rPr>
          <w:sz w:val="20"/>
        </w:rPr>
        <w:sectPr>
          <w:pgSz w:w="11910" w:h="16840"/>
          <w:pgMar w:header="0" w:footer="1000" w:top="1360" w:bottom="1200" w:left="1417" w:right="1275"/>
        </w:sectPr>
      </w:pPr>
    </w:p>
    <w:p>
      <w:pPr>
        <w:pStyle w:val="Heading2"/>
        <w:numPr>
          <w:ilvl w:val="1"/>
          <w:numId w:val="23"/>
        </w:numPr>
        <w:tabs>
          <w:tab w:pos="862" w:val="left" w:leader="none"/>
        </w:tabs>
        <w:spacing w:line="240" w:lineRule="auto" w:before="60" w:after="0"/>
        <w:ind w:left="862" w:right="0" w:hanging="479"/>
        <w:jc w:val="left"/>
      </w:pPr>
      <w:bookmarkStart w:name="_bookmark125" w:id="126"/>
      <w:bookmarkEnd w:id="126"/>
      <w:r>
        <w:rPr>
          <w:b w:val="0"/>
        </w:rPr>
      </w:r>
      <w:r>
        <w:rPr/>
        <w:t>Definisi</w:t>
      </w:r>
      <w:r>
        <w:rPr>
          <w:spacing w:val="-2"/>
        </w:rPr>
        <w:t> Konseptual</w:t>
      </w:r>
    </w:p>
    <w:p>
      <w:pPr>
        <w:pStyle w:val="BodyText"/>
        <w:spacing w:before="22"/>
        <w:rPr>
          <w:b/>
        </w:rPr>
      </w:pPr>
    </w:p>
    <w:p>
      <w:pPr>
        <w:pStyle w:val="BodyText"/>
        <w:spacing w:line="360" w:lineRule="auto"/>
        <w:ind w:left="1463" w:right="159" w:firstLine="720"/>
        <w:jc w:val="both"/>
      </w:pPr>
      <w:r>
        <w:rPr/>
        <w:t>Baik</w:t>
      </w:r>
      <w:r>
        <w:rPr>
          <w:spacing w:val="-14"/>
        </w:rPr>
        <w:t> </w:t>
      </w:r>
      <w:r>
        <w:rPr/>
        <w:t>variabel</w:t>
      </w:r>
      <w:r>
        <w:rPr>
          <w:spacing w:val="-14"/>
        </w:rPr>
        <w:t> </w:t>
      </w:r>
      <w:r>
        <w:rPr/>
        <w:t>bebas</w:t>
      </w:r>
      <w:r>
        <w:rPr>
          <w:spacing w:val="-14"/>
        </w:rPr>
        <w:t> </w:t>
      </w:r>
      <w:r>
        <w:rPr/>
        <w:t>maupun</w:t>
      </w:r>
      <w:r>
        <w:rPr>
          <w:spacing w:val="-14"/>
        </w:rPr>
        <w:t> </w:t>
      </w:r>
      <w:r>
        <w:rPr/>
        <w:t>variabel</w:t>
      </w:r>
      <w:r>
        <w:rPr>
          <w:spacing w:val="-14"/>
        </w:rPr>
        <w:t> </w:t>
      </w:r>
      <w:r>
        <w:rPr/>
        <w:t>terikat</w:t>
      </w:r>
      <w:r>
        <w:rPr>
          <w:spacing w:val="-14"/>
        </w:rPr>
        <w:t> </w:t>
      </w:r>
      <w:r>
        <w:rPr/>
        <w:t>digunakan</w:t>
      </w:r>
      <w:r>
        <w:rPr>
          <w:spacing w:val="-14"/>
        </w:rPr>
        <w:t> </w:t>
      </w:r>
      <w:r>
        <w:rPr/>
        <w:t>dalam</w:t>
      </w:r>
      <w:r>
        <w:rPr>
          <w:spacing w:val="-14"/>
        </w:rPr>
        <w:t> </w:t>
      </w:r>
      <w:r>
        <w:rPr/>
        <w:t>penelitian ini.</w:t>
      </w:r>
      <w:r>
        <w:rPr>
          <w:spacing w:val="-7"/>
        </w:rPr>
        <w:t> </w:t>
      </w:r>
      <w:r>
        <w:rPr/>
        <w:t>Variabel</w:t>
      </w:r>
      <w:r>
        <w:rPr>
          <w:spacing w:val="-7"/>
        </w:rPr>
        <w:t> </w:t>
      </w:r>
      <w:r>
        <w:rPr/>
        <w:t>terikat</w:t>
      </w:r>
      <w:r>
        <w:rPr>
          <w:spacing w:val="-7"/>
        </w:rPr>
        <w:t> </w:t>
      </w:r>
      <w:r>
        <w:rPr/>
        <w:t>bergantung</w:t>
      </w:r>
      <w:r>
        <w:rPr>
          <w:spacing w:val="-7"/>
        </w:rPr>
        <w:t> </w:t>
      </w:r>
      <w:r>
        <w:rPr/>
        <w:t>pada</w:t>
      </w:r>
      <w:r>
        <w:rPr>
          <w:spacing w:val="-8"/>
        </w:rPr>
        <w:t> </w:t>
      </w:r>
      <w:r>
        <w:rPr/>
        <w:t>atau</w:t>
      </w:r>
      <w:r>
        <w:rPr>
          <w:spacing w:val="-7"/>
        </w:rPr>
        <w:t> </w:t>
      </w:r>
      <w:r>
        <w:rPr/>
        <w:t>dipengaruhi</w:t>
      </w:r>
      <w:r>
        <w:rPr>
          <w:spacing w:val="-7"/>
        </w:rPr>
        <w:t> </w:t>
      </w:r>
      <w:r>
        <w:rPr/>
        <w:t>oleh</w:t>
      </w:r>
      <w:r>
        <w:rPr>
          <w:spacing w:val="-7"/>
        </w:rPr>
        <w:t> </w:t>
      </w:r>
      <w:r>
        <w:rPr/>
        <w:t>faktor-faktor</w:t>
      </w:r>
      <w:r>
        <w:rPr>
          <w:spacing w:val="-7"/>
        </w:rPr>
        <w:t> </w:t>
      </w:r>
      <w:r>
        <w:rPr/>
        <w:t>bebas, sedangkan</w:t>
      </w:r>
      <w:r>
        <w:rPr>
          <w:spacing w:val="-7"/>
        </w:rPr>
        <w:t> </w:t>
      </w:r>
      <w:r>
        <w:rPr/>
        <w:t>variabel</w:t>
      </w:r>
      <w:r>
        <w:rPr>
          <w:spacing w:val="-6"/>
        </w:rPr>
        <w:t> </w:t>
      </w:r>
      <w:r>
        <w:rPr/>
        <w:t>bebas</w:t>
      </w:r>
      <w:r>
        <w:rPr>
          <w:spacing w:val="-5"/>
        </w:rPr>
        <w:t> </w:t>
      </w:r>
      <w:r>
        <w:rPr/>
        <w:t>adalah</w:t>
      </w:r>
      <w:r>
        <w:rPr>
          <w:spacing w:val="-6"/>
        </w:rPr>
        <w:t> </w:t>
      </w:r>
      <w:r>
        <w:rPr/>
        <w:t>variabel</w:t>
      </w:r>
      <w:r>
        <w:rPr>
          <w:spacing w:val="-6"/>
        </w:rPr>
        <w:t> </w:t>
      </w:r>
      <w:r>
        <w:rPr/>
        <w:t>yang</w:t>
      </w:r>
      <w:r>
        <w:rPr>
          <w:spacing w:val="-7"/>
        </w:rPr>
        <w:t> </w:t>
      </w:r>
      <w:r>
        <w:rPr/>
        <w:t>memengaruhi</w:t>
      </w:r>
      <w:r>
        <w:rPr>
          <w:spacing w:val="-7"/>
        </w:rPr>
        <w:t> </w:t>
      </w:r>
      <w:r>
        <w:rPr/>
        <w:t>variabel</w:t>
      </w:r>
      <w:r>
        <w:rPr>
          <w:spacing w:val="-6"/>
        </w:rPr>
        <w:t> </w:t>
      </w:r>
      <w:r>
        <w:rPr/>
        <w:t>terikat</w:t>
      </w:r>
      <w:hyperlink w:history="true" w:anchor="_bookmark127">
        <w:r>
          <w:rPr/>
          <w:t>.</w:t>
        </w:r>
        <w:r>
          <w:rPr>
            <w:vertAlign w:val="superscript"/>
          </w:rPr>
          <w:t>79</w:t>
        </w:r>
      </w:hyperlink>
      <w:r>
        <w:rPr>
          <w:vertAlign w:val="baseline"/>
        </w:rPr>
        <w:t> Variabel bebas dalam penelitian ini ialah Indeks Keyakinan Konsumen (X1), nilai tukar (X2), inflasi (X3), dan Indeks Produksi Industri (X4). Adapun variabel terikatnya ialah Indeks Saham Syariah Indonesia (Y).</w:t>
      </w:r>
    </w:p>
    <w:p>
      <w:pPr>
        <w:pStyle w:val="Heading2"/>
        <w:numPr>
          <w:ilvl w:val="2"/>
          <w:numId w:val="23"/>
        </w:numPr>
        <w:tabs>
          <w:tab w:pos="1283" w:val="left" w:leader="none"/>
        </w:tabs>
        <w:spacing w:line="240" w:lineRule="auto" w:before="161" w:after="0"/>
        <w:ind w:left="1283" w:right="0" w:hanging="540"/>
        <w:jc w:val="both"/>
      </w:pPr>
      <w:bookmarkStart w:name="_bookmark126" w:id="127"/>
      <w:bookmarkEnd w:id="127"/>
      <w:r>
        <w:rPr>
          <w:b w:val="0"/>
        </w:rPr>
      </w:r>
      <w:r>
        <w:rPr/>
        <w:t>Indeks</w:t>
      </w:r>
      <w:r>
        <w:rPr>
          <w:spacing w:val="-5"/>
        </w:rPr>
        <w:t> </w:t>
      </w:r>
      <w:r>
        <w:rPr/>
        <w:t>Saham</w:t>
      </w:r>
      <w:r>
        <w:rPr>
          <w:spacing w:val="-5"/>
        </w:rPr>
        <w:t> </w:t>
      </w:r>
      <w:r>
        <w:rPr/>
        <w:t>Syariah</w:t>
      </w:r>
      <w:r>
        <w:rPr>
          <w:spacing w:val="-2"/>
        </w:rPr>
        <w:t> Indonesia</w:t>
      </w:r>
    </w:p>
    <w:p>
      <w:pPr>
        <w:pStyle w:val="BodyText"/>
        <w:spacing w:before="23"/>
        <w:rPr>
          <w:b/>
        </w:rPr>
      </w:pPr>
    </w:p>
    <w:p>
      <w:pPr>
        <w:pStyle w:val="BodyText"/>
        <w:spacing w:line="360" w:lineRule="auto"/>
        <w:ind w:left="1463" w:right="158" w:firstLine="720"/>
        <w:jc w:val="both"/>
      </w:pPr>
      <w:r>
        <w:rPr/>
        <w:t>ISSI berfungsi sebagai alat ukur yang</w:t>
      </w:r>
      <w:r>
        <w:rPr>
          <w:spacing w:val="-3"/>
        </w:rPr>
        <w:t> </w:t>
      </w:r>
      <w:r>
        <w:rPr/>
        <w:t>menggambarkan pergerakan harga</w:t>
      </w:r>
      <w:r>
        <w:rPr>
          <w:spacing w:val="-4"/>
        </w:rPr>
        <w:t> </w:t>
      </w:r>
      <w:r>
        <w:rPr/>
        <w:t>saham-saham</w:t>
      </w:r>
      <w:r>
        <w:rPr>
          <w:spacing w:val="40"/>
        </w:rPr>
        <w:t> </w:t>
      </w:r>
      <w:r>
        <w:rPr/>
        <w:t>syariah</w:t>
      </w:r>
      <w:r>
        <w:rPr>
          <w:spacing w:val="40"/>
        </w:rPr>
        <w:t> </w:t>
      </w:r>
      <w:r>
        <w:rPr/>
        <w:t>secara</w:t>
      </w:r>
      <w:r>
        <w:rPr>
          <w:spacing w:val="40"/>
        </w:rPr>
        <w:t> </w:t>
      </w:r>
      <w:r>
        <w:rPr/>
        <w:t>keseluruhan.</w:t>
      </w:r>
      <w:r>
        <w:rPr>
          <w:spacing w:val="40"/>
        </w:rPr>
        <w:t> </w:t>
      </w:r>
      <w:r>
        <w:rPr/>
        <w:t>Indeks</w:t>
      </w:r>
      <w:r>
        <w:rPr>
          <w:spacing w:val="40"/>
        </w:rPr>
        <w:t> </w:t>
      </w:r>
      <w:r>
        <w:rPr/>
        <w:t>ini membantu investor</w:t>
      </w:r>
      <w:r>
        <w:rPr>
          <w:spacing w:val="-3"/>
        </w:rPr>
        <w:t> </w:t>
      </w:r>
      <w:r>
        <w:rPr/>
        <w:t>yang</w:t>
      </w:r>
      <w:r>
        <w:rPr>
          <w:spacing w:val="40"/>
        </w:rPr>
        <w:t> </w:t>
      </w:r>
      <w:r>
        <w:rPr/>
        <w:t>ingin</w:t>
      </w:r>
      <w:r>
        <w:rPr>
          <w:spacing w:val="40"/>
        </w:rPr>
        <w:t> </w:t>
      </w:r>
      <w:r>
        <w:rPr/>
        <w:t>berinvestasi</w:t>
      </w:r>
      <w:r>
        <w:rPr>
          <w:spacing w:val="40"/>
        </w:rPr>
        <w:t> </w:t>
      </w:r>
      <w:r>
        <w:rPr/>
        <w:t>sesuai</w:t>
      </w:r>
      <w:r>
        <w:rPr>
          <w:spacing w:val="-1"/>
        </w:rPr>
        <w:t> </w:t>
      </w:r>
      <w:r>
        <w:rPr/>
        <w:t>prinsip</w:t>
      </w:r>
      <w:r>
        <w:rPr>
          <w:spacing w:val="40"/>
        </w:rPr>
        <w:t> </w:t>
      </w:r>
      <w:r>
        <w:rPr/>
        <w:t>syariah</w:t>
      </w:r>
      <w:r>
        <w:rPr>
          <w:spacing w:val="40"/>
        </w:rPr>
        <w:t> </w:t>
      </w:r>
      <w:r>
        <w:rPr/>
        <w:t>Islam</w:t>
      </w:r>
      <w:r>
        <w:rPr>
          <w:spacing w:val="-1"/>
        </w:rPr>
        <w:t> </w:t>
      </w:r>
      <w:r>
        <w:rPr/>
        <w:t>dengan menyediakan</w:t>
      </w:r>
      <w:r>
        <w:rPr>
          <w:spacing w:val="-3"/>
        </w:rPr>
        <w:t> </w:t>
      </w:r>
      <w:r>
        <w:rPr/>
        <w:t>benchmark</w:t>
      </w:r>
      <w:r>
        <w:rPr>
          <w:spacing w:val="40"/>
        </w:rPr>
        <w:t> </w:t>
      </w:r>
      <w:r>
        <w:rPr/>
        <w:t>yang</w:t>
      </w:r>
      <w:r>
        <w:rPr>
          <w:spacing w:val="-3"/>
        </w:rPr>
        <w:t> </w:t>
      </w:r>
      <w:r>
        <w:rPr/>
        <w:t>transparan</w:t>
      </w:r>
      <w:r>
        <w:rPr>
          <w:spacing w:val="40"/>
        </w:rPr>
        <w:t> </w:t>
      </w:r>
      <w:r>
        <w:rPr/>
        <w:t>dan</w:t>
      </w:r>
      <w:r>
        <w:rPr>
          <w:spacing w:val="-3"/>
        </w:rPr>
        <w:t> </w:t>
      </w:r>
      <w:r>
        <w:rPr/>
        <w:t>terstandarisasi.</w:t>
      </w:r>
      <w:r>
        <w:rPr>
          <w:spacing w:val="40"/>
        </w:rPr>
        <w:t> </w:t>
      </w:r>
      <w:r>
        <w:rPr/>
        <w:t>Karena</w:t>
      </w:r>
      <w:r>
        <w:rPr>
          <w:spacing w:val="-2"/>
        </w:rPr>
        <w:t> </w:t>
      </w:r>
      <w:r>
        <w:rPr/>
        <w:t>ISSI mencakup semua saham syariah yang tercatat.</w:t>
      </w:r>
    </w:p>
    <w:p>
      <w:pPr>
        <w:pStyle w:val="BodyText"/>
        <w:spacing w:line="360" w:lineRule="auto"/>
        <w:ind w:left="1463" w:right="162" w:firstLine="720"/>
        <w:jc w:val="both"/>
      </w:pPr>
      <w:r>
        <w:rPr/>
        <w:t>ISSI melakukan review dan penyesuaian konstituen dua kali setahun sesuai</w:t>
      </w:r>
      <w:r>
        <w:rPr>
          <w:spacing w:val="-1"/>
        </w:rPr>
        <w:t> </w:t>
      </w:r>
      <w:r>
        <w:rPr/>
        <w:t>jadwal</w:t>
      </w:r>
      <w:r>
        <w:rPr>
          <w:spacing w:val="-1"/>
        </w:rPr>
        <w:t> </w:t>
      </w:r>
      <w:r>
        <w:rPr/>
        <w:t>DES</w:t>
      </w:r>
      <w:r>
        <w:rPr>
          <w:spacing w:val="-1"/>
        </w:rPr>
        <w:t> </w:t>
      </w:r>
      <w:r>
        <w:rPr/>
        <w:t>yang diterbitkan</w:t>
      </w:r>
      <w:r>
        <w:rPr>
          <w:spacing w:val="-1"/>
        </w:rPr>
        <w:t> </w:t>
      </w:r>
      <w:r>
        <w:rPr/>
        <w:t>OJK.</w:t>
      </w:r>
      <w:r>
        <w:rPr>
          <w:spacing w:val="-1"/>
        </w:rPr>
        <w:t> </w:t>
      </w:r>
      <w:r>
        <w:rPr/>
        <w:t>Proses</w:t>
      </w:r>
      <w:r>
        <w:rPr>
          <w:spacing w:val="-1"/>
        </w:rPr>
        <w:t> </w:t>
      </w:r>
      <w:r>
        <w:rPr/>
        <w:t>ini</w:t>
      </w:r>
      <w:r>
        <w:rPr>
          <w:spacing w:val="-1"/>
        </w:rPr>
        <w:t> </w:t>
      </w:r>
      <w:r>
        <w:rPr/>
        <w:t>melibatkan</w:t>
      </w:r>
      <w:r>
        <w:rPr>
          <w:spacing w:val="-1"/>
        </w:rPr>
        <w:t> </w:t>
      </w:r>
      <w:r>
        <w:rPr/>
        <w:t>evaluasi</w:t>
      </w:r>
      <w:r>
        <w:rPr>
          <w:spacing w:val="-1"/>
        </w:rPr>
        <w:t> </w:t>
      </w:r>
      <w:r>
        <w:rPr/>
        <w:t>ulang saham-saham yang memenuhi kriteria</w:t>
      </w:r>
      <w:r>
        <w:rPr>
          <w:spacing w:val="-1"/>
        </w:rPr>
        <w:t> </w:t>
      </w:r>
      <w:r>
        <w:rPr/>
        <w:t>syariah, sehingga saham yang tidak lagi memenuhi kriteria dapat dikeluarkan dan saham baru yang memenuhi kriteria dapat dimasukkan. Penyesuaian ini penting agar ISSI tetap relevan dan mencerminkan</w:t>
      </w:r>
      <w:r>
        <w:rPr>
          <w:spacing w:val="-15"/>
        </w:rPr>
        <w:t> </w:t>
      </w:r>
      <w:r>
        <w:rPr/>
        <w:t>kondisi</w:t>
      </w:r>
      <w:r>
        <w:rPr>
          <w:spacing w:val="-15"/>
        </w:rPr>
        <w:t> </w:t>
      </w:r>
      <w:r>
        <w:rPr/>
        <w:t>pasar</w:t>
      </w:r>
      <w:r>
        <w:rPr>
          <w:spacing w:val="-15"/>
        </w:rPr>
        <w:t> </w:t>
      </w:r>
      <w:r>
        <w:rPr/>
        <w:t>saham</w:t>
      </w:r>
      <w:r>
        <w:rPr>
          <w:spacing w:val="-15"/>
        </w:rPr>
        <w:t> </w:t>
      </w:r>
      <w:r>
        <w:rPr/>
        <w:t>syariah</w:t>
      </w:r>
      <w:r>
        <w:rPr>
          <w:spacing w:val="-15"/>
        </w:rPr>
        <w:t> </w:t>
      </w:r>
      <w:r>
        <w:rPr/>
        <w:t>yang</w:t>
      </w:r>
      <w:r>
        <w:rPr>
          <w:spacing w:val="-15"/>
        </w:rPr>
        <w:t> </w:t>
      </w:r>
      <w:r>
        <w:rPr/>
        <w:t>aktual.</w:t>
      </w:r>
      <w:r>
        <w:rPr>
          <w:spacing w:val="-15"/>
        </w:rPr>
        <w:t> </w:t>
      </w:r>
      <w:r>
        <w:rPr/>
        <w:t>Selain</w:t>
      </w:r>
      <w:r>
        <w:rPr>
          <w:spacing w:val="-15"/>
        </w:rPr>
        <w:t> </w:t>
      </w:r>
      <w:r>
        <w:rPr/>
        <w:t>itu,</w:t>
      </w:r>
      <w:r>
        <w:rPr>
          <w:spacing w:val="-15"/>
        </w:rPr>
        <w:t> </w:t>
      </w:r>
      <w:r>
        <w:rPr/>
        <w:t>penyesuaian juga dapat dilakukan sewaktu-waktu jika ada perubahan signifikan pada status saham syariah. ISSI berperan sebagai indikator utama kinerja pasar saham syariah Indonesia dan menjadi alat ukur bagi investor, analis, dan regulator dalam memantau perkembangan pasar modal syariah. Dengan meningkatnya minat masyarakat terhadap investasi syariah, ISSI menjadi semakin penting sebagai benchmark yang dapat digunakan untuk mengukur performa investasi dan mengembangkan produk keuangan syariah seperti reksa dana dan sukuk berbasis saham syariah. ISSI juga membantu memperkuat posisi Indonesia sebagai salah satu pusat pasar modal syariah terbesar di dunia.</w:t>
      </w:r>
    </w:p>
    <w:p>
      <w:pPr>
        <w:pStyle w:val="BodyText"/>
        <w:rPr>
          <w:sz w:val="20"/>
        </w:rPr>
      </w:pPr>
    </w:p>
    <w:p>
      <w:pPr>
        <w:pStyle w:val="BodyText"/>
        <w:rPr>
          <w:sz w:val="20"/>
        </w:rPr>
      </w:pPr>
    </w:p>
    <w:p>
      <w:pPr>
        <w:pStyle w:val="BodyText"/>
        <w:rPr>
          <w:sz w:val="20"/>
        </w:rPr>
      </w:pPr>
    </w:p>
    <w:p>
      <w:pPr>
        <w:pStyle w:val="BodyText"/>
        <w:spacing w:before="138"/>
        <w:rPr>
          <w:sz w:val="20"/>
        </w:rPr>
      </w:pPr>
      <w:r>
        <w:rPr>
          <w:sz w:val="20"/>
        </w:rPr>
        <mc:AlternateContent>
          <mc:Choice Requires="wps">
            <w:drawing>
              <wp:anchor distT="0" distB="0" distL="0" distR="0" allowOverlap="1" layoutInCell="1" locked="0" behindDoc="1" simplePos="0" relativeHeight="487612416">
                <wp:simplePos x="0" y="0"/>
                <wp:positionH relativeFrom="page">
                  <wp:posOffset>914704</wp:posOffset>
                </wp:positionH>
                <wp:positionV relativeFrom="paragraph">
                  <wp:posOffset>249342</wp:posOffset>
                </wp:positionV>
                <wp:extent cx="1829435" cy="9525"/>
                <wp:effectExtent l="0" t="0" r="0" b="0"/>
                <wp:wrapTopAndBottom/>
                <wp:docPr id="294" name="Graphic 294"/>
                <wp:cNvGraphicFramePr>
                  <a:graphicFrameLocks/>
                </wp:cNvGraphicFramePr>
                <a:graphic>
                  <a:graphicData uri="http://schemas.microsoft.com/office/word/2010/wordprocessingShape">
                    <wps:wsp>
                      <wps:cNvPr id="294" name="Graphic 294"/>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633291pt;width:144.020pt;height:.72003pt;mso-position-horizontal-relative:page;mso-position-vertical-relative:paragraph;z-index:-15704064;mso-wrap-distance-left:0;mso-wrap-distance-right:0" id="docshape266" filled="true" fillcolor="#000000" stroked="false">
                <v:fill type="solid"/>
                <w10:wrap type="topAndBottom"/>
              </v:rect>
            </w:pict>
          </mc:Fallback>
        </mc:AlternateContent>
      </w:r>
    </w:p>
    <w:p>
      <w:pPr>
        <w:spacing w:before="101"/>
        <w:ind w:left="743" w:right="0" w:firstLine="0"/>
        <w:jc w:val="left"/>
        <w:rPr>
          <w:sz w:val="20"/>
        </w:rPr>
      </w:pPr>
      <w:bookmarkStart w:name="_bookmark127" w:id="128"/>
      <w:bookmarkEnd w:id="128"/>
      <w:r>
        <w:rPr/>
      </w:r>
      <w:r>
        <w:rPr>
          <w:sz w:val="20"/>
          <w:vertAlign w:val="superscript"/>
        </w:rPr>
        <w:t>79</w:t>
      </w:r>
      <w:r>
        <w:rPr>
          <w:spacing w:val="-9"/>
          <w:sz w:val="20"/>
          <w:vertAlign w:val="baseline"/>
        </w:rPr>
        <w:t> </w:t>
      </w:r>
      <w:r>
        <w:rPr>
          <w:sz w:val="20"/>
          <w:vertAlign w:val="baseline"/>
        </w:rPr>
        <w:t>I</w:t>
      </w:r>
      <w:r>
        <w:rPr>
          <w:spacing w:val="-9"/>
          <w:sz w:val="20"/>
          <w:vertAlign w:val="baseline"/>
        </w:rPr>
        <w:t> </w:t>
      </w:r>
      <w:r>
        <w:rPr>
          <w:sz w:val="20"/>
          <w:vertAlign w:val="baseline"/>
        </w:rPr>
        <w:t>Komang</w:t>
      </w:r>
      <w:r>
        <w:rPr>
          <w:spacing w:val="-7"/>
          <w:sz w:val="20"/>
          <w:vertAlign w:val="baseline"/>
        </w:rPr>
        <w:t> </w:t>
      </w:r>
      <w:r>
        <w:rPr>
          <w:sz w:val="20"/>
          <w:vertAlign w:val="baseline"/>
        </w:rPr>
        <w:t>Arthana,</w:t>
      </w:r>
      <w:r>
        <w:rPr>
          <w:spacing w:val="-9"/>
          <w:sz w:val="20"/>
          <w:vertAlign w:val="baseline"/>
        </w:rPr>
        <w:t> </w:t>
      </w:r>
      <w:r>
        <w:rPr>
          <w:sz w:val="20"/>
          <w:vertAlign w:val="baseline"/>
        </w:rPr>
        <w:t>‘Analisis</w:t>
      </w:r>
      <w:r>
        <w:rPr>
          <w:spacing w:val="-9"/>
          <w:sz w:val="20"/>
          <w:vertAlign w:val="baseline"/>
        </w:rPr>
        <w:t> </w:t>
      </w:r>
      <w:r>
        <w:rPr>
          <w:sz w:val="20"/>
          <w:vertAlign w:val="baseline"/>
        </w:rPr>
        <w:t>Faktor-Faktor</w:t>
      </w:r>
      <w:r>
        <w:rPr>
          <w:spacing w:val="-9"/>
          <w:sz w:val="20"/>
          <w:vertAlign w:val="baseline"/>
        </w:rPr>
        <w:t> </w:t>
      </w:r>
      <w:r>
        <w:rPr>
          <w:sz w:val="20"/>
          <w:vertAlign w:val="baseline"/>
        </w:rPr>
        <w:t>Terjadinya</w:t>
      </w:r>
      <w:r>
        <w:rPr>
          <w:spacing w:val="-8"/>
          <w:sz w:val="20"/>
          <w:vertAlign w:val="baseline"/>
        </w:rPr>
        <w:t> </w:t>
      </w:r>
      <w:r>
        <w:rPr>
          <w:sz w:val="20"/>
          <w:vertAlign w:val="baseline"/>
        </w:rPr>
        <w:t>Kecurangan</w:t>
      </w:r>
      <w:r>
        <w:rPr>
          <w:spacing w:val="-8"/>
          <w:sz w:val="20"/>
          <w:vertAlign w:val="baseline"/>
        </w:rPr>
        <w:t> </w:t>
      </w:r>
      <w:r>
        <w:rPr>
          <w:sz w:val="20"/>
          <w:vertAlign w:val="baseline"/>
        </w:rPr>
        <w:t>(Fraud)</w:t>
      </w:r>
      <w:r>
        <w:rPr>
          <w:spacing w:val="-9"/>
          <w:sz w:val="20"/>
          <w:vertAlign w:val="baseline"/>
        </w:rPr>
        <w:t> </w:t>
      </w:r>
      <w:r>
        <w:rPr>
          <w:sz w:val="20"/>
          <w:vertAlign w:val="baseline"/>
        </w:rPr>
        <w:t>Dalam</w:t>
      </w:r>
      <w:r>
        <w:rPr>
          <w:spacing w:val="-8"/>
          <w:sz w:val="20"/>
          <w:vertAlign w:val="baseline"/>
        </w:rPr>
        <w:t> </w:t>
      </w:r>
      <w:r>
        <w:rPr>
          <w:sz w:val="20"/>
          <w:vertAlign w:val="baseline"/>
        </w:rPr>
        <w:t>Pengelolaan</w:t>
      </w:r>
      <w:r>
        <w:rPr>
          <w:spacing w:val="-8"/>
          <w:sz w:val="20"/>
          <w:vertAlign w:val="baseline"/>
        </w:rPr>
        <w:t> </w:t>
      </w:r>
      <w:r>
        <w:rPr>
          <w:spacing w:val="-4"/>
          <w:sz w:val="20"/>
          <w:vertAlign w:val="baseline"/>
        </w:rPr>
        <w:t>Dana</w:t>
      </w:r>
    </w:p>
    <w:p>
      <w:pPr>
        <w:spacing w:before="0"/>
        <w:ind w:left="23" w:right="0" w:firstLine="0"/>
        <w:jc w:val="left"/>
        <w:rPr>
          <w:sz w:val="20"/>
        </w:rPr>
      </w:pPr>
      <w:r>
        <w:rPr>
          <w:sz w:val="20"/>
        </w:rPr>
        <w:t>Desa</w:t>
      </w:r>
      <w:r>
        <w:rPr>
          <w:spacing w:val="-13"/>
          <w:sz w:val="20"/>
        </w:rPr>
        <w:t> </w:t>
      </w:r>
      <w:r>
        <w:rPr>
          <w:sz w:val="20"/>
        </w:rPr>
        <w:t>Pada</w:t>
      </w:r>
      <w:r>
        <w:rPr>
          <w:spacing w:val="-12"/>
          <w:sz w:val="20"/>
        </w:rPr>
        <w:t> </w:t>
      </w:r>
      <w:r>
        <w:rPr>
          <w:sz w:val="20"/>
        </w:rPr>
        <w:t>Kecamatan</w:t>
      </w:r>
      <w:r>
        <w:rPr>
          <w:spacing w:val="-11"/>
          <w:sz w:val="20"/>
        </w:rPr>
        <w:t> </w:t>
      </w:r>
      <w:r>
        <w:rPr>
          <w:sz w:val="20"/>
        </w:rPr>
        <w:t>Amabi</w:t>
      </w:r>
      <w:r>
        <w:rPr>
          <w:spacing w:val="-13"/>
          <w:sz w:val="20"/>
        </w:rPr>
        <w:t> </w:t>
      </w:r>
      <w:r>
        <w:rPr>
          <w:sz w:val="20"/>
        </w:rPr>
        <w:t>Oefeto</w:t>
      </w:r>
      <w:r>
        <w:rPr>
          <w:spacing w:val="-10"/>
          <w:sz w:val="20"/>
        </w:rPr>
        <w:t> </w:t>
      </w:r>
      <w:r>
        <w:rPr>
          <w:sz w:val="20"/>
        </w:rPr>
        <w:t>Timur’,</w:t>
      </w:r>
      <w:r>
        <w:rPr>
          <w:spacing w:val="-9"/>
          <w:sz w:val="20"/>
        </w:rPr>
        <w:t> </w:t>
      </w:r>
      <w:r>
        <w:rPr>
          <w:i/>
          <w:sz w:val="20"/>
        </w:rPr>
        <w:t>JURNAL</w:t>
      </w:r>
      <w:r>
        <w:rPr>
          <w:i/>
          <w:spacing w:val="-11"/>
          <w:sz w:val="20"/>
        </w:rPr>
        <w:t> </w:t>
      </w:r>
      <w:r>
        <w:rPr>
          <w:i/>
          <w:sz w:val="20"/>
        </w:rPr>
        <w:t>AKUNTANSI</w:t>
      </w:r>
      <w:r>
        <w:rPr>
          <w:i/>
          <w:spacing w:val="-13"/>
          <w:sz w:val="20"/>
        </w:rPr>
        <w:t> </w:t>
      </w:r>
      <w:r>
        <w:rPr>
          <w:i/>
          <w:sz w:val="20"/>
        </w:rPr>
        <w:t>:</w:t>
      </w:r>
      <w:r>
        <w:rPr>
          <w:i/>
          <w:spacing w:val="-11"/>
          <w:sz w:val="20"/>
        </w:rPr>
        <w:t> </w:t>
      </w:r>
      <w:r>
        <w:rPr>
          <w:i/>
          <w:sz w:val="20"/>
        </w:rPr>
        <w:t>TRANSPARANSI</w:t>
      </w:r>
      <w:r>
        <w:rPr>
          <w:i/>
          <w:spacing w:val="-10"/>
          <w:sz w:val="20"/>
        </w:rPr>
        <w:t> </w:t>
      </w:r>
      <w:r>
        <w:rPr>
          <w:i/>
          <w:sz w:val="20"/>
        </w:rPr>
        <w:t>DAN</w:t>
      </w:r>
      <w:r>
        <w:rPr>
          <w:i/>
          <w:spacing w:val="-13"/>
          <w:sz w:val="20"/>
        </w:rPr>
        <w:t> </w:t>
      </w:r>
      <w:r>
        <w:rPr>
          <w:i/>
          <w:spacing w:val="-2"/>
          <w:sz w:val="20"/>
        </w:rPr>
        <w:t>AKUNTABILITAS</w:t>
      </w:r>
      <w:r>
        <w:rPr>
          <w:spacing w:val="-2"/>
          <w:sz w:val="20"/>
        </w:rPr>
        <w:t>,</w:t>
      </w:r>
    </w:p>
    <w:p>
      <w:pPr>
        <w:spacing w:before="1"/>
        <w:ind w:left="23" w:right="0" w:firstLine="0"/>
        <w:jc w:val="left"/>
        <w:rPr>
          <w:sz w:val="20"/>
        </w:rPr>
      </w:pPr>
      <w:r>
        <w:rPr>
          <w:sz w:val="20"/>
        </w:rPr>
        <w:t>7.1</w:t>
      </w:r>
      <w:r>
        <w:rPr>
          <w:spacing w:val="-4"/>
          <w:sz w:val="20"/>
        </w:rPr>
        <w:t> </w:t>
      </w:r>
      <w:r>
        <w:rPr>
          <w:sz w:val="20"/>
        </w:rPr>
        <w:t>(2019),</w:t>
      </w:r>
      <w:r>
        <w:rPr>
          <w:spacing w:val="-4"/>
          <w:sz w:val="20"/>
        </w:rPr>
        <w:t> </w:t>
      </w:r>
      <w:r>
        <w:rPr>
          <w:sz w:val="20"/>
        </w:rPr>
        <w:t>35–43</w:t>
      </w:r>
      <w:r>
        <w:rPr>
          <w:spacing w:val="-4"/>
          <w:sz w:val="20"/>
        </w:rPr>
        <w:t> </w:t>
      </w:r>
      <w:r>
        <w:rPr>
          <w:spacing w:val="-2"/>
          <w:sz w:val="20"/>
        </w:rPr>
        <w:t>&lt;https://doi.org/10.35508/jak.v7i1.1302&gt;.</w:t>
      </w:r>
    </w:p>
    <w:p>
      <w:pPr>
        <w:spacing w:after="0"/>
        <w:jc w:val="left"/>
        <w:rPr>
          <w:sz w:val="20"/>
        </w:rPr>
        <w:sectPr>
          <w:pgSz w:w="11910" w:h="16840"/>
          <w:pgMar w:header="0" w:footer="1000" w:top="1360" w:bottom="1200" w:left="1417" w:right="1275"/>
        </w:sectPr>
      </w:pPr>
    </w:p>
    <w:p>
      <w:pPr>
        <w:pStyle w:val="Heading2"/>
        <w:numPr>
          <w:ilvl w:val="2"/>
          <w:numId w:val="23"/>
        </w:numPr>
        <w:tabs>
          <w:tab w:pos="1283" w:val="left" w:leader="none"/>
        </w:tabs>
        <w:spacing w:line="240" w:lineRule="auto" w:before="60" w:after="0"/>
        <w:ind w:left="1283" w:right="0" w:hanging="540"/>
        <w:jc w:val="left"/>
      </w:pPr>
      <w:bookmarkStart w:name="_bookmark128" w:id="129"/>
      <w:bookmarkEnd w:id="129"/>
      <w:r>
        <w:rPr>
          <w:b w:val="0"/>
        </w:rPr>
      </w:r>
      <w:r>
        <w:rPr/>
        <w:t>Indeks</w:t>
      </w:r>
      <w:r>
        <w:rPr>
          <w:spacing w:val="-4"/>
        </w:rPr>
        <w:t> </w:t>
      </w:r>
      <w:r>
        <w:rPr/>
        <w:t>Keyakinan</w:t>
      </w:r>
      <w:r>
        <w:rPr>
          <w:spacing w:val="-4"/>
        </w:rPr>
        <w:t> </w:t>
      </w:r>
      <w:r>
        <w:rPr>
          <w:spacing w:val="-2"/>
        </w:rPr>
        <w:t>Konsumen</w:t>
      </w:r>
    </w:p>
    <w:p>
      <w:pPr>
        <w:pStyle w:val="BodyText"/>
        <w:spacing w:before="22"/>
        <w:rPr>
          <w:b/>
        </w:rPr>
      </w:pPr>
    </w:p>
    <w:p>
      <w:pPr>
        <w:pStyle w:val="BodyText"/>
        <w:spacing w:line="360" w:lineRule="auto"/>
        <w:ind w:left="1463" w:right="162" w:firstLine="720"/>
        <w:jc w:val="both"/>
      </w:pPr>
      <w:r>
        <w:rPr/>
        <w:t>Kondisi ekonomi domestik dan global dapat berdampak pada pilihan investor untuk melakukan investasi. Harga dan imbal hasil saham dipengaruhi oleh kondisi pasar dan responnya dapat diklasifikasikan menjadi positif atau negatif berdasarkan penelitian. Indeks Keyakinan Konsumen merupakan rata- rata</w:t>
      </w:r>
      <w:r>
        <w:rPr>
          <w:spacing w:val="-4"/>
        </w:rPr>
        <w:t> </w:t>
      </w:r>
      <w:r>
        <w:rPr/>
        <w:t>sederhana</w:t>
      </w:r>
      <w:r>
        <w:rPr>
          <w:spacing w:val="-5"/>
        </w:rPr>
        <w:t> </w:t>
      </w:r>
      <w:r>
        <w:rPr/>
        <w:t>dari</w:t>
      </w:r>
      <w:r>
        <w:rPr>
          <w:spacing w:val="-3"/>
        </w:rPr>
        <w:t> </w:t>
      </w:r>
      <w:r>
        <w:rPr/>
        <w:t>Indeks</w:t>
      </w:r>
      <w:r>
        <w:rPr>
          <w:spacing w:val="-5"/>
        </w:rPr>
        <w:t> </w:t>
      </w:r>
      <w:r>
        <w:rPr/>
        <w:t>Ekspektasi</w:t>
      </w:r>
      <w:r>
        <w:rPr>
          <w:spacing w:val="-4"/>
        </w:rPr>
        <w:t> </w:t>
      </w:r>
      <w:r>
        <w:rPr/>
        <w:t>Konsumen</w:t>
      </w:r>
      <w:r>
        <w:rPr>
          <w:spacing w:val="-1"/>
        </w:rPr>
        <w:t> </w:t>
      </w:r>
      <w:r>
        <w:rPr/>
        <w:t>dan</w:t>
      </w:r>
      <w:r>
        <w:rPr>
          <w:spacing w:val="-2"/>
        </w:rPr>
        <w:t> </w:t>
      </w:r>
      <w:r>
        <w:rPr/>
        <w:t>Indeks</w:t>
      </w:r>
      <w:r>
        <w:rPr>
          <w:spacing w:val="-2"/>
        </w:rPr>
        <w:t> </w:t>
      </w:r>
      <w:r>
        <w:rPr/>
        <w:t>Kondisi</w:t>
      </w:r>
      <w:r>
        <w:rPr>
          <w:spacing w:val="-4"/>
        </w:rPr>
        <w:t> </w:t>
      </w:r>
      <w:r>
        <w:rPr/>
        <w:t>Ekonomi Saat Ini, menurut penjelasan Metadata Bank Indonesia. Dengan membandingkan kondisi saat ini dengan kondisi enam bulan lalu, Indeks Kondisi Ekonomi Saat Ini menghitung keyakinan konsumen terhadap pendapatan saat ini, ketepatan waktu pembelian barang tahan lama, dan ketersediaan</w:t>
      </w:r>
      <w:r>
        <w:rPr>
          <w:spacing w:val="-5"/>
        </w:rPr>
        <w:t> </w:t>
      </w:r>
      <w:r>
        <w:rPr/>
        <w:t>lapangan</w:t>
      </w:r>
      <w:r>
        <w:rPr>
          <w:spacing w:val="-5"/>
        </w:rPr>
        <w:t> </w:t>
      </w:r>
      <w:r>
        <w:rPr/>
        <w:t>kerja.</w:t>
      </w:r>
      <w:r>
        <w:rPr>
          <w:spacing w:val="-5"/>
        </w:rPr>
        <w:t> </w:t>
      </w:r>
      <w:r>
        <w:rPr/>
        <w:t>Keyakinan</w:t>
      </w:r>
      <w:r>
        <w:rPr>
          <w:spacing w:val="-5"/>
        </w:rPr>
        <w:t> </w:t>
      </w:r>
      <w:r>
        <w:rPr/>
        <w:t>konsumen</w:t>
      </w:r>
      <w:r>
        <w:rPr>
          <w:spacing w:val="-5"/>
        </w:rPr>
        <w:t> </w:t>
      </w:r>
      <w:r>
        <w:rPr/>
        <w:t>terhadap</w:t>
      </w:r>
      <w:r>
        <w:rPr>
          <w:spacing w:val="-3"/>
        </w:rPr>
        <w:t> </w:t>
      </w:r>
      <w:r>
        <w:rPr/>
        <w:t>ekspektasi</w:t>
      </w:r>
      <w:r>
        <w:rPr>
          <w:spacing w:val="-5"/>
        </w:rPr>
        <w:t> </w:t>
      </w:r>
      <w:r>
        <w:rPr/>
        <w:t>kondisi ekonomi enam bulan mendatang relatif terhadap kondisi saat ini, termasuk ekspektasi pendapatan, kondisi umum perekonomian Indonesia (dunia usaha), dan ketersediaan lapangan kerja, dimasukkan dalam Indeks Ekspektasi Konsumen</w:t>
      </w:r>
      <w:hyperlink w:history="true" w:anchor="_bookmark129">
        <w:r>
          <w:rPr/>
          <w:t>.</w:t>
        </w:r>
        <w:r>
          <w:rPr>
            <w:vertAlign w:val="superscript"/>
          </w:rPr>
          <w:t>80</w:t>
        </w:r>
      </w:hyperlink>
      <w:r>
        <w:rPr>
          <w:vertAlign w:val="baseline"/>
        </w:rPr>
        <w:t> Untuk menghitung Indeks Keyakinan Konsumen (IKK) dapat menggunakan rumus sebagai berikut:</w:t>
      </w:r>
    </w:p>
    <w:p>
      <w:pPr>
        <w:pStyle w:val="BodyText"/>
        <w:spacing w:before="1"/>
        <w:ind w:left="3592"/>
        <w:rPr>
          <w:rFonts w:ascii="Cambria Math" w:hAnsi="Cambria Math" w:eastAsia="Cambria Math"/>
        </w:rPr>
      </w:pPr>
      <w:r>
        <w:rPr>
          <w:rFonts w:ascii="Cambria Math" w:hAnsi="Cambria Math" w:eastAsia="Cambria Math"/>
        </w:rPr>
        <w:t>𝐼𝐾𝐾</w:t>
      </w:r>
      <w:r>
        <w:rPr>
          <w:rFonts w:ascii="Cambria Math" w:hAnsi="Cambria Math" w:eastAsia="Cambria Math"/>
          <w:spacing w:val="19"/>
        </w:rPr>
        <w:t> </w:t>
      </w:r>
      <w:r>
        <w:rPr>
          <w:rFonts w:ascii="Cambria Math" w:hAnsi="Cambria Math" w:eastAsia="Cambria Math"/>
        </w:rPr>
        <w:t>=</w:t>
      </w:r>
      <w:r>
        <w:rPr>
          <w:rFonts w:ascii="Cambria Math" w:hAnsi="Cambria Math" w:eastAsia="Cambria Math"/>
          <w:spacing w:val="14"/>
        </w:rPr>
        <w:t> </w:t>
      </w:r>
      <w:r>
        <w:rPr>
          <w:rFonts w:ascii="Cambria Math" w:hAnsi="Cambria Math" w:eastAsia="Cambria Math"/>
        </w:rPr>
        <w:t>𝑆𝐵</w:t>
      </w:r>
      <w:r>
        <w:rPr>
          <w:rFonts w:ascii="Cambria Math" w:hAnsi="Cambria Math" w:eastAsia="Cambria Math"/>
          <w:spacing w:val="5"/>
        </w:rPr>
        <w:t> </w:t>
      </w:r>
      <w:r>
        <w:rPr>
          <w:rFonts w:ascii="Cambria Math" w:hAnsi="Cambria Math" w:eastAsia="Cambria Math"/>
        </w:rPr>
        <w:t>− 𝑁𝑒𝑡</w:t>
      </w:r>
      <w:r>
        <w:rPr>
          <w:rFonts w:ascii="Cambria Math" w:hAnsi="Cambria Math" w:eastAsia="Cambria Math"/>
          <w:spacing w:val="6"/>
        </w:rPr>
        <w:t> </w:t>
      </w:r>
      <w:r>
        <w:rPr>
          <w:rFonts w:ascii="Cambria Math" w:hAnsi="Cambria Math" w:eastAsia="Cambria Math"/>
        </w:rPr>
        <w:t>𝐵𝑎𝑙𝑎𝑛𝑐𝑒</w:t>
      </w:r>
      <w:r>
        <w:rPr>
          <w:rFonts w:ascii="Cambria Math" w:hAnsi="Cambria Math" w:eastAsia="Cambria Math"/>
          <w:spacing w:val="3"/>
        </w:rPr>
        <w:t> </w:t>
      </w:r>
      <w:r>
        <w:rPr>
          <w:rFonts w:ascii="Cambria Math" w:hAnsi="Cambria Math" w:eastAsia="Cambria Math"/>
        </w:rPr>
        <w:t>+ </w:t>
      </w:r>
      <w:r>
        <w:rPr>
          <w:rFonts w:ascii="Cambria Math" w:hAnsi="Cambria Math" w:eastAsia="Cambria Math"/>
          <w:spacing w:val="-5"/>
        </w:rPr>
        <w:t>100</w:t>
      </w:r>
    </w:p>
    <w:p>
      <w:pPr>
        <w:pStyle w:val="BodyText"/>
        <w:spacing w:line="360" w:lineRule="auto" w:before="140"/>
        <w:ind w:left="1463" w:right="160" w:firstLine="720"/>
        <w:jc w:val="both"/>
      </w:pPr>
      <w:r>
        <w:rPr/>
        <w:t>Saat</w:t>
      </w:r>
      <w:r>
        <w:rPr>
          <w:spacing w:val="-7"/>
        </w:rPr>
        <w:t> </w:t>
      </w:r>
      <w:r>
        <w:rPr/>
        <w:t>menghitung</w:t>
      </w:r>
      <w:r>
        <w:rPr>
          <w:spacing w:val="-5"/>
        </w:rPr>
        <w:t> </w:t>
      </w:r>
      <w:r>
        <w:rPr/>
        <w:t>Indeks</w:t>
      </w:r>
      <w:r>
        <w:rPr>
          <w:spacing w:val="-6"/>
        </w:rPr>
        <w:t> </w:t>
      </w:r>
      <w:r>
        <w:rPr/>
        <w:t>Kepercayaan</w:t>
      </w:r>
      <w:r>
        <w:rPr>
          <w:spacing w:val="-8"/>
        </w:rPr>
        <w:t> </w:t>
      </w:r>
      <w:r>
        <w:rPr/>
        <w:t>Konsumen</w:t>
      </w:r>
      <w:r>
        <w:rPr>
          <w:spacing w:val="-4"/>
        </w:rPr>
        <w:t> </w:t>
      </w:r>
      <w:r>
        <w:rPr/>
        <w:t>(IKK),</w:t>
      </w:r>
      <w:r>
        <w:rPr>
          <w:spacing w:val="-6"/>
        </w:rPr>
        <w:t> </w:t>
      </w:r>
      <w:r>
        <w:rPr/>
        <w:t>hasilnya</w:t>
      </w:r>
      <w:r>
        <w:rPr>
          <w:spacing w:val="-9"/>
        </w:rPr>
        <w:t> </w:t>
      </w:r>
      <w:r>
        <w:rPr/>
        <w:t>dapat ditafsirkan sebagai optimis atau pesimis, tergantung pada apakah nilai indeks berada di atas atau di bawah 100. Indeks Keyakinan Konsumen (IKK) dinilai dari indeks ekspektasi konsumen dan indeks ekonomi saat ini yang berkaitan dengan kondisi ekonomi negara. Indeks ekonomi saat ini menggabungkan optimisme konsumen perihal pendapatan masa sekarang, kecepatan pembelian barang</w:t>
      </w:r>
      <w:r>
        <w:rPr>
          <w:spacing w:val="-9"/>
        </w:rPr>
        <w:t> </w:t>
      </w:r>
      <w:r>
        <w:rPr/>
        <w:t>tahan</w:t>
      </w:r>
      <w:r>
        <w:rPr>
          <w:spacing w:val="-9"/>
        </w:rPr>
        <w:t> </w:t>
      </w:r>
      <w:r>
        <w:rPr/>
        <w:t>lama,</w:t>
      </w:r>
      <w:r>
        <w:rPr>
          <w:spacing w:val="-9"/>
        </w:rPr>
        <w:t> </w:t>
      </w:r>
      <w:r>
        <w:rPr/>
        <w:t>serta</w:t>
      </w:r>
      <w:r>
        <w:rPr>
          <w:spacing w:val="-8"/>
        </w:rPr>
        <w:t> </w:t>
      </w:r>
      <w:r>
        <w:rPr/>
        <w:t>kemudahan</w:t>
      </w:r>
      <w:r>
        <w:rPr>
          <w:spacing w:val="-9"/>
        </w:rPr>
        <w:t> </w:t>
      </w:r>
      <w:r>
        <w:rPr/>
        <w:t>akses</w:t>
      </w:r>
      <w:r>
        <w:rPr>
          <w:spacing w:val="-9"/>
        </w:rPr>
        <w:t> </w:t>
      </w:r>
      <w:r>
        <w:rPr/>
        <w:t>ketenagakerjaan.</w:t>
      </w:r>
      <w:r>
        <w:rPr>
          <w:spacing w:val="-8"/>
        </w:rPr>
        <w:t> </w:t>
      </w:r>
      <w:r>
        <w:rPr/>
        <w:t>Adapun</w:t>
      </w:r>
      <w:r>
        <w:rPr>
          <w:spacing w:val="-9"/>
        </w:rPr>
        <w:t> </w:t>
      </w:r>
      <w:r>
        <w:rPr/>
        <w:t>keyakinan konsumen</w:t>
      </w:r>
      <w:r>
        <w:rPr>
          <w:spacing w:val="-15"/>
        </w:rPr>
        <w:t> </w:t>
      </w:r>
      <w:r>
        <w:rPr/>
        <w:t>terhadap</w:t>
      </w:r>
      <w:r>
        <w:rPr>
          <w:spacing w:val="-15"/>
        </w:rPr>
        <w:t> </w:t>
      </w:r>
      <w:r>
        <w:rPr/>
        <w:t>ekspektasi</w:t>
      </w:r>
      <w:r>
        <w:rPr>
          <w:spacing w:val="-15"/>
        </w:rPr>
        <w:t> </w:t>
      </w:r>
      <w:r>
        <w:rPr/>
        <w:t>keuangan</w:t>
      </w:r>
      <w:r>
        <w:rPr>
          <w:spacing w:val="-15"/>
        </w:rPr>
        <w:t> </w:t>
      </w:r>
      <w:r>
        <w:rPr/>
        <w:t>mereka</w:t>
      </w:r>
      <w:r>
        <w:rPr>
          <w:spacing w:val="-15"/>
        </w:rPr>
        <w:t> </w:t>
      </w:r>
      <w:r>
        <w:rPr/>
        <w:t>selama</w:t>
      </w:r>
      <w:r>
        <w:rPr>
          <w:spacing w:val="-15"/>
        </w:rPr>
        <w:t> </w:t>
      </w:r>
      <w:r>
        <w:rPr/>
        <w:t>enam</w:t>
      </w:r>
      <w:r>
        <w:rPr>
          <w:spacing w:val="-15"/>
        </w:rPr>
        <w:t> </w:t>
      </w:r>
      <w:r>
        <w:rPr/>
        <w:t>bulan</w:t>
      </w:r>
      <w:r>
        <w:rPr>
          <w:spacing w:val="-15"/>
        </w:rPr>
        <w:t> </w:t>
      </w:r>
      <w:r>
        <w:rPr/>
        <w:t>mendatang jika dibandingkan dengan bulan saat ini, termasuk didalamnya terdapat ekspektasi</w:t>
      </w:r>
      <w:r>
        <w:rPr>
          <w:spacing w:val="-7"/>
        </w:rPr>
        <w:t> </w:t>
      </w:r>
      <w:r>
        <w:rPr/>
        <w:t>pendapatan,</w:t>
      </w:r>
      <w:r>
        <w:rPr>
          <w:spacing w:val="-5"/>
        </w:rPr>
        <w:t> </w:t>
      </w:r>
      <w:r>
        <w:rPr/>
        <w:t>kondisi</w:t>
      </w:r>
      <w:r>
        <w:rPr>
          <w:spacing w:val="-6"/>
        </w:rPr>
        <w:t> </w:t>
      </w:r>
      <w:r>
        <w:rPr/>
        <w:t>bisnis,</w:t>
      </w:r>
      <w:r>
        <w:rPr>
          <w:spacing w:val="-7"/>
        </w:rPr>
        <w:t> </w:t>
      </w:r>
      <w:r>
        <w:rPr/>
        <w:t>ekonomi</w:t>
      </w:r>
      <w:r>
        <w:rPr>
          <w:spacing w:val="-6"/>
        </w:rPr>
        <w:t> </w:t>
      </w:r>
      <w:r>
        <w:rPr/>
        <w:t>secara</w:t>
      </w:r>
      <w:r>
        <w:rPr>
          <w:spacing w:val="-6"/>
        </w:rPr>
        <w:t> </w:t>
      </w:r>
      <w:r>
        <w:rPr/>
        <w:t>umum</w:t>
      </w:r>
      <w:r>
        <w:rPr>
          <w:spacing w:val="-6"/>
        </w:rPr>
        <w:t> </w:t>
      </w:r>
      <w:r>
        <w:rPr/>
        <w:t>di</w:t>
      </w:r>
      <w:r>
        <w:rPr>
          <w:spacing w:val="-4"/>
        </w:rPr>
        <w:t> </w:t>
      </w:r>
      <w:r>
        <w:rPr/>
        <w:t>Indonesia,</w:t>
      </w:r>
      <w:r>
        <w:rPr>
          <w:spacing w:val="-4"/>
        </w:rPr>
        <w:t> </w:t>
      </w:r>
      <w:r>
        <w:rPr/>
        <w:t>dan ketersediaan</w:t>
      </w:r>
      <w:r>
        <w:rPr>
          <w:spacing w:val="-12"/>
        </w:rPr>
        <w:t> </w:t>
      </w:r>
      <w:r>
        <w:rPr/>
        <w:t>lapangan</w:t>
      </w:r>
      <w:r>
        <w:rPr>
          <w:spacing w:val="-12"/>
        </w:rPr>
        <w:t> </w:t>
      </w:r>
      <w:r>
        <w:rPr/>
        <w:t>kerja</w:t>
      </w:r>
      <w:r>
        <w:rPr>
          <w:spacing w:val="-11"/>
        </w:rPr>
        <w:t> </w:t>
      </w:r>
      <w:r>
        <w:rPr/>
        <w:t>merupakan</w:t>
      </w:r>
      <w:r>
        <w:rPr>
          <w:spacing w:val="-9"/>
        </w:rPr>
        <w:t> </w:t>
      </w:r>
      <w:r>
        <w:rPr/>
        <w:t>asumsi</w:t>
      </w:r>
      <w:r>
        <w:rPr>
          <w:spacing w:val="-11"/>
        </w:rPr>
        <w:t> </w:t>
      </w:r>
      <w:r>
        <w:rPr/>
        <w:t>penilaian</w:t>
      </w:r>
      <w:r>
        <w:rPr>
          <w:spacing w:val="-12"/>
        </w:rPr>
        <w:t> </w:t>
      </w:r>
      <w:r>
        <w:rPr/>
        <w:t>dari</w:t>
      </w:r>
      <w:r>
        <w:rPr>
          <w:spacing w:val="-12"/>
        </w:rPr>
        <w:t> </w:t>
      </w:r>
      <w:r>
        <w:rPr/>
        <w:t>indeks</w:t>
      </w:r>
      <w:r>
        <w:rPr>
          <w:spacing w:val="-10"/>
        </w:rPr>
        <w:t> </w:t>
      </w:r>
      <w:r>
        <w:rPr/>
        <w:t>ekspektasi </w:t>
      </w:r>
      <w:r>
        <w:rPr>
          <w:spacing w:val="-2"/>
        </w:rPr>
        <w:t>konsumen</w:t>
      </w:r>
      <w:hyperlink w:history="true" w:anchor="_bookmark130">
        <w:r>
          <w:rPr>
            <w:spacing w:val="-2"/>
          </w:rPr>
          <w:t>.</w:t>
        </w:r>
        <w:r>
          <w:rPr>
            <w:spacing w:val="-2"/>
            <w:vertAlign w:val="superscript"/>
          </w:rPr>
          <w:t>81</w:t>
        </w:r>
      </w:hyperlink>
    </w:p>
    <w:p>
      <w:pPr>
        <w:pStyle w:val="BodyText"/>
        <w:rPr>
          <w:sz w:val="20"/>
        </w:rPr>
      </w:pPr>
    </w:p>
    <w:p>
      <w:pPr>
        <w:pStyle w:val="BodyText"/>
        <w:rPr>
          <w:sz w:val="20"/>
        </w:rPr>
      </w:pPr>
    </w:p>
    <w:p>
      <w:pPr>
        <w:pStyle w:val="BodyText"/>
        <w:rPr>
          <w:sz w:val="20"/>
        </w:rPr>
      </w:pPr>
    </w:p>
    <w:p>
      <w:pPr>
        <w:pStyle w:val="BodyText"/>
        <w:spacing w:before="38"/>
        <w:rPr>
          <w:sz w:val="20"/>
        </w:rPr>
      </w:pPr>
      <w:r>
        <w:rPr>
          <w:sz w:val="20"/>
        </w:rPr>
        <mc:AlternateContent>
          <mc:Choice Requires="wps">
            <w:drawing>
              <wp:anchor distT="0" distB="0" distL="0" distR="0" allowOverlap="1" layoutInCell="1" locked="0" behindDoc="1" simplePos="0" relativeHeight="487612928">
                <wp:simplePos x="0" y="0"/>
                <wp:positionH relativeFrom="page">
                  <wp:posOffset>914704</wp:posOffset>
                </wp:positionH>
                <wp:positionV relativeFrom="paragraph">
                  <wp:posOffset>185602</wp:posOffset>
                </wp:positionV>
                <wp:extent cx="1829435" cy="9525"/>
                <wp:effectExtent l="0" t="0" r="0" b="0"/>
                <wp:wrapTopAndBottom/>
                <wp:docPr id="295" name="Graphic 295"/>
                <wp:cNvGraphicFramePr>
                  <a:graphicFrameLocks/>
                </wp:cNvGraphicFramePr>
                <a:graphic>
                  <a:graphicData uri="http://schemas.microsoft.com/office/word/2010/wordprocessingShape">
                    <wps:wsp>
                      <wps:cNvPr id="295" name="Graphic 295"/>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4.614345pt;width:144.020pt;height:.72003pt;mso-position-horizontal-relative:page;mso-position-vertical-relative:paragraph;z-index:-15703552;mso-wrap-distance-left:0;mso-wrap-distance-right:0" id="docshape267" filled="true" fillcolor="#000000" stroked="false">
                <v:fill type="solid"/>
                <w10:wrap type="topAndBottom"/>
              </v:rect>
            </w:pict>
          </mc:Fallback>
        </mc:AlternateContent>
      </w:r>
    </w:p>
    <w:p>
      <w:pPr>
        <w:spacing w:before="101"/>
        <w:ind w:left="743" w:right="0" w:firstLine="0"/>
        <w:jc w:val="left"/>
        <w:rPr>
          <w:sz w:val="20"/>
        </w:rPr>
      </w:pPr>
      <w:bookmarkStart w:name="_bookmark129" w:id="130"/>
      <w:bookmarkEnd w:id="130"/>
      <w:r>
        <w:rPr/>
      </w:r>
      <w:r>
        <w:rPr>
          <w:sz w:val="20"/>
          <w:vertAlign w:val="superscript"/>
        </w:rPr>
        <w:t>80</w:t>
      </w:r>
      <w:r>
        <w:rPr>
          <w:spacing w:val="-4"/>
          <w:sz w:val="20"/>
          <w:vertAlign w:val="baseline"/>
        </w:rPr>
        <w:t> </w:t>
      </w:r>
      <w:r>
        <w:rPr>
          <w:sz w:val="20"/>
          <w:vertAlign w:val="baseline"/>
        </w:rPr>
        <w:t>Nugraha,</w:t>
      </w:r>
      <w:r>
        <w:rPr>
          <w:spacing w:val="-6"/>
          <w:sz w:val="20"/>
          <w:vertAlign w:val="baseline"/>
        </w:rPr>
        <w:t> </w:t>
      </w:r>
      <w:r>
        <w:rPr>
          <w:sz w:val="20"/>
          <w:vertAlign w:val="baseline"/>
        </w:rPr>
        <w:t>Hakim,</w:t>
      </w:r>
      <w:r>
        <w:rPr>
          <w:spacing w:val="-3"/>
          <w:sz w:val="20"/>
          <w:vertAlign w:val="baseline"/>
        </w:rPr>
        <w:t> </w:t>
      </w:r>
      <w:r>
        <w:rPr>
          <w:sz w:val="20"/>
          <w:vertAlign w:val="baseline"/>
        </w:rPr>
        <w:t>and</w:t>
      </w:r>
      <w:r>
        <w:rPr>
          <w:spacing w:val="-3"/>
          <w:sz w:val="20"/>
          <w:vertAlign w:val="baseline"/>
        </w:rPr>
        <w:t> </w:t>
      </w:r>
      <w:r>
        <w:rPr>
          <w:spacing w:val="-2"/>
          <w:sz w:val="20"/>
          <w:vertAlign w:val="baseline"/>
        </w:rPr>
        <w:t>Prasetyani.</w:t>
      </w:r>
    </w:p>
    <w:p>
      <w:pPr>
        <w:spacing w:before="0"/>
        <w:ind w:left="23" w:right="0" w:firstLine="719"/>
        <w:jc w:val="left"/>
        <w:rPr>
          <w:sz w:val="20"/>
        </w:rPr>
      </w:pPr>
      <w:bookmarkStart w:name="_bookmark130" w:id="131"/>
      <w:bookmarkEnd w:id="131"/>
      <w:r>
        <w:rPr/>
      </w:r>
      <w:r>
        <w:rPr>
          <w:sz w:val="20"/>
          <w:vertAlign w:val="superscript"/>
        </w:rPr>
        <w:t>81</w:t>
      </w:r>
      <w:r>
        <w:rPr>
          <w:spacing w:val="40"/>
          <w:sz w:val="20"/>
          <w:vertAlign w:val="baseline"/>
        </w:rPr>
        <w:t> </w:t>
      </w:r>
      <w:r>
        <w:rPr>
          <w:sz w:val="20"/>
          <w:vertAlign w:val="baseline"/>
        </w:rPr>
        <w:t>Hasnidar</w:t>
      </w:r>
      <w:r>
        <w:rPr>
          <w:spacing w:val="40"/>
          <w:sz w:val="20"/>
          <w:vertAlign w:val="baseline"/>
        </w:rPr>
        <w:t> </w:t>
      </w:r>
      <w:r>
        <w:rPr>
          <w:sz w:val="20"/>
          <w:vertAlign w:val="baseline"/>
        </w:rPr>
        <w:t>Yuslin,</w:t>
      </w:r>
      <w:r>
        <w:rPr>
          <w:spacing w:val="40"/>
          <w:sz w:val="20"/>
          <w:vertAlign w:val="baseline"/>
        </w:rPr>
        <w:t> </w:t>
      </w:r>
      <w:r>
        <w:rPr>
          <w:sz w:val="20"/>
          <w:vertAlign w:val="baseline"/>
        </w:rPr>
        <w:t>‘Determinan</w:t>
      </w:r>
      <w:r>
        <w:rPr>
          <w:spacing w:val="40"/>
          <w:sz w:val="20"/>
          <w:vertAlign w:val="baseline"/>
        </w:rPr>
        <w:t> </w:t>
      </w:r>
      <w:r>
        <w:rPr>
          <w:sz w:val="20"/>
          <w:vertAlign w:val="baseline"/>
        </w:rPr>
        <w:t>Indeks</w:t>
      </w:r>
      <w:r>
        <w:rPr>
          <w:spacing w:val="40"/>
          <w:sz w:val="20"/>
          <w:vertAlign w:val="baseline"/>
        </w:rPr>
        <w:t> </w:t>
      </w:r>
      <w:r>
        <w:rPr>
          <w:sz w:val="20"/>
          <w:vertAlign w:val="baseline"/>
        </w:rPr>
        <w:t>Keyakinan</w:t>
      </w:r>
      <w:r>
        <w:rPr>
          <w:spacing w:val="40"/>
          <w:sz w:val="20"/>
          <w:vertAlign w:val="baseline"/>
        </w:rPr>
        <w:t> </w:t>
      </w:r>
      <w:r>
        <w:rPr>
          <w:sz w:val="20"/>
          <w:vertAlign w:val="baseline"/>
        </w:rPr>
        <w:t>Konsumen</w:t>
      </w:r>
      <w:r>
        <w:rPr>
          <w:spacing w:val="40"/>
          <w:sz w:val="20"/>
          <w:vertAlign w:val="baseline"/>
        </w:rPr>
        <w:t> </w:t>
      </w:r>
      <w:r>
        <w:rPr>
          <w:sz w:val="20"/>
          <w:vertAlign w:val="baseline"/>
        </w:rPr>
        <w:t>Terhadap</w:t>
      </w:r>
      <w:r>
        <w:rPr>
          <w:spacing w:val="40"/>
          <w:sz w:val="20"/>
          <w:vertAlign w:val="baseline"/>
        </w:rPr>
        <w:t> </w:t>
      </w:r>
      <w:r>
        <w:rPr>
          <w:sz w:val="20"/>
          <w:vertAlign w:val="baseline"/>
        </w:rPr>
        <w:t>Kondisi</w:t>
      </w:r>
      <w:r>
        <w:rPr>
          <w:spacing w:val="40"/>
          <w:sz w:val="20"/>
          <w:vertAlign w:val="baseline"/>
        </w:rPr>
        <w:t> </w:t>
      </w:r>
      <w:r>
        <w:rPr>
          <w:sz w:val="20"/>
          <w:vertAlign w:val="baseline"/>
        </w:rPr>
        <w:t>Perekonomian</w:t>
      </w:r>
      <w:r>
        <w:rPr>
          <w:spacing w:val="40"/>
          <w:sz w:val="20"/>
          <w:vertAlign w:val="baseline"/>
        </w:rPr>
        <w:t> </w:t>
      </w:r>
      <w:r>
        <w:rPr>
          <w:sz w:val="20"/>
          <w:vertAlign w:val="baseline"/>
        </w:rPr>
        <w:t>Indonesia’, </w:t>
      </w:r>
      <w:r>
        <w:rPr>
          <w:i/>
          <w:sz w:val="20"/>
          <w:vertAlign w:val="baseline"/>
        </w:rPr>
        <w:t>IEB JOURNAL Islamic Economics and Busines Journal</w:t>
      </w:r>
      <w:r>
        <w:rPr>
          <w:sz w:val="20"/>
          <w:vertAlign w:val="baseline"/>
        </w:rPr>
        <w:t>, 4.1 (2022), 81–95.</w:t>
      </w:r>
    </w:p>
    <w:p>
      <w:pPr>
        <w:spacing w:after="0"/>
        <w:jc w:val="left"/>
        <w:rPr>
          <w:sz w:val="20"/>
        </w:rPr>
        <w:sectPr>
          <w:pgSz w:w="11910" w:h="16840"/>
          <w:pgMar w:header="0" w:footer="1000" w:top="1360" w:bottom="1200" w:left="1417" w:right="1275"/>
        </w:sectPr>
      </w:pPr>
    </w:p>
    <w:p>
      <w:pPr>
        <w:pStyle w:val="Heading2"/>
        <w:numPr>
          <w:ilvl w:val="2"/>
          <w:numId w:val="23"/>
        </w:numPr>
        <w:tabs>
          <w:tab w:pos="1283" w:val="left" w:leader="none"/>
        </w:tabs>
        <w:spacing w:line="240" w:lineRule="auto" w:before="60" w:after="0"/>
        <w:ind w:left="1283" w:right="0" w:hanging="540"/>
        <w:jc w:val="left"/>
      </w:pPr>
      <w:bookmarkStart w:name="_bookmark131" w:id="132"/>
      <w:bookmarkEnd w:id="132"/>
      <w:r>
        <w:rPr>
          <w:b w:val="0"/>
        </w:rPr>
      </w:r>
      <w:r>
        <w:rPr/>
        <w:t>Nilai </w:t>
      </w:r>
      <w:r>
        <w:rPr>
          <w:spacing w:val="-2"/>
        </w:rPr>
        <w:t>Tukar</w:t>
      </w:r>
    </w:p>
    <w:p>
      <w:pPr>
        <w:pStyle w:val="BodyText"/>
        <w:spacing w:before="22"/>
        <w:rPr>
          <w:b/>
        </w:rPr>
      </w:pPr>
    </w:p>
    <w:p>
      <w:pPr>
        <w:pStyle w:val="BodyText"/>
        <w:spacing w:line="360" w:lineRule="auto"/>
        <w:ind w:left="1463" w:right="159" w:firstLine="720"/>
        <w:jc w:val="both"/>
      </w:pPr>
      <w:r>
        <w:rPr/>
        <w:t>Nilai tukar atau kurs adalah perbandingan harga atau nilai mata uang suatu</w:t>
      </w:r>
      <w:r>
        <w:rPr>
          <w:spacing w:val="-15"/>
        </w:rPr>
        <w:t> </w:t>
      </w:r>
      <w:r>
        <w:rPr/>
        <w:t>negara</w:t>
      </w:r>
      <w:r>
        <w:rPr>
          <w:spacing w:val="-15"/>
        </w:rPr>
        <w:t> </w:t>
      </w:r>
      <w:r>
        <w:rPr/>
        <w:t>yang</w:t>
      </w:r>
      <w:r>
        <w:rPr>
          <w:spacing w:val="-15"/>
        </w:rPr>
        <w:t> </w:t>
      </w:r>
      <w:r>
        <w:rPr/>
        <w:t>dinyatakan</w:t>
      </w:r>
      <w:r>
        <w:rPr>
          <w:spacing w:val="-15"/>
        </w:rPr>
        <w:t> </w:t>
      </w:r>
      <w:r>
        <w:rPr/>
        <w:t>atau</w:t>
      </w:r>
      <w:r>
        <w:rPr>
          <w:spacing w:val="-15"/>
        </w:rPr>
        <w:t> </w:t>
      </w:r>
      <w:r>
        <w:rPr/>
        <w:t>diukur</w:t>
      </w:r>
      <w:r>
        <w:rPr>
          <w:spacing w:val="-15"/>
        </w:rPr>
        <w:t> </w:t>
      </w:r>
      <w:r>
        <w:rPr/>
        <w:t>dalam</w:t>
      </w:r>
      <w:r>
        <w:rPr>
          <w:spacing w:val="-15"/>
        </w:rPr>
        <w:t> </w:t>
      </w:r>
      <w:r>
        <w:rPr/>
        <w:t>mata</w:t>
      </w:r>
      <w:r>
        <w:rPr>
          <w:spacing w:val="-15"/>
        </w:rPr>
        <w:t> </w:t>
      </w:r>
      <w:r>
        <w:rPr/>
        <w:t>uang</w:t>
      </w:r>
      <w:r>
        <w:rPr>
          <w:spacing w:val="-15"/>
        </w:rPr>
        <w:t> </w:t>
      </w:r>
      <w:r>
        <w:rPr/>
        <w:t>negara</w:t>
      </w:r>
      <w:r>
        <w:rPr>
          <w:spacing w:val="-15"/>
        </w:rPr>
        <w:t> </w:t>
      </w:r>
      <w:r>
        <w:rPr/>
        <w:t>lain.</w:t>
      </w:r>
      <w:r>
        <w:rPr>
          <w:spacing w:val="-13"/>
        </w:rPr>
        <w:t> </w:t>
      </w:r>
      <w:r>
        <w:rPr/>
        <w:t>Statistik perbandingan yang menunjukkan nilai satu mata uang dengan mata uang lain, yang dikenal sebagai nilai tukar mata uang asing atau kurs valuta asing, diperlukan</w:t>
      </w:r>
      <w:r>
        <w:rPr>
          <w:spacing w:val="-15"/>
        </w:rPr>
        <w:t> </w:t>
      </w:r>
      <w:r>
        <w:rPr/>
        <w:t>untuk</w:t>
      </w:r>
      <w:r>
        <w:rPr>
          <w:spacing w:val="-15"/>
        </w:rPr>
        <w:t> </w:t>
      </w:r>
      <w:r>
        <w:rPr/>
        <w:t>perdagangan</w:t>
      </w:r>
      <w:r>
        <w:rPr>
          <w:spacing w:val="-15"/>
        </w:rPr>
        <w:t> </w:t>
      </w:r>
      <w:r>
        <w:rPr/>
        <w:t>internasional</w:t>
      </w:r>
      <w:r>
        <w:rPr>
          <w:spacing w:val="-15"/>
        </w:rPr>
        <w:t> </w:t>
      </w:r>
      <w:r>
        <w:rPr/>
        <w:t>di</w:t>
      </w:r>
      <w:r>
        <w:rPr>
          <w:spacing w:val="-15"/>
        </w:rPr>
        <w:t> </w:t>
      </w:r>
      <w:r>
        <w:rPr/>
        <w:t>mana</w:t>
      </w:r>
      <w:r>
        <w:rPr>
          <w:spacing w:val="-15"/>
        </w:rPr>
        <w:t> </w:t>
      </w:r>
      <w:r>
        <w:rPr/>
        <w:t>setiap</w:t>
      </w:r>
      <w:r>
        <w:rPr>
          <w:spacing w:val="-15"/>
        </w:rPr>
        <w:t> </w:t>
      </w:r>
      <w:r>
        <w:rPr/>
        <w:t>negara</w:t>
      </w:r>
      <w:r>
        <w:rPr>
          <w:spacing w:val="-15"/>
        </w:rPr>
        <w:t> </w:t>
      </w:r>
      <w:r>
        <w:rPr/>
        <w:t>memiliki</w:t>
      </w:r>
      <w:r>
        <w:rPr>
          <w:spacing w:val="-15"/>
        </w:rPr>
        <w:t> </w:t>
      </w:r>
      <w:r>
        <w:rPr/>
        <w:t>alat tukarnya</w:t>
      </w:r>
      <w:r>
        <w:rPr>
          <w:spacing w:val="-14"/>
        </w:rPr>
        <w:t> </w:t>
      </w:r>
      <w:r>
        <w:rPr/>
        <w:t>sendiri.</w:t>
      </w:r>
      <w:r>
        <w:rPr>
          <w:spacing w:val="-11"/>
        </w:rPr>
        <w:t> </w:t>
      </w:r>
      <w:r>
        <w:rPr/>
        <w:t>Investor</w:t>
      </w:r>
      <w:r>
        <w:rPr>
          <w:spacing w:val="-12"/>
        </w:rPr>
        <w:t> </w:t>
      </w:r>
      <w:r>
        <w:rPr/>
        <w:t>akan</w:t>
      </w:r>
      <w:r>
        <w:rPr>
          <w:spacing w:val="-13"/>
        </w:rPr>
        <w:t> </w:t>
      </w:r>
      <w:r>
        <w:rPr/>
        <w:t>cenderung</w:t>
      </w:r>
      <w:r>
        <w:rPr>
          <w:spacing w:val="-14"/>
        </w:rPr>
        <w:t> </w:t>
      </w:r>
      <w:r>
        <w:rPr/>
        <w:t>tidak</w:t>
      </w:r>
      <w:r>
        <w:rPr>
          <w:spacing w:val="-13"/>
        </w:rPr>
        <w:t> </w:t>
      </w:r>
      <w:r>
        <w:rPr/>
        <w:t>menaruh</w:t>
      </w:r>
      <w:r>
        <w:rPr>
          <w:spacing w:val="-14"/>
        </w:rPr>
        <w:t> </w:t>
      </w:r>
      <w:r>
        <w:rPr/>
        <w:t>uangnya</w:t>
      </w:r>
      <w:r>
        <w:rPr>
          <w:spacing w:val="-14"/>
        </w:rPr>
        <w:t> </w:t>
      </w:r>
      <w:r>
        <w:rPr/>
        <w:t>di</w:t>
      </w:r>
      <w:r>
        <w:rPr>
          <w:spacing w:val="-13"/>
        </w:rPr>
        <w:t> </w:t>
      </w:r>
      <w:r>
        <w:rPr/>
        <w:t>saham</w:t>
      </w:r>
      <w:r>
        <w:rPr>
          <w:spacing w:val="-13"/>
        </w:rPr>
        <w:t> </w:t>
      </w:r>
      <w:r>
        <w:rPr/>
        <w:t>jika nilai tukar lebih besar dari harga saham.</w:t>
      </w:r>
      <w:hyperlink w:history="true" w:anchor="_bookmark133">
        <w:r>
          <w:rPr>
            <w:vertAlign w:val="superscript"/>
          </w:rPr>
          <w:t>82</w:t>
        </w:r>
      </w:hyperlink>
      <w:r>
        <w:rPr>
          <w:vertAlign w:val="baseline"/>
        </w:rPr>
        <w:t> Berikut ini merupakan rumus untuk menghitung kurs:</w:t>
      </w:r>
    </w:p>
    <w:p>
      <w:pPr>
        <w:pStyle w:val="BodyText"/>
        <w:spacing w:after="0" w:line="360" w:lineRule="auto"/>
        <w:jc w:val="both"/>
        <w:sectPr>
          <w:pgSz w:w="11910" w:h="16840"/>
          <w:pgMar w:header="0" w:footer="1000" w:top="1360" w:bottom="1200" w:left="1417" w:right="1275"/>
        </w:sectPr>
      </w:pPr>
    </w:p>
    <w:p>
      <w:pPr>
        <w:pStyle w:val="BodyText"/>
      </w:pPr>
    </w:p>
    <w:p>
      <w:pPr>
        <w:pStyle w:val="BodyText"/>
      </w:pPr>
    </w:p>
    <w:p>
      <w:pPr>
        <w:pStyle w:val="BodyText"/>
        <w:spacing w:before="18"/>
      </w:pPr>
    </w:p>
    <w:p>
      <w:pPr>
        <w:pStyle w:val="Heading2"/>
        <w:numPr>
          <w:ilvl w:val="2"/>
          <w:numId w:val="23"/>
        </w:numPr>
        <w:tabs>
          <w:tab w:pos="1283" w:val="left" w:leader="none"/>
        </w:tabs>
        <w:spacing w:line="240" w:lineRule="auto" w:before="0" w:after="0"/>
        <w:ind w:left="1283" w:right="0" w:hanging="540"/>
        <w:jc w:val="left"/>
      </w:pPr>
      <w:bookmarkStart w:name="_bookmark132" w:id="133"/>
      <w:bookmarkEnd w:id="133"/>
      <w:r>
        <w:rPr>
          <w:b w:val="0"/>
        </w:rPr>
      </w:r>
      <w:r>
        <w:rPr>
          <w:spacing w:val="-2"/>
        </w:rPr>
        <w:t>Inflasi</w:t>
      </w:r>
    </w:p>
    <w:p>
      <w:pPr>
        <w:pStyle w:val="BodyText"/>
        <w:spacing w:before="158"/>
        <w:ind w:left="743"/>
        <w:rPr>
          <w:rFonts w:ascii="Cambria Math" w:hAnsi="Cambria Math" w:eastAsia="Cambria Math"/>
        </w:rPr>
      </w:pPr>
      <w:r>
        <w:rPr/>
        <w:br w:type="column"/>
      </w:r>
      <w:r>
        <w:rPr>
          <w:rFonts w:ascii="Cambria Math" w:hAnsi="Cambria Math" w:eastAsia="Cambria Math"/>
        </w:rPr>
        <w:t>𝐾𝑢𝑟𝑠</w:t>
      </w:r>
      <w:r>
        <w:rPr>
          <w:rFonts w:ascii="Cambria Math" w:hAnsi="Cambria Math" w:eastAsia="Cambria Math"/>
          <w:spacing w:val="1"/>
        </w:rPr>
        <w:t> </w:t>
      </w:r>
      <w:r>
        <w:rPr>
          <w:rFonts w:ascii="Cambria Math" w:hAnsi="Cambria Math" w:eastAsia="Cambria Math"/>
        </w:rPr>
        <w:t>𝑇𝑒𝑛𝑔𝑎ℎ</w:t>
      </w:r>
      <w:r>
        <w:rPr>
          <w:rFonts w:ascii="Cambria Math" w:hAnsi="Cambria Math" w:eastAsia="Cambria Math"/>
          <w:spacing w:val="14"/>
        </w:rPr>
        <w:t> </w:t>
      </w:r>
      <w:r>
        <w:rPr>
          <w:rFonts w:ascii="Cambria Math" w:hAnsi="Cambria Math" w:eastAsia="Cambria Math"/>
          <w:spacing w:val="-10"/>
        </w:rPr>
        <w:t>=</w:t>
      </w:r>
    </w:p>
    <w:p>
      <w:pPr>
        <w:spacing w:line="257" w:lineRule="exact" w:before="0"/>
        <w:ind w:left="0" w:right="1899" w:firstLine="0"/>
        <w:jc w:val="center"/>
        <w:rPr>
          <w:rFonts w:ascii="Cambria Math" w:eastAsia="Cambria Math"/>
          <w:sz w:val="24"/>
        </w:rPr>
      </w:pPr>
      <w:r>
        <w:rPr/>
        <w:br w:type="column"/>
      </w:r>
      <w:r>
        <w:rPr>
          <w:rFonts w:ascii="Cambria Math" w:eastAsia="Cambria Math"/>
          <w:sz w:val="24"/>
        </w:rPr>
        <w:t>𝐾𝑢𝑟𝑠</w:t>
      </w:r>
      <w:r>
        <w:rPr>
          <w:rFonts w:ascii="Cambria Math" w:eastAsia="Cambria Math"/>
          <w:spacing w:val="3"/>
          <w:sz w:val="24"/>
        </w:rPr>
        <w:t> </w:t>
      </w:r>
      <w:r>
        <w:rPr>
          <w:rFonts w:ascii="Cambria Math" w:eastAsia="Cambria Math"/>
          <w:sz w:val="24"/>
        </w:rPr>
        <w:t>𝐽𝑢𝑎𝑙</w:t>
      </w:r>
      <w:r>
        <w:rPr>
          <w:rFonts w:ascii="Cambria Math" w:eastAsia="Cambria Math"/>
          <w:spacing w:val="7"/>
          <w:sz w:val="24"/>
        </w:rPr>
        <w:t> </w:t>
      </w:r>
      <w:r>
        <w:rPr>
          <w:rFonts w:ascii="Cambria Math" w:eastAsia="Cambria Math"/>
          <w:sz w:val="24"/>
        </w:rPr>
        <w:t>+ 𝐾𝑢𝑟𝑠</w:t>
      </w:r>
      <w:r>
        <w:rPr>
          <w:rFonts w:ascii="Cambria Math" w:eastAsia="Cambria Math"/>
          <w:spacing w:val="4"/>
          <w:sz w:val="24"/>
        </w:rPr>
        <w:t> </w:t>
      </w:r>
      <w:r>
        <w:rPr>
          <w:rFonts w:ascii="Cambria Math" w:eastAsia="Cambria Math"/>
          <w:spacing w:val="-4"/>
          <w:sz w:val="24"/>
        </w:rPr>
        <w:t>𝐵𝑒𝑙𝑖</w:t>
      </w:r>
    </w:p>
    <w:p>
      <w:pPr>
        <w:pStyle w:val="BodyText"/>
        <w:spacing w:before="5"/>
        <w:rPr>
          <w:rFonts w:ascii="Cambria Math"/>
          <w:sz w:val="4"/>
        </w:rPr>
      </w:pPr>
    </w:p>
    <w:p>
      <w:pPr>
        <w:pStyle w:val="BodyText"/>
        <w:spacing w:line="20" w:lineRule="exact"/>
        <w:ind w:left="28"/>
        <w:rPr>
          <w:rFonts w:ascii="Cambria Math"/>
          <w:sz w:val="2"/>
        </w:rPr>
      </w:pPr>
      <w:r>
        <w:rPr>
          <w:rFonts w:ascii="Cambria Math"/>
          <w:sz w:val="2"/>
        </w:rPr>
        <mc:AlternateContent>
          <mc:Choice Requires="wps">
            <w:drawing>
              <wp:inline distT="0" distB="0" distL="0" distR="0">
                <wp:extent cx="1489075" cy="10795"/>
                <wp:effectExtent l="0" t="0" r="0" b="0"/>
                <wp:docPr id="296" name="Group 296"/>
                <wp:cNvGraphicFramePr>
                  <a:graphicFrameLocks/>
                </wp:cNvGraphicFramePr>
                <a:graphic>
                  <a:graphicData uri="http://schemas.microsoft.com/office/word/2010/wordprocessingGroup">
                    <wpg:wgp>
                      <wpg:cNvPr id="296" name="Group 296"/>
                      <wpg:cNvGrpSpPr/>
                      <wpg:grpSpPr>
                        <a:xfrm>
                          <a:off x="0" y="0"/>
                          <a:ext cx="1489075" cy="10795"/>
                          <a:chExt cx="1489075" cy="10795"/>
                        </a:xfrm>
                      </wpg:grpSpPr>
                      <wps:wsp>
                        <wps:cNvPr id="297" name="Graphic 297"/>
                        <wps:cNvSpPr/>
                        <wps:spPr>
                          <a:xfrm>
                            <a:off x="0" y="0"/>
                            <a:ext cx="1489075" cy="10795"/>
                          </a:xfrm>
                          <a:custGeom>
                            <a:avLst/>
                            <a:gdLst/>
                            <a:ahLst/>
                            <a:cxnLst/>
                            <a:rect l="l" t="t" r="r" b="b"/>
                            <a:pathLst>
                              <a:path w="1489075" h="10795">
                                <a:moveTo>
                                  <a:pt x="1488948" y="0"/>
                                </a:moveTo>
                                <a:lnTo>
                                  <a:pt x="0" y="0"/>
                                </a:lnTo>
                                <a:lnTo>
                                  <a:pt x="0" y="10668"/>
                                </a:lnTo>
                                <a:lnTo>
                                  <a:pt x="1488948" y="10668"/>
                                </a:lnTo>
                                <a:lnTo>
                                  <a:pt x="14889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17.25pt;height:.85pt;mso-position-horizontal-relative:char;mso-position-vertical-relative:line" id="docshapegroup268" coordorigin="0,0" coordsize="2345,17">
                <v:rect style="position:absolute;left:0;top:0;width:2345;height:17" id="docshape269" filled="true" fillcolor="#000000" stroked="false">
                  <v:fill type="solid"/>
                </v:rect>
              </v:group>
            </w:pict>
          </mc:Fallback>
        </mc:AlternateContent>
      </w:r>
      <w:r>
        <w:rPr>
          <w:rFonts w:ascii="Cambria Math"/>
          <w:sz w:val="2"/>
        </w:rPr>
      </w:r>
    </w:p>
    <w:p>
      <w:pPr>
        <w:pStyle w:val="BodyText"/>
        <w:ind w:left="5" w:right="1899"/>
        <w:jc w:val="center"/>
        <w:rPr>
          <w:rFonts w:ascii="Cambria Math"/>
        </w:rPr>
      </w:pPr>
      <w:r>
        <w:rPr>
          <w:rFonts w:ascii="Cambria Math"/>
          <w:spacing w:val="-10"/>
        </w:rPr>
        <w:t>2</w:t>
      </w:r>
    </w:p>
    <w:p>
      <w:pPr>
        <w:pStyle w:val="BodyText"/>
        <w:spacing w:after="0"/>
        <w:jc w:val="center"/>
        <w:rPr>
          <w:rFonts w:ascii="Cambria Math"/>
        </w:rPr>
        <w:sectPr>
          <w:type w:val="continuous"/>
          <w:pgSz w:w="11910" w:h="16840"/>
          <w:pgMar w:header="0" w:footer="1000" w:top="1360" w:bottom="280" w:left="1417" w:right="1275"/>
          <w:cols w:num="3" w:equalWidth="0">
            <w:col w:w="1979" w:space="504"/>
            <w:col w:w="2394" w:space="39"/>
            <w:col w:w="4302"/>
          </w:cols>
        </w:sectPr>
      </w:pPr>
    </w:p>
    <w:p>
      <w:pPr>
        <w:pStyle w:val="BodyText"/>
        <w:spacing w:before="19"/>
        <w:rPr>
          <w:rFonts w:ascii="Cambria Math"/>
        </w:rPr>
      </w:pPr>
    </w:p>
    <w:p>
      <w:pPr>
        <w:pStyle w:val="BodyText"/>
        <w:spacing w:line="360" w:lineRule="auto"/>
        <w:ind w:left="1463" w:right="158" w:firstLine="720"/>
        <w:jc w:val="both"/>
      </w:pPr>
      <w:r>
        <w:rPr/>
        <w:t>Kenaikan harga keseluruhan yang terus-menerus disebut inflasi. Kata "berkelanjutan" berarti bahwa kenaikan harga tidak dianggap inflasi meskipun melonjak</w:t>
      </w:r>
      <w:r>
        <w:rPr>
          <w:spacing w:val="-15"/>
        </w:rPr>
        <w:t> </w:t>
      </w:r>
      <w:r>
        <w:rPr/>
        <w:t>drastis.</w:t>
      </w:r>
      <w:r>
        <w:rPr>
          <w:spacing w:val="-15"/>
        </w:rPr>
        <w:t> </w:t>
      </w:r>
      <w:r>
        <w:rPr/>
        <w:t>Inflasi</w:t>
      </w:r>
      <w:r>
        <w:rPr>
          <w:spacing w:val="-15"/>
        </w:rPr>
        <w:t> </w:t>
      </w:r>
      <w:r>
        <w:rPr/>
        <w:t>juga</w:t>
      </w:r>
      <w:r>
        <w:rPr>
          <w:spacing w:val="-15"/>
        </w:rPr>
        <w:t> </w:t>
      </w:r>
      <w:r>
        <w:rPr/>
        <w:t>dapat</w:t>
      </w:r>
      <w:r>
        <w:rPr>
          <w:spacing w:val="-15"/>
        </w:rPr>
        <w:t> </w:t>
      </w:r>
      <w:r>
        <w:rPr/>
        <w:t>didefinisikan</w:t>
      </w:r>
      <w:r>
        <w:rPr>
          <w:spacing w:val="-15"/>
        </w:rPr>
        <w:t> </w:t>
      </w:r>
      <w:r>
        <w:rPr/>
        <w:t>sebagai</w:t>
      </w:r>
      <w:r>
        <w:rPr>
          <w:spacing w:val="-15"/>
        </w:rPr>
        <w:t> </w:t>
      </w:r>
      <w:r>
        <w:rPr/>
        <w:t>permintaan</w:t>
      </w:r>
      <w:r>
        <w:rPr>
          <w:spacing w:val="-15"/>
        </w:rPr>
        <w:t> </w:t>
      </w:r>
      <w:r>
        <w:rPr/>
        <w:t>barang</w:t>
      </w:r>
      <w:r>
        <w:rPr>
          <w:spacing w:val="-15"/>
        </w:rPr>
        <w:t> </w:t>
      </w:r>
      <w:r>
        <w:rPr/>
        <w:t>dan jasa yang berlebihan secara keseluruhan.</w:t>
      </w:r>
      <w:hyperlink w:history="true" w:anchor="_bookmark134">
        <w:r>
          <w:rPr>
            <w:vertAlign w:val="superscript"/>
          </w:rPr>
          <w:t>83</w:t>
        </w:r>
      </w:hyperlink>
      <w:r>
        <w:rPr>
          <w:vertAlign w:val="baseline"/>
        </w:rPr>
        <w:t> Meningkatnya inflasi biasanya dilihat</w:t>
      </w:r>
      <w:r>
        <w:rPr>
          <w:spacing w:val="-15"/>
          <w:vertAlign w:val="baseline"/>
        </w:rPr>
        <w:t> </w:t>
      </w:r>
      <w:r>
        <w:rPr>
          <w:vertAlign w:val="baseline"/>
        </w:rPr>
        <w:t>sebagai</w:t>
      </w:r>
      <w:r>
        <w:rPr>
          <w:spacing w:val="-15"/>
          <w:vertAlign w:val="baseline"/>
        </w:rPr>
        <w:t> </w:t>
      </w:r>
      <w:r>
        <w:rPr>
          <w:vertAlign w:val="baseline"/>
        </w:rPr>
        <w:t>tanda</w:t>
      </w:r>
      <w:r>
        <w:rPr>
          <w:spacing w:val="-15"/>
          <w:vertAlign w:val="baseline"/>
        </w:rPr>
        <w:t> </w:t>
      </w:r>
      <w:r>
        <w:rPr>
          <w:vertAlign w:val="baseline"/>
        </w:rPr>
        <w:t>ekonomi</w:t>
      </w:r>
      <w:r>
        <w:rPr>
          <w:spacing w:val="-15"/>
          <w:vertAlign w:val="baseline"/>
        </w:rPr>
        <w:t> </w:t>
      </w:r>
      <w:r>
        <w:rPr>
          <w:vertAlign w:val="baseline"/>
        </w:rPr>
        <w:t>yang</w:t>
      </w:r>
      <w:r>
        <w:rPr>
          <w:spacing w:val="-15"/>
          <w:vertAlign w:val="baseline"/>
        </w:rPr>
        <w:t> </w:t>
      </w:r>
      <w:r>
        <w:rPr>
          <w:vertAlign w:val="baseline"/>
        </w:rPr>
        <w:t>terlalu</w:t>
      </w:r>
      <w:r>
        <w:rPr>
          <w:spacing w:val="-15"/>
          <w:vertAlign w:val="baseline"/>
        </w:rPr>
        <w:t> </w:t>
      </w:r>
      <w:r>
        <w:rPr>
          <w:vertAlign w:val="baseline"/>
        </w:rPr>
        <w:t>panas.</w:t>
      </w:r>
      <w:r>
        <w:rPr>
          <w:spacing w:val="-15"/>
          <w:vertAlign w:val="baseline"/>
        </w:rPr>
        <w:t> </w:t>
      </w:r>
      <w:r>
        <w:rPr>
          <w:vertAlign w:val="baseline"/>
        </w:rPr>
        <w:t>Ini</w:t>
      </w:r>
      <w:r>
        <w:rPr>
          <w:spacing w:val="-15"/>
          <w:vertAlign w:val="baseline"/>
        </w:rPr>
        <w:t> </w:t>
      </w:r>
      <w:r>
        <w:rPr>
          <w:vertAlign w:val="baseline"/>
        </w:rPr>
        <w:t>menunjukkan</w:t>
      </w:r>
      <w:r>
        <w:rPr>
          <w:spacing w:val="-15"/>
          <w:vertAlign w:val="baseline"/>
        </w:rPr>
        <w:t> </w:t>
      </w:r>
      <w:r>
        <w:rPr>
          <w:vertAlign w:val="baseline"/>
        </w:rPr>
        <w:t>bahwa</w:t>
      </w:r>
      <w:r>
        <w:rPr>
          <w:spacing w:val="-15"/>
          <w:vertAlign w:val="baseline"/>
        </w:rPr>
        <w:t> </w:t>
      </w:r>
      <w:r>
        <w:rPr>
          <w:vertAlign w:val="baseline"/>
        </w:rPr>
        <w:t>harga pasar cenderung naik karena jumlah permintaan terhadap suatu produk telah meningkat lebih dari tingkat pasokan. Dengan kata lain, meningkatnya inflasi akan mengakibatkan penurunan daya beli konsumen</w:t>
      </w:r>
      <w:hyperlink w:history="true" w:anchor="_bookmark135">
        <w:r>
          <w:rPr>
            <w:vertAlign w:val="baseline"/>
          </w:rPr>
          <w:t>.</w:t>
        </w:r>
        <w:r>
          <w:rPr>
            <w:vertAlign w:val="superscript"/>
          </w:rPr>
          <w:t>84</w:t>
        </w:r>
      </w:hyperlink>
      <w:r>
        <w:rPr>
          <w:vertAlign w:val="baseline"/>
        </w:rPr>
        <w:t> Indeks saham dapat dihitung untuk melihat pengaruh inflasi dengan menggunakan rumus rata-rata </w:t>
      </w:r>
      <w:r>
        <w:rPr>
          <w:spacing w:val="-2"/>
          <w:vertAlign w:val="baseline"/>
        </w:rPr>
        <w:t>inflasi:</w:t>
      </w:r>
    </w:p>
    <w:p>
      <w:pPr>
        <w:pStyle w:val="BodyText"/>
        <w:spacing w:after="0" w:line="360" w:lineRule="auto"/>
        <w:jc w:val="both"/>
        <w:sectPr>
          <w:type w:val="continuous"/>
          <w:pgSz w:w="11910" w:h="16840"/>
          <w:pgMar w:header="0" w:footer="1000" w:top="1360" w:bottom="280" w:left="1417" w:right="1275"/>
        </w:sectPr>
      </w:pPr>
    </w:p>
    <w:p>
      <w:pPr>
        <w:pStyle w:val="BodyText"/>
      </w:pPr>
    </w:p>
    <w:p>
      <w:pPr>
        <w:pStyle w:val="BodyText"/>
        <w:spacing w:before="176"/>
      </w:pPr>
    </w:p>
    <w:p>
      <w:pPr>
        <w:pStyle w:val="BodyText"/>
        <w:ind w:left="2183"/>
      </w:pPr>
      <w:r>
        <w:rPr>
          <w:spacing w:val="-2"/>
        </w:rPr>
        <w:t>Keterangan:</w:t>
      </w:r>
    </w:p>
    <w:p>
      <w:pPr>
        <w:spacing w:before="148"/>
        <w:ind w:left="398" w:right="0" w:firstLine="0"/>
        <w:jc w:val="left"/>
        <w:rPr>
          <w:rFonts w:ascii="Cambria Math" w:eastAsia="Cambria Math"/>
          <w:sz w:val="24"/>
        </w:rPr>
      </w:pPr>
      <w:r>
        <w:rPr/>
        <w:br w:type="column"/>
      </w:r>
      <w:r>
        <w:rPr>
          <w:rFonts w:ascii="Cambria Math" w:eastAsia="Cambria Math"/>
          <w:sz w:val="24"/>
        </w:rPr>
        <w:t>𝐼𝑅𝑡</w:t>
      </w:r>
      <w:r>
        <w:rPr>
          <w:rFonts w:ascii="Cambria Math" w:eastAsia="Cambria Math"/>
          <w:spacing w:val="17"/>
          <w:sz w:val="24"/>
        </w:rPr>
        <w:t> </w:t>
      </w:r>
      <w:r>
        <w:rPr>
          <w:rFonts w:ascii="Cambria Math" w:eastAsia="Cambria Math"/>
          <w:spacing w:val="-12"/>
          <w:sz w:val="24"/>
        </w:rPr>
        <w:t>=</w:t>
      </w:r>
    </w:p>
    <w:p>
      <w:pPr>
        <w:pStyle w:val="BodyText"/>
        <w:spacing w:line="247" w:lineRule="exact"/>
        <w:ind w:left="25"/>
        <w:jc w:val="center"/>
        <w:rPr>
          <w:rFonts w:ascii="Cambria Math" w:hAnsi="Cambria Math" w:eastAsia="Cambria Math"/>
        </w:rPr>
      </w:pPr>
      <w:r>
        <w:rPr/>
        <w:br w:type="column"/>
      </w:r>
      <w:r>
        <w:rPr>
          <w:rFonts w:ascii="Cambria Math" w:hAnsi="Cambria Math" w:eastAsia="Cambria Math"/>
        </w:rPr>
        <w:t>𝐼𝐻𝐾𝑡</w:t>
      </w:r>
      <w:r>
        <w:rPr>
          <w:rFonts w:ascii="Cambria Math" w:hAnsi="Cambria Math" w:eastAsia="Cambria Math"/>
          <w:spacing w:val="7"/>
        </w:rPr>
        <w:t> </w:t>
      </w:r>
      <w:r>
        <w:rPr>
          <w:rFonts w:ascii="Cambria Math" w:hAnsi="Cambria Math" w:eastAsia="Cambria Math"/>
        </w:rPr>
        <w:t>− </w:t>
      </w:r>
      <w:r>
        <w:rPr>
          <w:rFonts w:ascii="Cambria Math" w:hAnsi="Cambria Math" w:eastAsia="Cambria Math"/>
          <w:spacing w:val="-2"/>
        </w:rPr>
        <w:t>𝐼𝐻𝐾</w:t>
      </w:r>
      <w:r>
        <w:rPr>
          <w:rFonts w:ascii="Cambria Math" w:hAnsi="Cambria Math" w:eastAsia="Cambria Math"/>
          <w:spacing w:val="-2"/>
          <w:vertAlign w:val="subscript"/>
        </w:rPr>
        <w:t>𝑡−1</w:t>
      </w:r>
    </w:p>
    <w:p>
      <w:pPr>
        <w:pStyle w:val="BodyText"/>
        <w:spacing w:before="5"/>
        <w:rPr>
          <w:rFonts w:ascii="Cambria Math"/>
          <w:sz w:val="4"/>
        </w:rPr>
      </w:pPr>
    </w:p>
    <w:p>
      <w:pPr>
        <w:pStyle w:val="BodyText"/>
        <w:spacing w:line="20" w:lineRule="exact"/>
        <w:ind w:left="25" w:right="-72"/>
        <w:rPr>
          <w:rFonts w:ascii="Cambria Math"/>
          <w:sz w:val="2"/>
        </w:rPr>
      </w:pPr>
      <w:r>
        <w:rPr>
          <w:rFonts w:ascii="Cambria Math"/>
          <w:sz w:val="2"/>
        </w:rPr>
        <mc:AlternateContent>
          <mc:Choice Requires="wps">
            <w:drawing>
              <wp:inline distT="0" distB="0" distL="0" distR="0">
                <wp:extent cx="982344" cy="10795"/>
                <wp:effectExtent l="0" t="0" r="0" b="0"/>
                <wp:docPr id="298" name="Group 298"/>
                <wp:cNvGraphicFramePr>
                  <a:graphicFrameLocks/>
                </wp:cNvGraphicFramePr>
                <a:graphic>
                  <a:graphicData uri="http://schemas.microsoft.com/office/word/2010/wordprocessingGroup">
                    <wpg:wgp>
                      <wpg:cNvPr id="298" name="Group 298"/>
                      <wpg:cNvGrpSpPr/>
                      <wpg:grpSpPr>
                        <a:xfrm>
                          <a:off x="0" y="0"/>
                          <a:ext cx="982344" cy="10795"/>
                          <a:chExt cx="982344" cy="10795"/>
                        </a:xfrm>
                      </wpg:grpSpPr>
                      <wps:wsp>
                        <wps:cNvPr id="299" name="Graphic 299"/>
                        <wps:cNvSpPr/>
                        <wps:spPr>
                          <a:xfrm>
                            <a:off x="0" y="0"/>
                            <a:ext cx="982344" cy="10795"/>
                          </a:xfrm>
                          <a:custGeom>
                            <a:avLst/>
                            <a:gdLst/>
                            <a:ahLst/>
                            <a:cxnLst/>
                            <a:rect l="l" t="t" r="r" b="b"/>
                            <a:pathLst>
                              <a:path w="982344" h="10795">
                                <a:moveTo>
                                  <a:pt x="981760" y="0"/>
                                </a:moveTo>
                                <a:lnTo>
                                  <a:pt x="0" y="0"/>
                                </a:lnTo>
                                <a:lnTo>
                                  <a:pt x="0" y="10667"/>
                                </a:lnTo>
                                <a:lnTo>
                                  <a:pt x="981760" y="10667"/>
                                </a:lnTo>
                                <a:lnTo>
                                  <a:pt x="9817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7.350pt;height:.85pt;mso-position-horizontal-relative:char;mso-position-vertical-relative:line" id="docshapegroup270" coordorigin="0,0" coordsize="1547,17">
                <v:rect style="position:absolute;left:0;top:0;width:1547;height:17" id="docshape271" filled="true" fillcolor="#000000" stroked="false">
                  <v:fill type="solid"/>
                </v:rect>
              </v:group>
            </w:pict>
          </mc:Fallback>
        </mc:AlternateContent>
      </w:r>
      <w:r>
        <w:rPr>
          <w:rFonts w:ascii="Cambria Math"/>
          <w:sz w:val="2"/>
        </w:rPr>
      </w:r>
    </w:p>
    <w:p>
      <w:pPr>
        <w:pStyle w:val="BodyText"/>
        <w:ind w:left="25"/>
        <w:jc w:val="center"/>
        <w:rPr>
          <w:rFonts w:ascii="Cambria Math" w:hAnsi="Cambria Math" w:eastAsia="Cambria Math"/>
        </w:rPr>
      </w:pPr>
      <w:r>
        <w:rPr>
          <w:rFonts w:ascii="Cambria Math" w:hAnsi="Cambria Math" w:eastAsia="Cambria Math"/>
          <w:spacing w:val="-2"/>
          <w:w w:val="105"/>
        </w:rPr>
        <w:t>𝐼𝐻𝐾</w:t>
      </w:r>
      <w:r>
        <w:rPr>
          <w:rFonts w:ascii="Cambria Math" w:hAnsi="Cambria Math" w:eastAsia="Cambria Math"/>
          <w:spacing w:val="-2"/>
          <w:w w:val="105"/>
          <w:vertAlign w:val="subscript"/>
        </w:rPr>
        <w:t>𝑡−1</w:t>
      </w:r>
    </w:p>
    <w:p>
      <w:pPr>
        <w:pStyle w:val="BodyText"/>
        <w:spacing w:before="148"/>
        <w:ind w:left="72"/>
        <w:rPr>
          <w:rFonts w:ascii="Cambria Math" w:hAnsi="Cambria Math"/>
        </w:rPr>
      </w:pPr>
      <w:r>
        <w:rPr/>
        <w:br w:type="column"/>
      </w:r>
      <w:r>
        <w:rPr>
          <w:rFonts w:ascii="Cambria Math" w:hAnsi="Cambria Math"/>
        </w:rPr>
        <w:t>×</w:t>
      </w:r>
      <w:r>
        <w:rPr>
          <w:rFonts w:ascii="Cambria Math" w:hAnsi="Cambria Math"/>
          <w:spacing w:val="1"/>
        </w:rPr>
        <w:t> </w:t>
      </w:r>
      <w:r>
        <w:rPr>
          <w:rFonts w:ascii="Cambria Math" w:hAnsi="Cambria Math"/>
          <w:spacing w:val="-5"/>
        </w:rPr>
        <w:t>100</w:t>
      </w:r>
    </w:p>
    <w:p>
      <w:pPr>
        <w:pStyle w:val="BodyText"/>
        <w:spacing w:after="0"/>
        <w:rPr>
          <w:rFonts w:ascii="Cambria Math" w:hAnsi="Cambria Math"/>
        </w:rPr>
        <w:sectPr>
          <w:type w:val="continuous"/>
          <w:pgSz w:w="11910" w:h="16840"/>
          <w:pgMar w:header="0" w:footer="1000" w:top="1360" w:bottom="280" w:left="1417" w:right="1275"/>
          <w:cols w:num="4" w:equalWidth="0">
            <w:col w:w="3354" w:space="40"/>
            <w:col w:w="988" w:space="39"/>
            <w:col w:w="1565" w:space="40"/>
            <w:col w:w="3192"/>
          </w:cols>
        </w:sectPr>
      </w:pPr>
    </w:p>
    <w:p>
      <w:pPr>
        <w:pStyle w:val="BodyText"/>
        <w:tabs>
          <w:tab w:pos="2903" w:val="left" w:leader="none"/>
        </w:tabs>
        <w:spacing w:before="137"/>
        <w:ind w:left="2183"/>
      </w:pPr>
      <w:r>
        <w:rPr>
          <w:spacing w:val="-5"/>
        </w:rPr>
        <w:t>IRt</w:t>
      </w:r>
      <w:r>
        <w:rPr/>
        <w:tab/>
        <w:t>=</w:t>
      </w:r>
      <w:r>
        <w:rPr>
          <w:spacing w:val="-2"/>
        </w:rPr>
        <w:t> </w:t>
      </w:r>
      <w:r>
        <w:rPr/>
        <w:t>Tingkat</w:t>
      </w:r>
      <w:r>
        <w:rPr>
          <w:spacing w:val="-1"/>
        </w:rPr>
        <w:t> </w:t>
      </w:r>
      <w:r>
        <w:rPr/>
        <w:t>inflasi </w:t>
      </w:r>
      <w:r>
        <w:rPr>
          <w:spacing w:val="-5"/>
        </w:rPr>
        <w:t>yoy</w:t>
      </w:r>
    </w:p>
    <w:p>
      <w:pPr>
        <w:pStyle w:val="BodyText"/>
        <w:tabs>
          <w:tab w:pos="2903" w:val="left" w:leader="none"/>
        </w:tabs>
        <w:spacing w:line="360" w:lineRule="auto" w:before="140"/>
        <w:ind w:left="2183" w:right="1256"/>
      </w:pPr>
      <w:r>
        <w:rPr>
          <w:spacing w:val="-4"/>
        </w:rPr>
        <w:t>IHKt</w:t>
      </w:r>
      <w:r>
        <w:rPr/>
        <w:tab/>
        <w:t>= Indeks harga konsumen periode tahun tertentu IHKt-1</w:t>
      </w:r>
      <w:r>
        <w:rPr>
          <w:spacing w:val="-32"/>
        </w:rPr>
        <w:t> </w:t>
      </w:r>
      <w:r>
        <w:rPr/>
        <w:t>=</w:t>
      </w:r>
      <w:r>
        <w:rPr>
          <w:spacing w:val="-7"/>
        </w:rPr>
        <w:t> </w:t>
      </w:r>
      <w:r>
        <w:rPr/>
        <w:t>Indeks</w:t>
      </w:r>
      <w:r>
        <w:rPr>
          <w:spacing w:val="-6"/>
        </w:rPr>
        <w:t> </w:t>
      </w:r>
      <w:r>
        <w:rPr/>
        <w:t>harga</w:t>
      </w:r>
      <w:r>
        <w:rPr>
          <w:spacing w:val="-7"/>
        </w:rPr>
        <w:t> </w:t>
      </w:r>
      <w:r>
        <w:rPr/>
        <w:t>konsumen</w:t>
      </w:r>
      <w:r>
        <w:rPr>
          <w:spacing w:val="-6"/>
        </w:rPr>
        <w:t> </w:t>
      </w:r>
      <w:r>
        <w:rPr/>
        <w:t>periode</w:t>
      </w:r>
      <w:r>
        <w:rPr>
          <w:spacing w:val="-7"/>
        </w:rPr>
        <w:t> </w:t>
      </w:r>
      <w:r>
        <w:rPr/>
        <w:t>tahun</w:t>
      </w:r>
      <w:r>
        <w:rPr>
          <w:spacing w:val="-6"/>
        </w:rPr>
        <w:t> </w:t>
      </w:r>
      <w:r>
        <w:rPr/>
        <w:t>sebelumnya</w:t>
      </w:r>
    </w:p>
    <w:p>
      <w:pPr>
        <w:pStyle w:val="BodyText"/>
        <w:spacing w:before="150"/>
        <w:rPr>
          <w:sz w:val="20"/>
        </w:rPr>
      </w:pPr>
      <w:r>
        <w:rPr>
          <w:sz w:val="20"/>
        </w:rPr>
        <mc:AlternateContent>
          <mc:Choice Requires="wps">
            <w:drawing>
              <wp:anchor distT="0" distB="0" distL="0" distR="0" allowOverlap="1" layoutInCell="1" locked="0" behindDoc="1" simplePos="0" relativeHeight="487614464">
                <wp:simplePos x="0" y="0"/>
                <wp:positionH relativeFrom="page">
                  <wp:posOffset>914704</wp:posOffset>
                </wp:positionH>
                <wp:positionV relativeFrom="paragraph">
                  <wp:posOffset>256521</wp:posOffset>
                </wp:positionV>
                <wp:extent cx="1829435" cy="9525"/>
                <wp:effectExtent l="0" t="0" r="0" b="0"/>
                <wp:wrapTopAndBottom/>
                <wp:docPr id="300" name="Graphic 300"/>
                <wp:cNvGraphicFramePr>
                  <a:graphicFrameLocks/>
                </wp:cNvGraphicFramePr>
                <a:graphic>
                  <a:graphicData uri="http://schemas.microsoft.com/office/word/2010/wordprocessingShape">
                    <wps:wsp>
                      <wps:cNvPr id="300" name="Graphic 300"/>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198545pt;width:144.020pt;height:.71997pt;mso-position-horizontal-relative:page;mso-position-vertical-relative:paragraph;z-index:-15702016;mso-wrap-distance-left:0;mso-wrap-distance-right:0" id="docshape272" filled="true" fillcolor="#000000" stroked="false">
                <v:fill type="solid"/>
                <w10:wrap type="topAndBottom"/>
              </v:rect>
            </w:pict>
          </mc:Fallback>
        </mc:AlternateContent>
      </w:r>
    </w:p>
    <w:p>
      <w:pPr>
        <w:spacing w:before="101"/>
        <w:ind w:left="0" w:right="170" w:firstLine="0"/>
        <w:jc w:val="right"/>
        <w:rPr>
          <w:sz w:val="20"/>
        </w:rPr>
      </w:pPr>
      <w:bookmarkStart w:name="_bookmark133" w:id="134"/>
      <w:bookmarkEnd w:id="134"/>
      <w:r>
        <w:rPr/>
      </w:r>
      <w:r>
        <w:rPr>
          <w:sz w:val="20"/>
          <w:vertAlign w:val="superscript"/>
        </w:rPr>
        <w:t>82</w:t>
      </w:r>
      <w:r>
        <w:rPr>
          <w:spacing w:val="37"/>
          <w:sz w:val="20"/>
          <w:vertAlign w:val="baseline"/>
        </w:rPr>
        <w:t> </w:t>
      </w:r>
      <w:r>
        <w:rPr>
          <w:sz w:val="20"/>
          <w:vertAlign w:val="baseline"/>
        </w:rPr>
        <w:t>Anyta</w:t>
      </w:r>
      <w:r>
        <w:rPr>
          <w:spacing w:val="37"/>
          <w:sz w:val="20"/>
          <w:vertAlign w:val="baseline"/>
        </w:rPr>
        <w:t> </w:t>
      </w:r>
      <w:r>
        <w:rPr>
          <w:sz w:val="20"/>
          <w:vertAlign w:val="baseline"/>
        </w:rPr>
        <w:t>Nur</w:t>
      </w:r>
      <w:r>
        <w:rPr>
          <w:spacing w:val="38"/>
          <w:sz w:val="20"/>
          <w:vertAlign w:val="baseline"/>
        </w:rPr>
        <w:t> </w:t>
      </w:r>
      <w:r>
        <w:rPr>
          <w:sz w:val="20"/>
          <w:vertAlign w:val="baseline"/>
        </w:rPr>
        <w:t>Wulan,</w:t>
      </w:r>
      <w:r>
        <w:rPr>
          <w:spacing w:val="38"/>
          <w:sz w:val="20"/>
          <w:vertAlign w:val="baseline"/>
        </w:rPr>
        <w:t> </w:t>
      </w:r>
      <w:r>
        <w:rPr>
          <w:sz w:val="20"/>
          <w:vertAlign w:val="baseline"/>
        </w:rPr>
        <w:t>‘Analisis</w:t>
      </w:r>
      <w:r>
        <w:rPr>
          <w:spacing w:val="36"/>
          <w:sz w:val="20"/>
          <w:vertAlign w:val="baseline"/>
        </w:rPr>
        <w:t> </w:t>
      </w:r>
      <w:r>
        <w:rPr>
          <w:sz w:val="20"/>
          <w:vertAlign w:val="baseline"/>
        </w:rPr>
        <w:t>Pengaruh</w:t>
      </w:r>
      <w:r>
        <w:rPr>
          <w:spacing w:val="39"/>
          <w:sz w:val="20"/>
          <w:vertAlign w:val="baseline"/>
        </w:rPr>
        <w:t> </w:t>
      </w:r>
      <w:r>
        <w:rPr>
          <w:sz w:val="20"/>
          <w:vertAlign w:val="baseline"/>
        </w:rPr>
        <w:t>Indikator</w:t>
      </w:r>
      <w:r>
        <w:rPr>
          <w:spacing w:val="38"/>
          <w:sz w:val="20"/>
          <w:vertAlign w:val="baseline"/>
        </w:rPr>
        <w:t> </w:t>
      </w:r>
      <w:r>
        <w:rPr>
          <w:sz w:val="20"/>
          <w:vertAlign w:val="baseline"/>
        </w:rPr>
        <w:t>Makroekonomi</w:t>
      </w:r>
      <w:r>
        <w:rPr>
          <w:spacing w:val="37"/>
          <w:sz w:val="20"/>
          <w:vertAlign w:val="baseline"/>
        </w:rPr>
        <w:t> </w:t>
      </w:r>
      <w:r>
        <w:rPr>
          <w:sz w:val="20"/>
          <w:vertAlign w:val="baseline"/>
        </w:rPr>
        <w:t>Terhadap</w:t>
      </w:r>
      <w:r>
        <w:rPr>
          <w:spacing w:val="38"/>
          <w:sz w:val="20"/>
          <w:vertAlign w:val="baseline"/>
        </w:rPr>
        <w:t> </w:t>
      </w:r>
      <w:r>
        <w:rPr>
          <w:sz w:val="20"/>
          <w:vertAlign w:val="baseline"/>
        </w:rPr>
        <w:t>Indeks</w:t>
      </w:r>
      <w:r>
        <w:rPr>
          <w:spacing w:val="37"/>
          <w:sz w:val="20"/>
          <w:vertAlign w:val="baseline"/>
        </w:rPr>
        <w:t> </w:t>
      </w:r>
      <w:r>
        <w:rPr>
          <w:sz w:val="20"/>
          <w:vertAlign w:val="baseline"/>
        </w:rPr>
        <w:t>Harga</w:t>
      </w:r>
      <w:r>
        <w:rPr>
          <w:spacing w:val="37"/>
          <w:sz w:val="20"/>
          <w:vertAlign w:val="baseline"/>
        </w:rPr>
        <w:t> </w:t>
      </w:r>
      <w:r>
        <w:rPr>
          <w:spacing w:val="-2"/>
          <w:sz w:val="20"/>
          <w:vertAlign w:val="baseline"/>
        </w:rPr>
        <w:t>Saham</w:t>
      </w:r>
    </w:p>
    <w:p>
      <w:pPr>
        <w:spacing w:before="0"/>
        <w:ind w:left="0" w:right="156" w:firstLine="0"/>
        <w:jc w:val="right"/>
        <w:rPr>
          <w:sz w:val="20"/>
        </w:rPr>
      </w:pPr>
      <w:r>
        <w:rPr>
          <w:sz w:val="20"/>
        </w:rPr>
        <w:t>Syariah</w:t>
      </w:r>
      <w:r>
        <w:rPr>
          <w:spacing w:val="-5"/>
          <w:sz w:val="20"/>
        </w:rPr>
        <w:t> </w:t>
      </w:r>
      <w:r>
        <w:rPr>
          <w:sz w:val="20"/>
        </w:rPr>
        <w:t>Di</w:t>
      </w:r>
      <w:r>
        <w:rPr>
          <w:spacing w:val="-3"/>
          <w:sz w:val="20"/>
        </w:rPr>
        <w:t> </w:t>
      </w:r>
      <w:r>
        <w:rPr>
          <w:sz w:val="20"/>
        </w:rPr>
        <w:t>Indonesia</w:t>
      </w:r>
      <w:r>
        <w:rPr>
          <w:spacing w:val="-3"/>
          <w:sz w:val="20"/>
        </w:rPr>
        <w:t> </w:t>
      </w:r>
      <w:r>
        <w:rPr>
          <w:sz w:val="20"/>
        </w:rPr>
        <w:t>Tahun</w:t>
      </w:r>
      <w:r>
        <w:rPr>
          <w:spacing w:val="-2"/>
          <w:sz w:val="20"/>
        </w:rPr>
        <w:t> </w:t>
      </w:r>
      <w:r>
        <w:rPr>
          <w:sz w:val="20"/>
        </w:rPr>
        <w:t>2011-2020’,</w:t>
      </w:r>
      <w:r>
        <w:rPr>
          <w:spacing w:val="-4"/>
          <w:sz w:val="20"/>
        </w:rPr>
        <w:t> </w:t>
      </w:r>
      <w:r>
        <w:rPr>
          <w:i/>
          <w:sz w:val="20"/>
        </w:rPr>
        <w:t>Syi`ar</w:t>
      </w:r>
      <w:r>
        <w:rPr>
          <w:i/>
          <w:spacing w:val="-6"/>
          <w:sz w:val="20"/>
        </w:rPr>
        <w:t> </w:t>
      </w:r>
      <w:r>
        <w:rPr>
          <w:i/>
          <w:sz w:val="20"/>
        </w:rPr>
        <w:t>Iqtishadi</w:t>
      </w:r>
      <w:r>
        <w:rPr>
          <w:i/>
          <w:spacing w:val="-12"/>
          <w:sz w:val="20"/>
        </w:rPr>
        <w:t> </w:t>
      </w:r>
      <w:r>
        <w:rPr>
          <w:i/>
          <w:sz w:val="20"/>
        </w:rPr>
        <w:t>:</w:t>
      </w:r>
      <w:r>
        <w:rPr>
          <w:i/>
          <w:spacing w:val="-2"/>
          <w:sz w:val="20"/>
        </w:rPr>
        <w:t> </w:t>
      </w:r>
      <w:r>
        <w:rPr>
          <w:i/>
          <w:sz w:val="20"/>
        </w:rPr>
        <w:t>Journal</w:t>
      </w:r>
      <w:r>
        <w:rPr>
          <w:i/>
          <w:spacing w:val="-6"/>
          <w:sz w:val="20"/>
        </w:rPr>
        <w:t> </w:t>
      </w:r>
      <w:r>
        <w:rPr>
          <w:i/>
          <w:sz w:val="20"/>
        </w:rPr>
        <w:t>of</w:t>
      </w:r>
      <w:r>
        <w:rPr>
          <w:i/>
          <w:spacing w:val="-2"/>
          <w:sz w:val="20"/>
        </w:rPr>
        <w:t> </w:t>
      </w:r>
      <w:r>
        <w:rPr>
          <w:i/>
          <w:sz w:val="20"/>
        </w:rPr>
        <w:t>Islamic</w:t>
      </w:r>
      <w:r>
        <w:rPr>
          <w:i/>
          <w:spacing w:val="-2"/>
          <w:sz w:val="20"/>
        </w:rPr>
        <w:t> </w:t>
      </w:r>
      <w:r>
        <w:rPr>
          <w:i/>
          <w:sz w:val="20"/>
        </w:rPr>
        <w:t>Economics,</w:t>
      </w:r>
      <w:r>
        <w:rPr>
          <w:i/>
          <w:spacing w:val="-5"/>
          <w:sz w:val="20"/>
        </w:rPr>
        <w:t> </w:t>
      </w:r>
      <w:r>
        <w:rPr>
          <w:i/>
          <w:sz w:val="20"/>
        </w:rPr>
        <w:t>Finance</w:t>
      </w:r>
      <w:r>
        <w:rPr>
          <w:i/>
          <w:spacing w:val="-5"/>
          <w:sz w:val="20"/>
        </w:rPr>
        <w:t> </w:t>
      </w:r>
      <w:r>
        <w:rPr>
          <w:i/>
          <w:sz w:val="20"/>
        </w:rPr>
        <w:t>and</w:t>
      </w:r>
      <w:r>
        <w:rPr>
          <w:i/>
          <w:spacing w:val="-3"/>
          <w:sz w:val="20"/>
        </w:rPr>
        <w:t> </w:t>
      </w:r>
      <w:r>
        <w:rPr>
          <w:i/>
          <w:spacing w:val="-2"/>
          <w:sz w:val="20"/>
        </w:rPr>
        <w:t>Banking</w:t>
      </w:r>
      <w:r>
        <w:rPr>
          <w:spacing w:val="-2"/>
          <w:sz w:val="20"/>
        </w:rPr>
        <w:t>,</w:t>
      </w:r>
    </w:p>
    <w:p>
      <w:pPr>
        <w:spacing w:line="229" w:lineRule="exact" w:before="1"/>
        <w:ind w:left="23" w:right="0" w:firstLine="0"/>
        <w:jc w:val="both"/>
        <w:rPr>
          <w:sz w:val="20"/>
        </w:rPr>
      </w:pPr>
      <w:r>
        <w:rPr>
          <w:sz w:val="20"/>
        </w:rPr>
        <w:t>4.2</w:t>
      </w:r>
      <w:r>
        <w:rPr>
          <w:spacing w:val="-4"/>
          <w:sz w:val="20"/>
        </w:rPr>
        <w:t> </w:t>
      </w:r>
      <w:r>
        <w:rPr>
          <w:sz w:val="20"/>
        </w:rPr>
        <w:t>(2020),</w:t>
      </w:r>
      <w:r>
        <w:rPr>
          <w:spacing w:val="-4"/>
          <w:sz w:val="20"/>
        </w:rPr>
        <w:t> </w:t>
      </w:r>
      <w:r>
        <w:rPr>
          <w:sz w:val="20"/>
        </w:rPr>
        <w:t>59</w:t>
      </w:r>
      <w:r>
        <w:rPr>
          <w:spacing w:val="-3"/>
          <w:sz w:val="20"/>
        </w:rPr>
        <w:t> </w:t>
      </w:r>
      <w:r>
        <w:rPr>
          <w:spacing w:val="-2"/>
          <w:sz w:val="20"/>
        </w:rPr>
        <w:t>&lt;https://doi.org/10.35448/jiec.v4i2.9844&gt;.</w:t>
      </w:r>
    </w:p>
    <w:p>
      <w:pPr>
        <w:spacing w:line="229" w:lineRule="exact" w:before="0"/>
        <w:ind w:left="743" w:right="0" w:firstLine="0"/>
        <w:jc w:val="both"/>
        <w:rPr>
          <w:sz w:val="20"/>
        </w:rPr>
      </w:pPr>
      <w:bookmarkStart w:name="_bookmark134" w:id="135"/>
      <w:bookmarkEnd w:id="135"/>
      <w:r>
        <w:rPr/>
      </w:r>
      <w:r>
        <w:rPr>
          <w:sz w:val="20"/>
          <w:vertAlign w:val="superscript"/>
        </w:rPr>
        <w:t>83</w:t>
      </w:r>
      <w:r>
        <w:rPr>
          <w:spacing w:val="-6"/>
          <w:sz w:val="20"/>
          <w:vertAlign w:val="baseline"/>
        </w:rPr>
        <w:t> </w:t>
      </w:r>
      <w:r>
        <w:rPr>
          <w:sz w:val="20"/>
          <w:vertAlign w:val="baseline"/>
        </w:rPr>
        <w:t>Boediono,</w:t>
      </w:r>
      <w:r>
        <w:rPr>
          <w:spacing w:val="-7"/>
          <w:sz w:val="20"/>
          <w:vertAlign w:val="baseline"/>
        </w:rPr>
        <w:t> </w:t>
      </w:r>
      <w:r>
        <w:rPr>
          <w:i/>
          <w:sz w:val="20"/>
          <w:vertAlign w:val="baseline"/>
        </w:rPr>
        <w:t>Ekonomi</w:t>
      </w:r>
      <w:r>
        <w:rPr>
          <w:i/>
          <w:spacing w:val="-6"/>
          <w:sz w:val="20"/>
          <w:vertAlign w:val="baseline"/>
        </w:rPr>
        <w:t> </w:t>
      </w:r>
      <w:r>
        <w:rPr>
          <w:i/>
          <w:sz w:val="20"/>
          <w:vertAlign w:val="baseline"/>
        </w:rPr>
        <w:t>Makro</w:t>
      </w:r>
      <w:r>
        <w:rPr>
          <w:i/>
          <w:spacing w:val="-4"/>
          <w:sz w:val="20"/>
          <w:vertAlign w:val="baseline"/>
        </w:rPr>
        <w:t> </w:t>
      </w:r>
      <w:r>
        <w:rPr>
          <w:sz w:val="20"/>
          <w:vertAlign w:val="baseline"/>
        </w:rPr>
        <w:t>(Yogyakarta:</w:t>
      </w:r>
      <w:r>
        <w:rPr>
          <w:spacing w:val="-6"/>
          <w:sz w:val="20"/>
          <w:vertAlign w:val="baseline"/>
        </w:rPr>
        <w:t> </w:t>
      </w:r>
      <w:r>
        <w:rPr>
          <w:sz w:val="20"/>
          <w:vertAlign w:val="baseline"/>
        </w:rPr>
        <w:t>BPFE,</w:t>
      </w:r>
      <w:r>
        <w:rPr>
          <w:spacing w:val="-5"/>
          <w:sz w:val="20"/>
          <w:vertAlign w:val="baseline"/>
        </w:rPr>
        <w:t> </w:t>
      </w:r>
      <w:r>
        <w:rPr>
          <w:spacing w:val="-2"/>
          <w:sz w:val="20"/>
          <w:vertAlign w:val="baseline"/>
        </w:rPr>
        <w:t>2014).</w:t>
      </w:r>
    </w:p>
    <w:p>
      <w:pPr>
        <w:spacing w:before="0"/>
        <w:ind w:left="23" w:right="159" w:firstLine="719"/>
        <w:jc w:val="both"/>
        <w:rPr>
          <w:sz w:val="20"/>
        </w:rPr>
      </w:pPr>
      <w:bookmarkStart w:name="_bookmark135" w:id="136"/>
      <w:bookmarkEnd w:id="136"/>
      <w:r>
        <w:rPr/>
      </w:r>
      <w:r>
        <w:rPr>
          <w:sz w:val="20"/>
          <w:vertAlign w:val="superscript"/>
        </w:rPr>
        <w:t>84</w:t>
      </w:r>
      <w:r>
        <w:rPr>
          <w:spacing w:val="-4"/>
          <w:sz w:val="20"/>
          <w:vertAlign w:val="baseline"/>
        </w:rPr>
        <w:t> </w:t>
      </w:r>
      <w:r>
        <w:rPr>
          <w:sz w:val="20"/>
          <w:vertAlign w:val="baseline"/>
        </w:rPr>
        <w:t>Ega</w:t>
      </w:r>
      <w:r>
        <w:rPr>
          <w:spacing w:val="-4"/>
          <w:sz w:val="20"/>
          <w:vertAlign w:val="baseline"/>
        </w:rPr>
        <w:t> </w:t>
      </w:r>
      <w:r>
        <w:rPr>
          <w:sz w:val="20"/>
          <w:vertAlign w:val="baseline"/>
        </w:rPr>
        <w:t>Risti</w:t>
      </w:r>
      <w:r>
        <w:rPr>
          <w:spacing w:val="-5"/>
          <w:sz w:val="20"/>
          <w:vertAlign w:val="baseline"/>
        </w:rPr>
        <w:t> </w:t>
      </w:r>
      <w:r>
        <w:rPr>
          <w:sz w:val="20"/>
          <w:vertAlign w:val="baseline"/>
        </w:rPr>
        <w:t>Safany,</w:t>
      </w:r>
      <w:r>
        <w:rPr>
          <w:spacing w:val="-4"/>
          <w:sz w:val="20"/>
          <w:vertAlign w:val="baseline"/>
        </w:rPr>
        <w:t> </w:t>
      </w:r>
      <w:r>
        <w:rPr>
          <w:sz w:val="20"/>
          <w:vertAlign w:val="baseline"/>
        </w:rPr>
        <w:t>Iwan</w:t>
      </w:r>
      <w:r>
        <w:rPr>
          <w:spacing w:val="-3"/>
          <w:sz w:val="20"/>
          <w:vertAlign w:val="baseline"/>
        </w:rPr>
        <w:t> </w:t>
      </w:r>
      <w:r>
        <w:rPr>
          <w:sz w:val="20"/>
          <w:vertAlign w:val="baseline"/>
        </w:rPr>
        <w:t>Setiawan,</w:t>
      </w:r>
      <w:r>
        <w:rPr>
          <w:spacing w:val="-4"/>
          <w:sz w:val="20"/>
          <w:vertAlign w:val="baseline"/>
        </w:rPr>
        <w:t> </w:t>
      </w:r>
      <w:r>
        <w:rPr>
          <w:sz w:val="20"/>
          <w:vertAlign w:val="baseline"/>
        </w:rPr>
        <w:t>and</w:t>
      </w:r>
      <w:r>
        <w:rPr>
          <w:spacing w:val="-3"/>
          <w:sz w:val="20"/>
          <w:vertAlign w:val="baseline"/>
        </w:rPr>
        <w:t> </w:t>
      </w:r>
      <w:r>
        <w:rPr>
          <w:sz w:val="20"/>
          <w:vertAlign w:val="baseline"/>
        </w:rPr>
        <w:t>Fifi</w:t>
      </w:r>
      <w:r>
        <w:rPr>
          <w:spacing w:val="-4"/>
          <w:sz w:val="20"/>
          <w:vertAlign w:val="baseline"/>
        </w:rPr>
        <w:t> </w:t>
      </w:r>
      <w:r>
        <w:rPr>
          <w:sz w:val="20"/>
          <w:vertAlign w:val="baseline"/>
        </w:rPr>
        <w:t>Afiyanti</w:t>
      </w:r>
      <w:r>
        <w:rPr>
          <w:spacing w:val="-5"/>
          <w:sz w:val="20"/>
          <w:vertAlign w:val="baseline"/>
        </w:rPr>
        <w:t> </w:t>
      </w:r>
      <w:r>
        <w:rPr>
          <w:sz w:val="20"/>
          <w:vertAlign w:val="baseline"/>
        </w:rPr>
        <w:t>Tripuspitorini,</w:t>
      </w:r>
      <w:r>
        <w:rPr>
          <w:spacing w:val="-4"/>
          <w:sz w:val="20"/>
          <w:vertAlign w:val="baseline"/>
        </w:rPr>
        <w:t> </w:t>
      </w:r>
      <w:r>
        <w:rPr>
          <w:sz w:val="20"/>
          <w:vertAlign w:val="baseline"/>
        </w:rPr>
        <w:t>‘Analisis</w:t>
      </w:r>
      <w:r>
        <w:rPr>
          <w:spacing w:val="-5"/>
          <w:sz w:val="20"/>
          <w:vertAlign w:val="baseline"/>
        </w:rPr>
        <w:t> </w:t>
      </w:r>
      <w:r>
        <w:rPr>
          <w:sz w:val="20"/>
          <w:vertAlign w:val="baseline"/>
        </w:rPr>
        <w:t>Pengaruh</w:t>
      </w:r>
      <w:r>
        <w:rPr>
          <w:spacing w:val="-3"/>
          <w:sz w:val="20"/>
          <w:vertAlign w:val="baseline"/>
        </w:rPr>
        <w:t> </w:t>
      </w:r>
      <w:r>
        <w:rPr>
          <w:sz w:val="20"/>
          <w:vertAlign w:val="baseline"/>
        </w:rPr>
        <w:t>Makroekonomi Dan Kinerja Perusahaan Terhadap Harga Saham Syariah Pada Indeks Saham Syariah Indonesia’, </w:t>
      </w:r>
      <w:r>
        <w:rPr>
          <w:i/>
          <w:sz w:val="20"/>
          <w:vertAlign w:val="baseline"/>
        </w:rPr>
        <w:t>Journal of Applied Islamic Economics and Finance</w:t>
      </w:r>
      <w:r>
        <w:rPr>
          <w:sz w:val="20"/>
          <w:vertAlign w:val="baseline"/>
        </w:rPr>
        <w:t>, 2.1 (2021), 64–74 &lt;https://doi.org/10.35313/jaief.v2i1.2829&gt;.</w:t>
      </w:r>
    </w:p>
    <w:p>
      <w:pPr>
        <w:spacing w:after="0"/>
        <w:jc w:val="both"/>
        <w:rPr>
          <w:sz w:val="20"/>
        </w:rPr>
        <w:sectPr>
          <w:type w:val="continuous"/>
          <w:pgSz w:w="11910" w:h="16840"/>
          <w:pgMar w:header="0" w:footer="1000" w:top="1360" w:bottom="280" w:left="1417" w:right="1275"/>
        </w:sectPr>
      </w:pPr>
    </w:p>
    <w:p>
      <w:pPr>
        <w:pStyle w:val="Heading2"/>
        <w:numPr>
          <w:ilvl w:val="2"/>
          <w:numId w:val="23"/>
        </w:numPr>
        <w:tabs>
          <w:tab w:pos="1283" w:val="left" w:leader="none"/>
        </w:tabs>
        <w:spacing w:line="240" w:lineRule="auto" w:before="60" w:after="0"/>
        <w:ind w:left="1283" w:right="0" w:hanging="540"/>
        <w:jc w:val="left"/>
      </w:pPr>
      <w:bookmarkStart w:name="_bookmark136" w:id="137"/>
      <w:bookmarkEnd w:id="137"/>
      <w:r>
        <w:rPr>
          <w:b w:val="0"/>
        </w:rPr>
      </w:r>
      <w:r>
        <w:rPr/>
        <w:t>Indeks</w:t>
      </w:r>
      <w:r>
        <w:rPr>
          <w:spacing w:val="-4"/>
        </w:rPr>
        <w:t> </w:t>
      </w:r>
      <w:r>
        <w:rPr/>
        <w:t>Produksi</w:t>
      </w:r>
      <w:r>
        <w:rPr>
          <w:spacing w:val="-3"/>
        </w:rPr>
        <w:t> </w:t>
      </w:r>
      <w:r>
        <w:rPr>
          <w:spacing w:val="-2"/>
        </w:rPr>
        <w:t>Industri</w:t>
      </w:r>
    </w:p>
    <w:p>
      <w:pPr>
        <w:pStyle w:val="BodyText"/>
        <w:spacing w:before="22"/>
        <w:rPr>
          <w:b/>
        </w:rPr>
      </w:pPr>
    </w:p>
    <w:p>
      <w:pPr>
        <w:pStyle w:val="BodyText"/>
        <w:spacing w:line="360" w:lineRule="auto"/>
        <w:ind w:left="1463" w:right="162" w:firstLine="720"/>
        <w:jc w:val="both"/>
      </w:pPr>
      <w:r>
        <w:rPr/>
        <w:t>Indeks Produksi Industri (IPI) adalah ukuran statistik yang menggambarkan perkembangan produksi sektor industri dalam suatu wilayah atau</w:t>
      </w:r>
      <w:r>
        <w:rPr>
          <w:spacing w:val="-15"/>
        </w:rPr>
        <w:t> </w:t>
      </w:r>
      <w:r>
        <w:rPr/>
        <w:t>negara</w:t>
      </w:r>
      <w:r>
        <w:rPr>
          <w:spacing w:val="-15"/>
        </w:rPr>
        <w:t> </w:t>
      </w:r>
      <w:r>
        <w:rPr/>
        <w:t>pada</w:t>
      </w:r>
      <w:r>
        <w:rPr>
          <w:spacing w:val="-15"/>
        </w:rPr>
        <w:t> </w:t>
      </w:r>
      <w:r>
        <w:rPr/>
        <w:t>periode</w:t>
      </w:r>
      <w:r>
        <w:rPr>
          <w:spacing w:val="-15"/>
        </w:rPr>
        <w:t> </w:t>
      </w:r>
      <w:r>
        <w:rPr/>
        <w:t>tertentu</w:t>
      </w:r>
      <w:r>
        <w:rPr>
          <w:spacing w:val="-15"/>
        </w:rPr>
        <w:t> </w:t>
      </w:r>
      <w:r>
        <w:rPr/>
        <w:t>dibandingkan</w:t>
      </w:r>
      <w:r>
        <w:rPr>
          <w:spacing w:val="-15"/>
        </w:rPr>
        <w:t> </w:t>
      </w:r>
      <w:r>
        <w:rPr/>
        <w:t>dengan</w:t>
      </w:r>
      <w:r>
        <w:rPr>
          <w:spacing w:val="-15"/>
        </w:rPr>
        <w:t> </w:t>
      </w:r>
      <w:r>
        <w:rPr/>
        <w:t>periode</w:t>
      </w:r>
      <w:r>
        <w:rPr>
          <w:spacing w:val="-15"/>
        </w:rPr>
        <w:t> </w:t>
      </w:r>
      <w:r>
        <w:rPr/>
        <w:t>dasar</w:t>
      </w:r>
      <w:r>
        <w:rPr>
          <w:spacing w:val="-15"/>
        </w:rPr>
        <w:t> </w:t>
      </w:r>
      <w:r>
        <w:rPr/>
        <w:t>yang</w:t>
      </w:r>
      <w:r>
        <w:rPr>
          <w:spacing w:val="-15"/>
        </w:rPr>
        <w:t> </w:t>
      </w:r>
      <w:r>
        <w:rPr/>
        <w:t>telah ditetapkan. IPI digunakan untuk mengukur kecepatan perkembangan industri dengan</w:t>
      </w:r>
      <w:r>
        <w:rPr>
          <w:spacing w:val="-13"/>
        </w:rPr>
        <w:t> </w:t>
      </w:r>
      <w:r>
        <w:rPr/>
        <w:t>membandingkan</w:t>
      </w:r>
      <w:r>
        <w:rPr>
          <w:spacing w:val="-11"/>
        </w:rPr>
        <w:t> </w:t>
      </w:r>
      <w:r>
        <w:rPr/>
        <w:t>volume</w:t>
      </w:r>
      <w:r>
        <w:rPr>
          <w:spacing w:val="-14"/>
        </w:rPr>
        <w:t> </w:t>
      </w:r>
      <w:r>
        <w:rPr/>
        <w:t>produksi</w:t>
      </w:r>
      <w:r>
        <w:rPr>
          <w:spacing w:val="-12"/>
        </w:rPr>
        <w:t> </w:t>
      </w:r>
      <w:r>
        <w:rPr/>
        <w:t>aktual</w:t>
      </w:r>
      <w:r>
        <w:rPr>
          <w:spacing w:val="-13"/>
        </w:rPr>
        <w:t> </w:t>
      </w:r>
      <w:r>
        <w:rPr/>
        <w:t>pada</w:t>
      </w:r>
      <w:r>
        <w:rPr>
          <w:spacing w:val="-14"/>
        </w:rPr>
        <w:t> </w:t>
      </w:r>
      <w:r>
        <w:rPr/>
        <w:t>periode</w:t>
      </w:r>
      <w:r>
        <w:rPr>
          <w:spacing w:val="-14"/>
        </w:rPr>
        <w:t> </w:t>
      </w:r>
      <w:r>
        <w:rPr/>
        <w:t>tertentu</w:t>
      </w:r>
      <w:r>
        <w:rPr>
          <w:spacing w:val="-12"/>
        </w:rPr>
        <w:t> </w:t>
      </w:r>
      <w:r>
        <w:rPr/>
        <w:t>terhadap volume produksi pada periode dasar. Jika nilai IPI lebih dari 100, berarti produksi industri meningkat dibandingkan periode dasar, dan sebaliknya jika kurang dari 100 maka produksi menurun.</w:t>
      </w:r>
    </w:p>
    <w:p>
      <w:pPr>
        <w:spacing w:before="1"/>
        <w:ind w:left="1298" w:right="0" w:firstLine="0"/>
        <w:jc w:val="center"/>
        <w:rPr>
          <w:sz w:val="24"/>
        </w:rPr>
      </w:pPr>
      <w:r>
        <w:rPr>
          <w:i/>
          <w:spacing w:val="-2"/>
          <w:sz w:val="24"/>
        </w:rPr>
        <w:t>IPI</w:t>
      </w:r>
      <w:r>
        <w:rPr>
          <w:spacing w:val="-2"/>
          <w:sz w:val="24"/>
        </w:rPr>
        <w:t>=(</w:t>
      </w:r>
      <w:r>
        <w:rPr>
          <w:i/>
          <w:spacing w:val="-2"/>
          <w:sz w:val="24"/>
        </w:rPr>
        <w:t>P</w:t>
      </w:r>
      <w:r>
        <w:rPr>
          <w:spacing w:val="-2"/>
          <w:sz w:val="24"/>
        </w:rPr>
        <w:t>/</w:t>
      </w:r>
      <w:r>
        <w:rPr>
          <w:i/>
          <w:spacing w:val="-2"/>
          <w:sz w:val="24"/>
        </w:rPr>
        <w:t>P0</w:t>
      </w:r>
      <w:r>
        <w:rPr>
          <w:spacing w:val="-2"/>
          <w:sz w:val="24"/>
        </w:rPr>
        <w:t>)×100</w:t>
      </w:r>
    </w:p>
    <w:p>
      <w:pPr>
        <w:pStyle w:val="BodyText"/>
        <w:spacing w:before="140"/>
        <w:ind w:left="1463"/>
      </w:pPr>
      <w:r>
        <w:rPr/>
        <w:t>di</w:t>
      </w:r>
      <w:r>
        <w:rPr>
          <w:spacing w:val="-2"/>
        </w:rPr>
        <w:t> mana:</w:t>
      </w:r>
    </w:p>
    <w:p>
      <w:pPr>
        <w:pStyle w:val="BodyText"/>
        <w:spacing w:before="136"/>
        <w:ind w:left="1463"/>
      </w:pPr>
      <w:r>
        <w:rPr/>
        <w:t>P</w:t>
      </w:r>
      <w:r>
        <w:rPr>
          <w:spacing w:val="-1"/>
        </w:rPr>
        <w:t> </w:t>
      </w:r>
      <w:r>
        <w:rPr/>
        <w:t>=</w:t>
      </w:r>
      <w:r>
        <w:rPr>
          <w:spacing w:val="-1"/>
        </w:rPr>
        <w:t> </w:t>
      </w:r>
      <w:r>
        <w:rPr/>
        <w:t>volume</w:t>
      </w:r>
      <w:r>
        <w:rPr>
          <w:spacing w:val="-1"/>
        </w:rPr>
        <w:t> </w:t>
      </w:r>
      <w:r>
        <w:rPr/>
        <w:t>produksi</w:t>
      </w:r>
      <w:r>
        <w:rPr>
          <w:spacing w:val="-1"/>
        </w:rPr>
        <w:t> </w:t>
      </w:r>
      <w:r>
        <w:rPr/>
        <w:t>aktual pada</w:t>
      </w:r>
      <w:r>
        <w:rPr>
          <w:spacing w:val="-1"/>
        </w:rPr>
        <w:t> </w:t>
      </w:r>
      <w:r>
        <w:rPr/>
        <w:t>periode</w:t>
      </w:r>
      <w:r>
        <w:rPr>
          <w:spacing w:val="-2"/>
        </w:rPr>
        <w:t> berjalan</w:t>
      </w:r>
    </w:p>
    <w:p>
      <w:pPr>
        <w:pStyle w:val="BodyText"/>
        <w:spacing w:before="137"/>
        <w:ind w:left="1463"/>
      </w:pPr>
      <w:r>
        <w:rPr>
          <w:i/>
        </w:rPr>
        <w:t>P</w:t>
      </w:r>
      <w:r>
        <w:rPr/>
        <w:t>0</w:t>
      </w:r>
      <w:r>
        <w:rPr>
          <w:spacing w:val="-1"/>
        </w:rPr>
        <w:t> </w:t>
      </w:r>
      <w:r>
        <w:rPr/>
        <w:t>=</w:t>
      </w:r>
      <w:r>
        <w:rPr>
          <w:spacing w:val="-1"/>
        </w:rPr>
        <w:t> </w:t>
      </w:r>
      <w:r>
        <w:rPr/>
        <w:t>volume</w:t>
      </w:r>
      <w:r>
        <w:rPr>
          <w:spacing w:val="-2"/>
        </w:rPr>
        <w:t> </w:t>
      </w:r>
      <w:r>
        <w:rPr/>
        <w:t>produksi pada</w:t>
      </w:r>
      <w:r>
        <w:rPr>
          <w:spacing w:val="-2"/>
        </w:rPr>
        <w:t> </w:t>
      </w:r>
      <w:r>
        <w:rPr/>
        <w:t>periode</w:t>
      </w:r>
      <w:r>
        <w:rPr>
          <w:spacing w:val="-2"/>
        </w:rPr>
        <w:t> </w:t>
      </w:r>
      <w:r>
        <w:rPr/>
        <w:t>dasar (tahun </w:t>
      </w:r>
      <w:r>
        <w:rPr>
          <w:spacing w:val="-2"/>
        </w:rPr>
        <w:t>dasar)</w:t>
      </w:r>
    </w:p>
    <w:p>
      <w:pPr>
        <w:pStyle w:val="BodyText"/>
        <w:spacing w:before="24"/>
      </w:pPr>
    </w:p>
    <w:p>
      <w:pPr>
        <w:pStyle w:val="Heading2"/>
        <w:numPr>
          <w:ilvl w:val="1"/>
          <w:numId w:val="23"/>
        </w:numPr>
        <w:tabs>
          <w:tab w:pos="862" w:val="left" w:leader="none"/>
        </w:tabs>
        <w:spacing w:line="240" w:lineRule="auto" w:before="0" w:after="0"/>
        <w:ind w:left="862" w:right="0" w:hanging="479"/>
        <w:jc w:val="left"/>
      </w:pPr>
      <w:bookmarkStart w:name="_bookmark137" w:id="138"/>
      <w:bookmarkEnd w:id="138"/>
      <w:r>
        <w:rPr>
          <w:b w:val="0"/>
        </w:rPr>
      </w:r>
      <w:r>
        <w:rPr/>
        <w:t>Teknik</w:t>
      </w:r>
      <w:r>
        <w:rPr>
          <w:spacing w:val="-5"/>
        </w:rPr>
        <w:t> </w:t>
      </w:r>
      <w:r>
        <w:rPr/>
        <w:t>Analisis</w:t>
      </w:r>
      <w:r>
        <w:rPr>
          <w:spacing w:val="-2"/>
        </w:rPr>
        <w:t> </w:t>
      </w:r>
      <w:r>
        <w:rPr>
          <w:spacing w:val="-4"/>
        </w:rPr>
        <w:t>Data</w:t>
      </w:r>
    </w:p>
    <w:p>
      <w:pPr>
        <w:pStyle w:val="BodyText"/>
        <w:spacing w:before="22"/>
        <w:rPr>
          <w:b/>
        </w:rPr>
      </w:pPr>
    </w:p>
    <w:p>
      <w:pPr>
        <w:pStyle w:val="BodyText"/>
        <w:spacing w:line="360" w:lineRule="auto"/>
        <w:ind w:left="863" w:right="161" w:firstLine="600"/>
        <w:jc w:val="both"/>
      </w:pPr>
      <w:r>
        <w:rPr/>
        <w:t>Tindakan mengubah data menjadi informasi baru yang lebih mudah dipahami dan menghasilkan pengetahuan yang dapat digunakan sebagai dasar pengambilan keputusan</w:t>
      </w:r>
      <w:r>
        <w:rPr>
          <w:spacing w:val="-7"/>
        </w:rPr>
        <w:t> </w:t>
      </w:r>
      <w:r>
        <w:rPr/>
        <w:t>dikenal</w:t>
      </w:r>
      <w:r>
        <w:rPr>
          <w:spacing w:val="-6"/>
        </w:rPr>
        <w:t> </w:t>
      </w:r>
      <w:r>
        <w:rPr/>
        <w:t>sebagai</w:t>
      </w:r>
      <w:r>
        <w:rPr>
          <w:spacing w:val="-6"/>
        </w:rPr>
        <w:t> </w:t>
      </w:r>
      <w:r>
        <w:rPr/>
        <w:t>analisis</w:t>
      </w:r>
      <w:r>
        <w:rPr>
          <w:spacing w:val="-6"/>
        </w:rPr>
        <w:t> </w:t>
      </w:r>
      <w:r>
        <w:rPr/>
        <w:t>data.</w:t>
      </w:r>
      <w:r>
        <w:rPr>
          <w:spacing w:val="-7"/>
        </w:rPr>
        <w:t> </w:t>
      </w:r>
      <w:r>
        <w:rPr/>
        <w:t>Di</w:t>
      </w:r>
      <w:r>
        <w:rPr>
          <w:spacing w:val="-7"/>
        </w:rPr>
        <w:t> </w:t>
      </w:r>
      <w:r>
        <w:rPr/>
        <w:t>sisi</w:t>
      </w:r>
      <w:r>
        <w:rPr>
          <w:spacing w:val="-6"/>
        </w:rPr>
        <w:t> </w:t>
      </w:r>
      <w:r>
        <w:rPr/>
        <w:t>lain,</w:t>
      </w:r>
      <w:r>
        <w:rPr>
          <w:spacing w:val="-7"/>
        </w:rPr>
        <w:t> </w:t>
      </w:r>
      <w:r>
        <w:rPr/>
        <w:t>tindakan</w:t>
      </w:r>
      <w:r>
        <w:rPr>
          <w:spacing w:val="-7"/>
        </w:rPr>
        <w:t> </w:t>
      </w:r>
      <w:r>
        <w:rPr/>
        <w:t>mengubah</w:t>
      </w:r>
      <w:r>
        <w:rPr>
          <w:spacing w:val="-7"/>
        </w:rPr>
        <w:t> </w:t>
      </w:r>
      <w:r>
        <w:rPr/>
        <w:t>data</w:t>
      </w:r>
      <w:r>
        <w:rPr>
          <w:spacing w:val="-8"/>
        </w:rPr>
        <w:t> </w:t>
      </w:r>
      <w:r>
        <w:rPr/>
        <w:t>menjadi informasi baru dikenal sebagai teknik analisis data. Sasaran pendekatan ini adalah membuat karakteristik data terutama yang berkaitan dengan penelitian lebih mudah dipahami dan praktis sebagai solusi atas suatu masalah. Analisis dapat dilakukan menggunakan berbagai metodologi dan prosedur, tergantung pada tujuan penggunaannya.</w:t>
      </w:r>
      <w:r>
        <w:rPr>
          <w:spacing w:val="-15"/>
        </w:rPr>
        <w:t> </w:t>
      </w:r>
      <w:r>
        <w:rPr/>
        <w:t>Pada</w:t>
      </w:r>
      <w:r>
        <w:rPr>
          <w:spacing w:val="-15"/>
        </w:rPr>
        <w:t> </w:t>
      </w:r>
      <w:r>
        <w:rPr/>
        <w:t>penelitian</w:t>
      </w:r>
      <w:r>
        <w:rPr>
          <w:spacing w:val="-15"/>
        </w:rPr>
        <w:t> </w:t>
      </w:r>
      <w:r>
        <w:rPr/>
        <w:t>ini</w:t>
      </w:r>
      <w:r>
        <w:rPr>
          <w:spacing w:val="-15"/>
        </w:rPr>
        <w:t> </w:t>
      </w:r>
      <w:r>
        <w:rPr/>
        <w:t>menggunakan</w:t>
      </w:r>
      <w:r>
        <w:rPr>
          <w:spacing w:val="-15"/>
        </w:rPr>
        <w:t> </w:t>
      </w:r>
      <w:r>
        <w:rPr/>
        <w:t>bantuan</w:t>
      </w:r>
      <w:r>
        <w:rPr>
          <w:spacing w:val="-15"/>
        </w:rPr>
        <w:t> </w:t>
      </w:r>
      <w:r>
        <w:rPr/>
        <w:t>eviews</w:t>
      </w:r>
      <w:r>
        <w:rPr>
          <w:spacing w:val="-15"/>
        </w:rPr>
        <w:t> </w:t>
      </w:r>
      <w:r>
        <w:rPr/>
        <w:t>untuk</w:t>
      </w:r>
      <w:r>
        <w:rPr>
          <w:spacing w:val="-15"/>
        </w:rPr>
        <w:t> </w:t>
      </w:r>
      <w:r>
        <w:rPr/>
        <w:t>menganalisis </w:t>
      </w:r>
      <w:r>
        <w:rPr>
          <w:spacing w:val="-2"/>
        </w:rPr>
        <w:t>data.</w:t>
      </w:r>
    </w:p>
    <w:p>
      <w:pPr>
        <w:pStyle w:val="Heading2"/>
        <w:numPr>
          <w:ilvl w:val="2"/>
          <w:numId w:val="23"/>
        </w:numPr>
        <w:tabs>
          <w:tab w:pos="1463" w:val="left" w:leader="none"/>
        </w:tabs>
        <w:spacing w:line="240" w:lineRule="auto" w:before="160" w:after="0"/>
        <w:ind w:left="1463" w:right="0" w:hanging="720"/>
        <w:jc w:val="both"/>
      </w:pPr>
      <w:bookmarkStart w:name="_bookmark138" w:id="139"/>
      <w:bookmarkEnd w:id="139"/>
      <w:r>
        <w:rPr>
          <w:b w:val="0"/>
        </w:rPr>
      </w:r>
      <w:r>
        <w:rPr/>
        <w:t>Uji</w:t>
      </w:r>
      <w:r>
        <w:rPr>
          <w:spacing w:val="-2"/>
        </w:rPr>
        <w:t> </w:t>
      </w:r>
      <w:r>
        <w:rPr/>
        <w:t>Asumsi</w:t>
      </w:r>
      <w:r>
        <w:rPr>
          <w:spacing w:val="-1"/>
        </w:rPr>
        <w:t> </w:t>
      </w:r>
      <w:r>
        <w:rPr>
          <w:spacing w:val="-2"/>
        </w:rPr>
        <w:t>Klasik</w:t>
      </w:r>
    </w:p>
    <w:p>
      <w:pPr>
        <w:pStyle w:val="BodyText"/>
        <w:spacing w:before="22"/>
        <w:rPr>
          <w:b/>
        </w:rPr>
      </w:pPr>
    </w:p>
    <w:p>
      <w:pPr>
        <w:pStyle w:val="ListParagraph"/>
        <w:numPr>
          <w:ilvl w:val="3"/>
          <w:numId w:val="23"/>
        </w:numPr>
        <w:tabs>
          <w:tab w:pos="1823" w:val="left" w:leader="none"/>
        </w:tabs>
        <w:spacing w:line="240" w:lineRule="auto" w:before="0" w:after="0"/>
        <w:ind w:left="1823" w:right="0" w:hanging="360"/>
        <w:jc w:val="both"/>
        <w:rPr>
          <w:b/>
          <w:sz w:val="24"/>
        </w:rPr>
      </w:pPr>
      <w:r>
        <w:rPr>
          <w:b/>
          <w:sz w:val="24"/>
        </w:rPr>
        <w:t>Uji</w:t>
      </w:r>
      <w:r>
        <w:rPr>
          <w:b/>
          <w:spacing w:val="-2"/>
          <w:sz w:val="24"/>
        </w:rPr>
        <w:t> Normalitas</w:t>
      </w:r>
    </w:p>
    <w:p>
      <w:pPr>
        <w:pStyle w:val="BodyText"/>
        <w:spacing w:line="360" w:lineRule="auto" w:before="137"/>
        <w:ind w:left="1823" w:right="163" w:firstLine="360"/>
        <w:jc w:val="both"/>
      </w:pPr>
      <w:r>
        <w:rPr/>
        <w:t>Tujuan dari uji normalitas adalah untuk menentukan apakah distribusi data dalam sekumpulan variabel atau data terdistribusi secara teratur atau tidak.</w:t>
      </w:r>
      <w:r>
        <w:rPr>
          <w:spacing w:val="-15"/>
        </w:rPr>
        <w:t> </w:t>
      </w:r>
      <w:r>
        <w:rPr/>
        <w:t>Untuk</w:t>
      </w:r>
      <w:r>
        <w:rPr>
          <w:spacing w:val="-15"/>
        </w:rPr>
        <w:t> </w:t>
      </w:r>
      <w:r>
        <w:rPr/>
        <w:t>memastikan</w:t>
      </w:r>
      <w:r>
        <w:rPr>
          <w:spacing w:val="-15"/>
        </w:rPr>
        <w:t> </w:t>
      </w:r>
      <w:r>
        <w:rPr/>
        <w:t>apakah</w:t>
      </w:r>
      <w:r>
        <w:rPr>
          <w:spacing w:val="-15"/>
        </w:rPr>
        <w:t> </w:t>
      </w:r>
      <w:r>
        <w:rPr/>
        <w:t>data</w:t>
      </w:r>
      <w:r>
        <w:rPr>
          <w:spacing w:val="-15"/>
        </w:rPr>
        <w:t> </w:t>
      </w:r>
      <w:r>
        <w:rPr/>
        <w:t>yang</w:t>
      </w:r>
      <w:r>
        <w:rPr>
          <w:spacing w:val="-15"/>
        </w:rPr>
        <w:t> </w:t>
      </w:r>
      <w:r>
        <w:rPr/>
        <w:t>dikumpulkan</w:t>
      </w:r>
      <w:r>
        <w:rPr>
          <w:spacing w:val="-15"/>
        </w:rPr>
        <w:t> </w:t>
      </w:r>
      <w:r>
        <w:rPr/>
        <w:t>terdistribusi</w:t>
      </w:r>
      <w:r>
        <w:rPr>
          <w:spacing w:val="-15"/>
        </w:rPr>
        <w:t> </w:t>
      </w:r>
      <w:r>
        <w:rPr/>
        <w:t>secara teratur atau berasal dari populasi normal, uji normalitas sangat membantu. Pendekatan tradisional untuk menentukan apakah data normal tidaklah terlalu</w:t>
      </w:r>
      <w:r>
        <w:rPr>
          <w:spacing w:val="58"/>
        </w:rPr>
        <w:t> </w:t>
      </w:r>
      <w:r>
        <w:rPr/>
        <w:t>rumit.</w:t>
      </w:r>
      <w:r>
        <w:rPr>
          <w:spacing w:val="61"/>
        </w:rPr>
        <w:t> </w:t>
      </w:r>
      <w:r>
        <w:rPr/>
        <w:t>Beberapa</w:t>
      </w:r>
      <w:r>
        <w:rPr>
          <w:spacing w:val="61"/>
        </w:rPr>
        <w:t> </w:t>
      </w:r>
      <w:r>
        <w:rPr/>
        <w:t>pengalaman</w:t>
      </w:r>
      <w:r>
        <w:rPr>
          <w:spacing w:val="61"/>
        </w:rPr>
        <w:t> </w:t>
      </w:r>
      <w:r>
        <w:rPr/>
        <w:t>nyata</w:t>
      </w:r>
      <w:r>
        <w:rPr>
          <w:spacing w:val="60"/>
        </w:rPr>
        <w:t> </w:t>
      </w:r>
      <w:r>
        <w:rPr/>
        <w:t>ahli</w:t>
      </w:r>
      <w:r>
        <w:rPr>
          <w:spacing w:val="60"/>
        </w:rPr>
        <w:t> </w:t>
      </w:r>
      <w:r>
        <w:rPr/>
        <w:t>statistik</w:t>
      </w:r>
      <w:r>
        <w:rPr>
          <w:spacing w:val="61"/>
        </w:rPr>
        <w:t> </w:t>
      </w:r>
      <w:r>
        <w:rPr/>
        <w:t>telah</w:t>
      </w:r>
      <w:r>
        <w:rPr>
          <w:spacing w:val="61"/>
        </w:rPr>
        <w:t> </w:t>
      </w:r>
      <w:r>
        <w:rPr>
          <w:spacing w:val="-2"/>
        </w:rPr>
        <w:t>membuat</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1823" w:right="164"/>
        <w:jc w:val="both"/>
      </w:pPr>
      <w:r>
        <w:rPr/>
        <w:t>mereka percaya bahwa data dengan lebih dari 30 bilangan bulat (n&gt;30) terdistribusi secara teratur. Umumnya dikenal sebagai sampel besar.</w:t>
      </w:r>
    </w:p>
    <w:p>
      <w:pPr>
        <w:pStyle w:val="Heading2"/>
        <w:numPr>
          <w:ilvl w:val="3"/>
          <w:numId w:val="23"/>
        </w:numPr>
        <w:tabs>
          <w:tab w:pos="1823" w:val="left" w:leader="none"/>
        </w:tabs>
        <w:spacing w:line="240" w:lineRule="auto" w:before="1" w:after="0"/>
        <w:ind w:left="1823" w:right="0" w:hanging="360"/>
        <w:jc w:val="both"/>
      </w:pPr>
      <w:r>
        <w:rPr/>
        <w:t>Uji</w:t>
      </w:r>
      <w:r>
        <w:rPr>
          <w:spacing w:val="-2"/>
        </w:rPr>
        <w:t> Multikolinieritas</w:t>
      </w:r>
    </w:p>
    <w:p>
      <w:pPr>
        <w:pStyle w:val="BodyText"/>
        <w:spacing w:line="360" w:lineRule="auto" w:before="137"/>
        <w:ind w:left="1823" w:right="164" w:firstLine="360"/>
        <w:jc w:val="both"/>
      </w:pPr>
      <w:r>
        <w:rPr/>
        <w:t>Uji</w:t>
      </w:r>
      <w:r>
        <w:rPr>
          <w:spacing w:val="-5"/>
        </w:rPr>
        <w:t> </w:t>
      </w:r>
      <w:r>
        <w:rPr/>
        <w:t>multikolinieritas</w:t>
      </w:r>
      <w:r>
        <w:rPr>
          <w:spacing w:val="-6"/>
        </w:rPr>
        <w:t> </w:t>
      </w:r>
      <w:r>
        <w:rPr/>
        <w:t>adalah</w:t>
      </w:r>
      <w:r>
        <w:rPr>
          <w:spacing w:val="-5"/>
        </w:rPr>
        <w:t> </w:t>
      </w:r>
      <w:r>
        <w:rPr/>
        <w:t>suatu</w:t>
      </w:r>
      <w:r>
        <w:rPr>
          <w:spacing w:val="-5"/>
        </w:rPr>
        <w:t> </w:t>
      </w:r>
      <w:r>
        <w:rPr/>
        <w:t>teknik</w:t>
      </w:r>
      <w:r>
        <w:rPr>
          <w:spacing w:val="-5"/>
        </w:rPr>
        <w:t> </w:t>
      </w:r>
      <w:r>
        <w:rPr/>
        <w:t>statistik</w:t>
      </w:r>
      <w:r>
        <w:rPr>
          <w:spacing w:val="-5"/>
        </w:rPr>
        <w:t> </w:t>
      </w:r>
      <w:r>
        <w:rPr/>
        <w:t>yang</w:t>
      </w:r>
      <w:r>
        <w:rPr>
          <w:spacing w:val="-5"/>
        </w:rPr>
        <w:t> </w:t>
      </w:r>
      <w:r>
        <w:rPr/>
        <w:t>digunakan</w:t>
      </w:r>
      <w:r>
        <w:rPr>
          <w:spacing w:val="-5"/>
        </w:rPr>
        <w:t> </w:t>
      </w:r>
      <w:r>
        <w:rPr/>
        <w:t>untuk memastikan apakah dalam sebuah model regresi terdapat korelasi atau hubungan linear yang tinggi antara dua atau lebih variabel independen (variabel bebas). Multikolinieritas terjadi ketika variabel-variabel bebas dalam model saling berkorelasi secara signifikan, sehingga dapat menyebabkan estimasi koefisien regresi menjadi tidak stabil dan sulit diinterpretasikan. Tujuan utama uji multikolinieritas adalah untuk mendeteksi adanya masalah multikolinieritas dalam model regresi, karena keberadaan multikolinieritas bisa menurunkan keakuratan prediksi model dan meningkatkan standar error koefisien estimasi.</w:t>
      </w:r>
    </w:p>
    <w:p>
      <w:pPr>
        <w:pStyle w:val="Heading2"/>
        <w:numPr>
          <w:ilvl w:val="3"/>
          <w:numId w:val="23"/>
        </w:numPr>
        <w:tabs>
          <w:tab w:pos="1823" w:val="left" w:leader="none"/>
        </w:tabs>
        <w:spacing w:line="240" w:lineRule="auto" w:before="1" w:after="0"/>
        <w:ind w:left="1823" w:right="0" w:hanging="360"/>
        <w:jc w:val="both"/>
      </w:pPr>
      <w:r>
        <w:rPr/>
        <w:t>Uji</w:t>
      </w:r>
      <w:r>
        <w:rPr>
          <w:spacing w:val="-2"/>
        </w:rPr>
        <w:t> Autokorelasi</w:t>
      </w:r>
    </w:p>
    <w:p>
      <w:pPr>
        <w:pStyle w:val="BodyText"/>
        <w:spacing w:line="360" w:lineRule="auto" w:before="139"/>
        <w:ind w:left="1823" w:right="163" w:firstLine="360"/>
        <w:jc w:val="both"/>
      </w:pPr>
      <w:r>
        <w:rPr/>
        <w:t>Premis non-autokorelasi dipatahkan oleh autokorelasi. Korelasi antara kesalahan</w:t>
      </w:r>
      <w:r>
        <w:rPr>
          <w:spacing w:val="-2"/>
        </w:rPr>
        <w:t> </w:t>
      </w:r>
      <w:r>
        <w:rPr/>
        <w:t>dan</w:t>
      </w:r>
      <w:r>
        <w:rPr>
          <w:spacing w:val="-2"/>
        </w:rPr>
        <w:t> </w:t>
      </w:r>
      <w:r>
        <w:rPr/>
        <w:t>gangguan dalam</w:t>
      </w:r>
      <w:r>
        <w:rPr>
          <w:spacing w:val="-2"/>
        </w:rPr>
        <w:t> </w:t>
      </w:r>
      <w:r>
        <w:rPr/>
        <w:t>setiap</w:t>
      </w:r>
      <w:r>
        <w:rPr>
          <w:spacing w:val="-2"/>
        </w:rPr>
        <w:t> </w:t>
      </w:r>
      <w:r>
        <w:rPr/>
        <w:t>pengamatan adalah</w:t>
      </w:r>
      <w:r>
        <w:rPr>
          <w:spacing w:val="-3"/>
        </w:rPr>
        <w:t> </w:t>
      </w:r>
      <w:r>
        <w:rPr/>
        <w:t>sumbernya.</w:t>
      </w:r>
      <w:r>
        <w:rPr>
          <w:spacing w:val="-2"/>
        </w:rPr>
        <w:t> </w:t>
      </w:r>
      <w:r>
        <w:rPr/>
        <w:t>Cara lain untuk mendefinisikan autokorelasi adalah hubungan antara kesalahan dan gangguan dari satu periode dan periode sebelumnya. Karena pengamatan bersifat berurutan sepanjang waktu atau saling terhubung, autokorelasi menjadi masalah. Alasan untuk masalah ini adalah bahwa kesalahan residual, atau gangguan, bervariasi dari satu pengamatan ke pengamatan lainnya. Karena gangguan pada orang atau kelompok yang sama di era berikutnya, hal ini sering diamati dalam data deret waktu. Regresi bebas autokorelasi adalah model regresi yang baik.</w:t>
      </w:r>
    </w:p>
    <w:p>
      <w:pPr>
        <w:pStyle w:val="Heading2"/>
        <w:numPr>
          <w:ilvl w:val="2"/>
          <w:numId w:val="23"/>
        </w:numPr>
        <w:tabs>
          <w:tab w:pos="1463" w:val="left" w:leader="none"/>
        </w:tabs>
        <w:spacing w:line="240" w:lineRule="auto" w:before="159" w:after="0"/>
        <w:ind w:left="1463" w:right="0" w:hanging="720"/>
        <w:jc w:val="both"/>
      </w:pPr>
      <w:bookmarkStart w:name="_bookmark139" w:id="140"/>
      <w:bookmarkEnd w:id="140"/>
      <w:r>
        <w:rPr>
          <w:b w:val="0"/>
        </w:rPr>
      </w:r>
      <w:r>
        <w:rPr/>
        <w:t>Uji</w:t>
      </w:r>
      <w:r>
        <w:rPr>
          <w:spacing w:val="-2"/>
        </w:rPr>
        <w:t> Hipotesis</w:t>
      </w:r>
    </w:p>
    <w:p>
      <w:pPr>
        <w:pStyle w:val="BodyText"/>
        <w:spacing w:before="22"/>
        <w:rPr>
          <w:b/>
        </w:rPr>
      </w:pPr>
    </w:p>
    <w:p>
      <w:pPr>
        <w:pStyle w:val="ListParagraph"/>
        <w:numPr>
          <w:ilvl w:val="3"/>
          <w:numId w:val="23"/>
        </w:numPr>
        <w:tabs>
          <w:tab w:pos="1823" w:val="left" w:leader="none"/>
        </w:tabs>
        <w:spacing w:line="240" w:lineRule="auto" w:before="0" w:after="0"/>
        <w:ind w:left="1823" w:right="0" w:hanging="360"/>
        <w:jc w:val="both"/>
        <w:rPr>
          <w:b/>
          <w:sz w:val="24"/>
        </w:rPr>
      </w:pPr>
      <w:r>
        <w:rPr>
          <w:b/>
          <w:sz w:val="24"/>
        </w:rPr>
        <w:t>Uji</w:t>
      </w:r>
      <w:r>
        <w:rPr>
          <w:b/>
          <w:spacing w:val="-5"/>
          <w:sz w:val="24"/>
        </w:rPr>
        <w:t> </w:t>
      </w:r>
      <w:r>
        <w:rPr>
          <w:b/>
          <w:sz w:val="24"/>
        </w:rPr>
        <w:t>Koefisien</w:t>
      </w:r>
      <w:r>
        <w:rPr>
          <w:b/>
          <w:spacing w:val="-4"/>
          <w:sz w:val="24"/>
        </w:rPr>
        <w:t> </w:t>
      </w:r>
      <w:r>
        <w:rPr>
          <w:b/>
          <w:spacing w:val="-2"/>
          <w:sz w:val="24"/>
        </w:rPr>
        <w:t>Determinasi</w:t>
      </w:r>
    </w:p>
    <w:p>
      <w:pPr>
        <w:pStyle w:val="BodyText"/>
        <w:spacing w:line="360" w:lineRule="auto" w:before="140"/>
        <w:ind w:left="1823" w:right="162" w:firstLine="360"/>
        <w:jc w:val="both"/>
      </w:pPr>
      <w:r>
        <w:rPr/>
        <w:t>Koefisien</w:t>
      </w:r>
      <w:r>
        <w:rPr>
          <w:spacing w:val="-5"/>
        </w:rPr>
        <w:t> </w:t>
      </w:r>
      <w:r>
        <w:rPr/>
        <w:t>determinasi</w:t>
      </w:r>
      <w:r>
        <w:rPr>
          <w:spacing w:val="-4"/>
        </w:rPr>
        <w:t> </w:t>
      </w:r>
      <w:r>
        <w:rPr/>
        <w:t>merupakan</w:t>
      </w:r>
      <w:r>
        <w:rPr>
          <w:spacing w:val="-2"/>
        </w:rPr>
        <w:t> </w:t>
      </w:r>
      <w:r>
        <w:rPr/>
        <w:t>ukuran</w:t>
      </w:r>
      <w:r>
        <w:rPr>
          <w:spacing w:val="-4"/>
        </w:rPr>
        <w:t> </w:t>
      </w:r>
      <w:r>
        <w:rPr/>
        <w:t>untuk</w:t>
      </w:r>
      <w:r>
        <w:rPr>
          <w:spacing w:val="-1"/>
        </w:rPr>
        <w:t> </w:t>
      </w:r>
      <w:r>
        <w:rPr/>
        <w:t>mengetahui</w:t>
      </w:r>
      <w:r>
        <w:rPr>
          <w:spacing w:val="-4"/>
        </w:rPr>
        <w:t> </w:t>
      </w:r>
      <w:r>
        <w:rPr/>
        <w:t>kesesuaian atau ketepatan antara nilai dugaan atau garis regresi dengan data sampel. Apabila nilai koefisien korelasi sudah diketahui, maka untuk mendapatkan koefisien determinasi dapat diperoleh dengan mengkuadratkannya. Parameter</w:t>
      </w:r>
      <w:r>
        <w:rPr>
          <w:spacing w:val="-15"/>
        </w:rPr>
        <w:t> </w:t>
      </w:r>
      <w:r>
        <w:rPr/>
        <w:t>dari</w:t>
      </w:r>
      <w:r>
        <w:rPr>
          <w:spacing w:val="-14"/>
        </w:rPr>
        <w:t> </w:t>
      </w:r>
      <w:r>
        <w:rPr/>
        <w:t>koefisien</w:t>
      </w:r>
      <w:r>
        <w:rPr>
          <w:spacing w:val="-15"/>
        </w:rPr>
        <w:t> </w:t>
      </w:r>
      <w:r>
        <w:rPr/>
        <w:t>determinasi.</w:t>
      </w:r>
      <w:r>
        <w:rPr>
          <w:spacing w:val="-13"/>
        </w:rPr>
        <w:t> </w:t>
      </w:r>
      <w:r>
        <w:rPr/>
        <w:t>Nilai</w:t>
      </w:r>
      <w:r>
        <w:rPr>
          <w:spacing w:val="-14"/>
        </w:rPr>
        <w:t> </w:t>
      </w:r>
      <w:r>
        <w:rPr/>
        <w:t>R2</w:t>
      </w:r>
      <w:r>
        <w:rPr>
          <w:spacing w:val="-14"/>
        </w:rPr>
        <w:t> </w:t>
      </w:r>
      <w:r>
        <w:rPr/>
        <w:t>dikatakan</w:t>
      </w:r>
      <w:r>
        <w:rPr>
          <w:spacing w:val="-14"/>
        </w:rPr>
        <w:t> </w:t>
      </w:r>
      <w:r>
        <w:rPr/>
        <w:t>baik</w:t>
      </w:r>
      <w:r>
        <w:rPr>
          <w:spacing w:val="-14"/>
        </w:rPr>
        <w:t> </w:t>
      </w:r>
      <w:r>
        <w:rPr/>
        <w:t>jika</w:t>
      </w:r>
      <w:r>
        <w:rPr>
          <w:spacing w:val="-15"/>
        </w:rPr>
        <w:t> </w:t>
      </w:r>
      <w:r>
        <w:rPr/>
        <w:t>diatas</w:t>
      </w:r>
      <w:r>
        <w:rPr>
          <w:spacing w:val="-14"/>
        </w:rPr>
        <w:t> </w:t>
      </w:r>
      <w:r>
        <w:rPr/>
        <w:t>0,5 karena</w:t>
      </w:r>
      <w:r>
        <w:rPr>
          <w:spacing w:val="1"/>
        </w:rPr>
        <w:t> </w:t>
      </w:r>
      <w:r>
        <w:rPr/>
        <w:t>nilai</w:t>
      </w:r>
      <w:r>
        <w:rPr>
          <w:spacing w:val="4"/>
        </w:rPr>
        <w:t> </w:t>
      </w:r>
      <w:r>
        <w:rPr/>
        <w:t>R2</w:t>
      </w:r>
      <w:r>
        <w:rPr>
          <w:spacing w:val="3"/>
        </w:rPr>
        <w:t> </w:t>
      </w:r>
      <w:r>
        <w:rPr/>
        <w:t>berkisar</w:t>
      </w:r>
      <w:r>
        <w:rPr>
          <w:spacing w:val="5"/>
        </w:rPr>
        <w:t> </w:t>
      </w:r>
      <w:r>
        <w:rPr/>
        <w:t>antara</w:t>
      </w:r>
      <w:r>
        <w:rPr>
          <w:spacing w:val="2"/>
        </w:rPr>
        <w:t> </w:t>
      </w:r>
      <w:r>
        <w:rPr/>
        <w:t>0</w:t>
      </w:r>
      <w:r>
        <w:rPr>
          <w:spacing w:val="3"/>
        </w:rPr>
        <w:t> </w:t>
      </w:r>
      <w:r>
        <w:rPr/>
        <w:t>sampai</w:t>
      </w:r>
      <w:r>
        <w:rPr>
          <w:spacing w:val="3"/>
        </w:rPr>
        <w:t> </w:t>
      </w:r>
      <w:r>
        <w:rPr/>
        <w:t>1.</w:t>
      </w:r>
      <w:r>
        <w:rPr>
          <w:spacing w:val="3"/>
        </w:rPr>
        <w:t> </w:t>
      </w:r>
      <w:r>
        <w:rPr/>
        <w:t>Besarnya</w:t>
      </w:r>
      <w:r>
        <w:rPr>
          <w:spacing w:val="3"/>
        </w:rPr>
        <w:t> </w:t>
      </w:r>
      <w:r>
        <w:rPr/>
        <w:t>koefisien</w:t>
      </w:r>
      <w:r>
        <w:rPr>
          <w:spacing w:val="3"/>
        </w:rPr>
        <w:t> </w:t>
      </w:r>
      <w:r>
        <w:rPr>
          <w:spacing w:val="-2"/>
        </w:rPr>
        <w:t>determinasi</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1823"/>
      </w:pPr>
      <w:r>
        <w:rPr/>
        <w:t>dapat dihitung dengan</w:t>
      </w:r>
      <w:r>
        <w:rPr>
          <w:spacing w:val="-1"/>
        </w:rPr>
        <w:t> </w:t>
      </w:r>
      <w:r>
        <w:rPr/>
        <w:t>menggunakan</w:t>
      </w:r>
      <w:r>
        <w:rPr>
          <w:spacing w:val="-1"/>
        </w:rPr>
        <w:t> </w:t>
      </w:r>
      <w:r>
        <w:rPr/>
        <w:t>rumus</w:t>
      </w:r>
      <w:r>
        <w:rPr>
          <w:spacing w:val="-1"/>
        </w:rPr>
        <w:t> </w:t>
      </w:r>
      <w:r>
        <w:rPr/>
        <w:t>berikut. Kriteria</w:t>
      </w:r>
      <w:r>
        <w:rPr>
          <w:spacing w:val="-2"/>
        </w:rPr>
        <w:t> </w:t>
      </w:r>
      <w:r>
        <w:rPr/>
        <w:t>untuk analisis koefisien determinasi adalah:</w:t>
      </w:r>
    </w:p>
    <w:p>
      <w:pPr>
        <w:pStyle w:val="ListParagraph"/>
        <w:numPr>
          <w:ilvl w:val="4"/>
          <w:numId w:val="23"/>
        </w:numPr>
        <w:tabs>
          <w:tab w:pos="2544" w:val="left" w:leader="none"/>
        </w:tabs>
        <w:spacing w:line="360" w:lineRule="auto" w:before="1" w:after="0"/>
        <w:ind w:left="2544" w:right="165" w:hanging="361"/>
        <w:jc w:val="left"/>
        <w:rPr>
          <w:sz w:val="24"/>
        </w:rPr>
      </w:pPr>
      <w:r>
        <w:rPr>
          <w:sz w:val="24"/>
        </w:rPr>
        <w:t>Jika</w:t>
      </w:r>
      <w:r>
        <w:rPr>
          <w:spacing w:val="40"/>
          <w:sz w:val="24"/>
        </w:rPr>
        <w:t> </w:t>
      </w:r>
      <w:r>
        <w:rPr>
          <w:sz w:val="24"/>
        </w:rPr>
        <w:t>koefisien</w:t>
      </w:r>
      <w:r>
        <w:rPr>
          <w:spacing w:val="40"/>
          <w:sz w:val="24"/>
        </w:rPr>
        <w:t> </w:t>
      </w:r>
      <w:r>
        <w:rPr>
          <w:sz w:val="24"/>
        </w:rPr>
        <w:t>determinasi</w:t>
      </w:r>
      <w:r>
        <w:rPr>
          <w:spacing w:val="40"/>
          <w:sz w:val="24"/>
        </w:rPr>
        <w:t> </w:t>
      </w:r>
      <w:r>
        <w:rPr>
          <w:sz w:val="24"/>
        </w:rPr>
        <w:t>mendeteksi</w:t>
      </w:r>
      <w:r>
        <w:rPr>
          <w:spacing w:val="40"/>
          <w:sz w:val="24"/>
        </w:rPr>
        <w:t> </w:t>
      </w:r>
      <w:r>
        <w:rPr>
          <w:sz w:val="24"/>
        </w:rPr>
        <w:t>nol</w:t>
      </w:r>
      <w:r>
        <w:rPr>
          <w:spacing w:val="40"/>
          <w:sz w:val="24"/>
        </w:rPr>
        <w:t> </w:t>
      </w:r>
      <w:r>
        <w:rPr>
          <w:sz w:val="24"/>
        </w:rPr>
        <w:t>(0),</w:t>
      </w:r>
      <w:r>
        <w:rPr>
          <w:spacing w:val="40"/>
          <w:sz w:val="24"/>
        </w:rPr>
        <w:t> </w:t>
      </w:r>
      <w:r>
        <w:rPr>
          <w:sz w:val="24"/>
        </w:rPr>
        <w:t>maka</w:t>
      </w:r>
      <w:r>
        <w:rPr>
          <w:spacing w:val="40"/>
          <w:sz w:val="24"/>
        </w:rPr>
        <w:t> </w:t>
      </w:r>
      <w:r>
        <w:rPr>
          <w:sz w:val="24"/>
        </w:rPr>
        <w:t>pengaruh</w:t>
      </w:r>
      <w:r>
        <w:rPr>
          <w:spacing w:val="40"/>
          <w:sz w:val="24"/>
        </w:rPr>
        <w:t> </w:t>
      </w:r>
      <w:r>
        <w:rPr>
          <w:sz w:val="24"/>
        </w:rPr>
        <w:t>variabel independent terhadap variabel dependent lemah.</w:t>
      </w:r>
    </w:p>
    <w:p>
      <w:pPr>
        <w:pStyle w:val="ListParagraph"/>
        <w:numPr>
          <w:ilvl w:val="4"/>
          <w:numId w:val="23"/>
        </w:numPr>
        <w:tabs>
          <w:tab w:pos="2542" w:val="left" w:leader="none"/>
          <w:tab w:pos="2544" w:val="left" w:leader="none"/>
        </w:tabs>
        <w:spacing w:line="360" w:lineRule="auto" w:before="0" w:after="0"/>
        <w:ind w:left="2544" w:right="165" w:hanging="361"/>
        <w:jc w:val="left"/>
        <w:rPr>
          <w:sz w:val="24"/>
        </w:rPr>
      </w:pPr>
      <w:r>
        <w:rPr>
          <w:sz w:val="24"/>
        </w:rPr>
        <w:t>Jika</w:t>
      </w:r>
      <w:r>
        <w:rPr>
          <w:spacing w:val="40"/>
          <w:sz w:val="24"/>
        </w:rPr>
        <w:t> </w:t>
      </w:r>
      <w:r>
        <w:rPr>
          <w:sz w:val="24"/>
        </w:rPr>
        <w:t>koefisien</w:t>
      </w:r>
      <w:r>
        <w:rPr>
          <w:spacing w:val="40"/>
          <w:sz w:val="24"/>
        </w:rPr>
        <w:t> </w:t>
      </w:r>
      <w:r>
        <w:rPr>
          <w:sz w:val="24"/>
        </w:rPr>
        <w:t>determinasi</w:t>
      </w:r>
      <w:r>
        <w:rPr>
          <w:spacing w:val="40"/>
          <w:sz w:val="24"/>
        </w:rPr>
        <w:t> </w:t>
      </w:r>
      <w:r>
        <w:rPr>
          <w:sz w:val="24"/>
        </w:rPr>
        <w:t>mendeteksi</w:t>
      </w:r>
      <w:r>
        <w:rPr>
          <w:spacing w:val="40"/>
          <w:sz w:val="24"/>
        </w:rPr>
        <w:t> </w:t>
      </w:r>
      <w:r>
        <w:rPr>
          <w:sz w:val="24"/>
        </w:rPr>
        <w:t>satu</w:t>
      </w:r>
      <w:r>
        <w:rPr>
          <w:spacing w:val="40"/>
          <w:sz w:val="24"/>
        </w:rPr>
        <w:t> </w:t>
      </w:r>
      <w:r>
        <w:rPr>
          <w:sz w:val="24"/>
        </w:rPr>
        <w:t>(1),</w:t>
      </w:r>
      <w:r>
        <w:rPr>
          <w:spacing w:val="40"/>
          <w:sz w:val="24"/>
        </w:rPr>
        <w:t> </w:t>
      </w:r>
      <w:r>
        <w:rPr>
          <w:sz w:val="24"/>
        </w:rPr>
        <w:t>maka</w:t>
      </w:r>
      <w:r>
        <w:rPr>
          <w:spacing w:val="40"/>
          <w:sz w:val="24"/>
        </w:rPr>
        <w:t> </w:t>
      </w:r>
      <w:r>
        <w:rPr>
          <w:sz w:val="24"/>
        </w:rPr>
        <w:t>pengaruh variabel independent terhadap variabel dependen kuat.</w:t>
      </w:r>
    </w:p>
    <w:p>
      <w:pPr>
        <w:pStyle w:val="Heading2"/>
        <w:numPr>
          <w:ilvl w:val="3"/>
          <w:numId w:val="23"/>
        </w:numPr>
        <w:tabs>
          <w:tab w:pos="1823" w:val="left" w:leader="none"/>
        </w:tabs>
        <w:spacing w:line="240" w:lineRule="auto" w:before="0" w:after="0"/>
        <w:ind w:left="1823" w:right="0" w:hanging="360"/>
        <w:jc w:val="left"/>
      </w:pPr>
      <w:r>
        <w:rPr/>
        <w:t>Uji</w:t>
      </w:r>
      <w:r>
        <w:rPr>
          <w:spacing w:val="-2"/>
        </w:rPr>
        <w:t> </w:t>
      </w:r>
      <w:r>
        <w:rPr>
          <w:spacing w:val="-10"/>
        </w:rPr>
        <w:t>T</w:t>
      </w:r>
    </w:p>
    <w:p>
      <w:pPr>
        <w:pStyle w:val="BodyText"/>
        <w:spacing w:line="360" w:lineRule="auto" w:before="137"/>
        <w:ind w:left="1823" w:right="162" w:firstLine="360"/>
        <w:jc w:val="both"/>
      </w:pPr>
      <w:r>
        <w:rPr/>
        <w:t>Uji t adalah metode statistik yang digunakan untuk menguji apakah terdapat perbedaan yang signifikan antara rata-rata dua kelompok atau antara rata-rata sampel dengan rata-rata populasi tertentu. Uji T digunakan untuk mengetahui apakah masing-masing variabel bebasnya secara sendirisendiri berpengaruh secara signifikan terhadap variabel terikatnya, dimana t tabel &gt; t hitung, H0 diterima. Jika t tabel &lt; t hitung, maka H1 diterima, begitupun jika sig &gt; ά (0,05), maka H0 diterima H1 ditolak dan jika sig &lt; ά (0,05), maka H0 ditolak H1 diterima. Uji t mengasumsikan bahwa data berdistribusi normal dan memiliki varians yang sama antar kelompok yang dibandingkan.</w:t>
      </w:r>
    </w:p>
    <w:p>
      <w:pPr>
        <w:pStyle w:val="Heading2"/>
        <w:numPr>
          <w:ilvl w:val="2"/>
          <w:numId w:val="23"/>
        </w:numPr>
        <w:tabs>
          <w:tab w:pos="1463" w:val="left" w:leader="none"/>
        </w:tabs>
        <w:spacing w:line="240" w:lineRule="auto" w:before="162" w:after="0"/>
        <w:ind w:left="1463" w:right="0" w:hanging="720"/>
        <w:jc w:val="both"/>
      </w:pPr>
      <w:bookmarkStart w:name="_bookmark140" w:id="141"/>
      <w:bookmarkEnd w:id="141"/>
      <w:r>
        <w:rPr>
          <w:b w:val="0"/>
        </w:rPr>
      </w:r>
      <w:r>
        <w:rPr/>
        <w:t>Uji</w:t>
      </w:r>
      <w:r>
        <w:rPr>
          <w:spacing w:val="-3"/>
        </w:rPr>
        <w:t> </w:t>
      </w:r>
      <w:r>
        <w:rPr/>
        <w:t>Analisis</w:t>
      </w:r>
      <w:r>
        <w:rPr>
          <w:spacing w:val="-2"/>
        </w:rPr>
        <w:t> </w:t>
      </w:r>
      <w:r>
        <w:rPr/>
        <w:t>Regresi</w:t>
      </w:r>
      <w:r>
        <w:rPr>
          <w:spacing w:val="-2"/>
        </w:rPr>
        <w:t> </w:t>
      </w:r>
      <w:r>
        <w:rPr/>
        <w:t>Linear</w:t>
      </w:r>
      <w:r>
        <w:rPr>
          <w:spacing w:val="-3"/>
        </w:rPr>
        <w:t> </w:t>
      </w:r>
      <w:r>
        <w:rPr>
          <w:spacing w:val="-2"/>
        </w:rPr>
        <w:t>Berganda</w:t>
      </w:r>
    </w:p>
    <w:p>
      <w:pPr>
        <w:pStyle w:val="BodyText"/>
        <w:spacing w:before="21"/>
        <w:rPr>
          <w:b/>
        </w:rPr>
      </w:pPr>
    </w:p>
    <w:p>
      <w:pPr>
        <w:pStyle w:val="BodyText"/>
        <w:spacing w:line="360" w:lineRule="auto" w:before="1"/>
        <w:ind w:left="1823" w:right="158" w:firstLine="360"/>
        <w:jc w:val="both"/>
      </w:pPr>
      <w:r>
        <w:rPr/>
        <w:t>Analisis regresi liniear berganda adalah uji untuk mengukur kekuatan hubungan antara dua variabel atau lebih. Analisis regresi juga dapat digunakan</w:t>
      </w:r>
      <w:r>
        <w:rPr>
          <w:spacing w:val="-15"/>
        </w:rPr>
        <w:t> </w:t>
      </w:r>
      <w:r>
        <w:rPr/>
        <w:t>untuk</w:t>
      </w:r>
      <w:r>
        <w:rPr>
          <w:spacing w:val="-15"/>
        </w:rPr>
        <w:t> </w:t>
      </w:r>
      <w:r>
        <w:rPr/>
        <w:t>menunjukkan</w:t>
      </w:r>
      <w:r>
        <w:rPr>
          <w:spacing w:val="-15"/>
        </w:rPr>
        <w:t> </w:t>
      </w:r>
      <w:r>
        <w:rPr/>
        <w:t>arah</w:t>
      </w:r>
      <w:r>
        <w:rPr>
          <w:spacing w:val="-15"/>
        </w:rPr>
        <w:t> </w:t>
      </w:r>
      <w:r>
        <w:rPr/>
        <w:t>hubungan</w:t>
      </w:r>
      <w:r>
        <w:rPr>
          <w:spacing w:val="-15"/>
        </w:rPr>
        <w:t> </w:t>
      </w:r>
      <w:r>
        <w:rPr/>
        <w:t>antara</w:t>
      </w:r>
      <w:r>
        <w:rPr>
          <w:spacing w:val="-15"/>
        </w:rPr>
        <w:t> </w:t>
      </w:r>
      <w:r>
        <w:rPr/>
        <w:t>variabel</w:t>
      </w:r>
      <w:r>
        <w:rPr>
          <w:spacing w:val="-15"/>
        </w:rPr>
        <w:t> </w:t>
      </w:r>
      <w:r>
        <w:rPr/>
        <w:t>dependen</w:t>
      </w:r>
      <w:r>
        <w:rPr>
          <w:spacing w:val="-15"/>
        </w:rPr>
        <w:t> </w:t>
      </w:r>
      <w:r>
        <w:rPr/>
        <w:t>dan variabel independent. Analisis regresi linier berganda bertujuan untuk menguji pengaruh Indeks Keyakinan Konsumen, nilai tukar, inflasi, dan Indeks Produksi Industri terhadap Indeks Saham Syariah Indonesia.</w:t>
      </w:r>
    </w:p>
    <w:p>
      <w:pPr>
        <w:pStyle w:val="BodyText"/>
        <w:spacing w:before="1"/>
        <w:ind w:left="3343"/>
      </w:pPr>
      <w:r>
        <w:rPr/>
        <w:t>Y</w:t>
      </w:r>
      <w:r>
        <w:rPr>
          <w:spacing w:val="1"/>
        </w:rPr>
        <w:t> </w:t>
      </w:r>
      <w:r>
        <w:rPr/>
        <w:t>=</w:t>
      </w:r>
      <w:r>
        <w:rPr>
          <w:spacing w:val="1"/>
        </w:rPr>
        <w:t> </w:t>
      </w:r>
      <w:r>
        <w:rPr/>
        <w:t>α</w:t>
      </w:r>
      <w:r>
        <w:rPr>
          <w:spacing w:val="2"/>
        </w:rPr>
        <w:t> </w:t>
      </w:r>
      <w:r>
        <w:rPr/>
        <w:t>+</w:t>
      </w:r>
      <w:r>
        <w:rPr>
          <w:spacing w:val="-4"/>
        </w:rPr>
        <w:t> </w:t>
      </w:r>
      <w:r>
        <w:rPr>
          <w:rFonts w:ascii="Cambria Math" w:hAnsi="Cambria Math" w:eastAsia="Cambria Math"/>
        </w:rPr>
        <w:t>𝑏</w:t>
      </w:r>
      <w:r>
        <w:rPr>
          <w:rFonts w:ascii="Cambria Math" w:hAnsi="Cambria Math" w:eastAsia="Cambria Math"/>
          <w:vertAlign w:val="subscript"/>
        </w:rPr>
        <w:t>1</w:t>
      </w:r>
      <w:r>
        <w:rPr>
          <w:vertAlign w:val="baseline"/>
        </w:rPr>
        <w:t>.</w:t>
      </w:r>
      <w:r>
        <w:rPr>
          <w:rFonts w:ascii="Cambria Math" w:hAnsi="Cambria Math" w:eastAsia="Cambria Math"/>
          <w:vertAlign w:val="baseline"/>
        </w:rPr>
        <w:t>𝑋</w:t>
      </w:r>
      <w:r>
        <w:rPr>
          <w:rFonts w:ascii="Cambria Math" w:hAnsi="Cambria Math" w:eastAsia="Cambria Math"/>
          <w:vertAlign w:val="subscript"/>
        </w:rPr>
        <w:t>1</w:t>
      </w:r>
      <w:r>
        <w:rPr>
          <w:rFonts w:ascii="Cambria Math" w:hAnsi="Cambria Math" w:eastAsia="Cambria Math"/>
          <w:spacing w:val="17"/>
          <w:vertAlign w:val="baseline"/>
        </w:rPr>
        <w:t> </w:t>
      </w:r>
      <w:r>
        <w:rPr>
          <w:vertAlign w:val="baseline"/>
        </w:rPr>
        <w:t>+</w:t>
      </w:r>
      <w:r>
        <w:rPr>
          <w:spacing w:val="-3"/>
          <w:vertAlign w:val="baseline"/>
        </w:rPr>
        <w:t> </w:t>
      </w:r>
      <w:r>
        <w:rPr>
          <w:rFonts w:ascii="Cambria Math" w:hAnsi="Cambria Math" w:eastAsia="Cambria Math"/>
          <w:vertAlign w:val="baseline"/>
        </w:rPr>
        <w:t>𝑏</w:t>
      </w:r>
      <w:r>
        <w:rPr>
          <w:rFonts w:ascii="Cambria Math" w:hAnsi="Cambria Math" w:eastAsia="Cambria Math"/>
          <w:vertAlign w:val="subscript"/>
        </w:rPr>
        <w:t>2</w:t>
      </w:r>
      <w:r>
        <w:rPr>
          <w:vertAlign w:val="baseline"/>
        </w:rPr>
        <w:t>.</w:t>
      </w:r>
      <w:r>
        <w:rPr>
          <w:rFonts w:ascii="Cambria Math" w:hAnsi="Cambria Math" w:eastAsia="Cambria Math"/>
          <w:vertAlign w:val="baseline"/>
        </w:rPr>
        <w:t>𝑋</w:t>
      </w:r>
      <w:r>
        <w:rPr>
          <w:rFonts w:ascii="Cambria Math" w:hAnsi="Cambria Math" w:eastAsia="Cambria Math"/>
          <w:vertAlign w:val="subscript"/>
        </w:rPr>
        <w:t>2</w:t>
      </w:r>
      <w:r>
        <w:rPr>
          <w:rFonts w:ascii="Cambria Math" w:hAnsi="Cambria Math" w:eastAsia="Cambria Math"/>
          <w:spacing w:val="17"/>
          <w:vertAlign w:val="baseline"/>
        </w:rPr>
        <w:t> </w:t>
      </w:r>
      <w:r>
        <w:rPr>
          <w:vertAlign w:val="baseline"/>
        </w:rPr>
        <w:t>+</w:t>
      </w:r>
      <w:r>
        <w:rPr>
          <w:spacing w:val="56"/>
          <w:vertAlign w:val="baseline"/>
        </w:rPr>
        <w:t> </w:t>
      </w:r>
      <w:r>
        <w:rPr>
          <w:rFonts w:ascii="Cambria Math" w:hAnsi="Cambria Math" w:eastAsia="Cambria Math"/>
          <w:vertAlign w:val="baseline"/>
        </w:rPr>
        <w:t>𝑏</w:t>
      </w:r>
      <w:r>
        <w:rPr>
          <w:rFonts w:ascii="Cambria Math" w:hAnsi="Cambria Math" w:eastAsia="Cambria Math"/>
          <w:vertAlign w:val="subscript"/>
        </w:rPr>
        <w:t>3</w:t>
      </w:r>
      <w:r>
        <w:rPr>
          <w:rFonts w:ascii="Cambria Math" w:hAnsi="Cambria Math" w:eastAsia="Cambria Math"/>
          <w:vertAlign w:val="baseline"/>
        </w:rPr>
        <w:t>.</w:t>
      </w:r>
      <w:r>
        <w:rPr>
          <w:rFonts w:ascii="Cambria Math" w:hAnsi="Cambria Math" w:eastAsia="Cambria Math"/>
          <w:spacing w:val="-12"/>
          <w:vertAlign w:val="baseline"/>
        </w:rPr>
        <w:t> </w:t>
      </w:r>
      <w:r>
        <w:rPr>
          <w:rFonts w:ascii="Cambria Math" w:hAnsi="Cambria Math" w:eastAsia="Cambria Math"/>
          <w:vertAlign w:val="baseline"/>
        </w:rPr>
        <w:t>𝑋</w:t>
      </w:r>
      <w:r>
        <w:rPr>
          <w:rFonts w:ascii="Cambria Math" w:hAnsi="Cambria Math" w:eastAsia="Cambria Math"/>
          <w:vertAlign w:val="subscript"/>
        </w:rPr>
        <w:t>3</w:t>
      </w:r>
      <w:r>
        <w:rPr>
          <w:rFonts w:ascii="Cambria Math" w:hAnsi="Cambria Math" w:eastAsia="Cambria Math"/>
          <w:spacing w:val="17"/>
          <w:vertAlign w:val="baseline"/>
        </w:rPr>
        <w:t> </w:t>
      </w:r>
      <w:r>
        <w:rPr>
          <w:vertAlign w:val="baseline"/>
        </w:rPr>
        <w:t>+</w:t>
      </w:r>
      <w:r>
        <w:rPr>
          <w:spacing w:val="-3"/>
          <w:vertAlign w:val="baseline"/>
        </w:rPr>
        <w:t> </w:t>
      </w:r>
      <w:r>
        <w:rPr>
          <w:rFonts w:ascii="Cambria Math" w:hAnsi="Cambria Math" w:eastAsia="Cambria Math"/>
          <w:vertAlign w:val="baseline"/>
        </w:rPr>
        <w:t>𝑏</w:t>
      </w:r>
      <w:r>
        <w:rPr>
          <w:rFonts w:ascii="Cambria Math" w:hAnsi="Cambria Math" w:eastAsia="Cambria Math"/>
          <w:vertAlign w:val="subscript"/>
        </w:rPr>
        <w:t>4</w:t>
      </w:r>
      <w:r>
        <w:rPr>
          <w:rFonts w:ascii="Cambria Math" w:hAnsi="Cambria Math" w:eastAsia="Cambria Math"/>
          <w:vertAlign w:val="baseline"/>
        </w:rPr>
        <w:t>.</w:t>
      </w:r>
      <w:r>
        <w:rPr>
          <w:rFonts w:ascii="Cambria Math" w:hAnsi="Cambria Math" w:eastAsia="Cambria Math"/>
          <w:spacing w:val="-12"/>
          <w:vertAlign w:val="baseline"/>
        </w:rPr>
        <w:t> </w:t>
      </w:r>
      <w:r>
        <w:rPr>
          <w:rFonts w:ascii="Cambria Math" w:hAnsi="Cambria Math" w:eastAsia="Cambria Math"/>
          <w:vertAlign w:val="baseline"/>
        </w:rPr>
        <w:t>𝑋</w:t>
      </w:r>
      <w:r>
        <w:rPr>
          <w:rFonts w:ascii="Cambria Math" w:hAnsi="Cambria Math" w:eastAsia="Cambria Math"/>
          <w:vertAlign w:val="subscript"/>
        </w:rPr>
        <w:t>4</w:t>
      </w:r>
      <w:r>
        <w:rPr>
          <w:rFonts w:ascii="Cambria Math" w:hAnsi="Cambria Math" w:eastAsia="Cambria Math"/>
          <w:spacing w:val="17"/>
          <w:vertAlign w:val="baseline"/>
        </w:rPr>
        <w:t> </w:t>
      </w:r>
      <w:r>
        <w:rPr>
          <w:vertAlign w:val="baseline"/>
        </w:rPr>
        <w:t>+</w:t>
      </w:r>
      <w:r>
        <w:rPr>
          <w:spacing w:val="1"/>
          <w:vertAlign w:val="baseline"/>
        </w:rPr>
        <w:t> </w:t>
      </w:r>
      <w:r>
        <w:rPr>
          <w:spacing w:val="-10"/>
          <w:vertAlign w:val="baseline"/>
        </w:rPr>
        <w:t>e</w:t>
      </w:r>
    </w:p>
    <w:p>
      <w:pPr>
        <w:pStyle w:val="BodyText"/>
        <w:spacing w:before="140"/>
        <w:ind w:left="1823"/>
      </w:pPr>
      <w:r>
        <w:rPr>
          <w:spacing w:val="-2"/>
        </w:rPr>
        <w:t>Keterangan:</w:t>
      </w:r>
    </w:p>
    <w:p>
      <w:pPr>
        <w:pStyle w:val="BodyText"/>
        <w:spacing w:before="137"/>
        <w:ind w:left="1823"/>
      </w:pPr>
      <w:r>
        <w:rPr/>
        <w:t>Y</w:t>
      </w:r>
      <w:r>
        <w:rPr>
          <w:spacing w:val="31"/>
        </w:rPr>
        <w:t>  </w:t>
      </w:r>
      <w:r>
        <w:rPr/>
        <w:t>=</w:t>
      </w:r>
      <w:r>
        <w:rPr>
          <w:spacing w:val="1"/>
        </w:rPr>
        <w:t> </w:t>
      </w:r>
      <w:r>
        <w:rPr/>
        <w:t>Indeks</w:t>
      </w:r>
      <w:r>
        <w:rPr>
          <w:spacing w:val="-2"/>
        </w:rPr>
        <w:t> </w:t>
      </w:r>
      <w:r>
        <w:rPr/>
        <w:t>Saham</w:t>
      </w:r>
      <w:r>
        <w:rPr>
          <w:spacing w:val="-1"/>
        </w:rPr>
        <w:t> </w:t>
      </w:r>
      <w:r>
        <w:rPr/>
        <w:t>Syariah</w:t>
      </w:r>
      <w:r>
        <w:rPr>
          <w:spacing w:val="1"/>
        </w:rPr>
        <w:t> </w:t>
      </w:r>
      <w:r>
        <w:rPr>
          <w:spacing w:val="-2"/>
        </w:rPr>
        <w:t>Indonesia</w:t>
      </w:r>
    </w:p>
    <w:p>
      <w:pPr>
        <w:pStyle w:val="BodyText"/>
        <w:tabs>
          <w:tab w:pos="2183" w:val="left" w:leader="none"/>
        </w:tabs>
        <w:spacing w:before="140"/>
        <w:ind w:left="1823"/>
      </w:pPr>
      <w:r>
        <w:rPr>
          <w:spacing w:val="-10"/>
        </w:rPr>
        <w:t>α</w:t>
      </w:r>
      <w:r>
        <w:rPr/>
        <w:tab/>
        <w:t>=</w:t>
      </w:r>
      <w:r>
        <w:rPr>
          <w:spacing w:val="-1"/>
        </w:rPr>
        <w:t> </w:t>
      </w:r>
      <w:r>
        <w:rPr>
          <w:spacing w:val="-2"/>
        </w:rPr>
        <w:t>Konstanta</w:t>
      </w:r>
    </w:p>
    <w:p>
      <w:pPr>
        <w:pStyle w:val="BodyText"/>
        <w:spacing w:before="137"/>
        <w:ind w:left="1823"/>
      </w:pPr>
      <w:r>
        <w:rPr>
          <w:rFonts w:ascii="Cambria Math" w:eastAsia="Cambria Math"/>
        </w:rPr>
        <w:t>𝑏</w:t>
      </w:r>
      <w:r>
        <w:rPr>
          <w:rFonts w:ascii="Cambria Math" w:eastAsia="Cambria Math"/>
          <w:vertAlign w:val="subscript"/>
        </w:rPr>
        <w:t>1</w:t>
      </w:r>
      <w:r>
        <w:rPr>
          <w:rFonts w:ascii="Cambria Math" w:eastAsia="Cambria Math"/>
          <w:spacing w:val="60"/>
          <w:w w:val="150"/>
          <w:vertAlign w:val="baseline"/>
        </w:rPr>
        <w:t> </w:t>
      </w:r>
      <w:r>
        <w:rPr>
          <w:vertAlign w:val="baseline"/>
        </w:rPr>
        <w:t>=</w:t>
      </w:r>
      <w:r>
        <w:rPr>
          <w:spacing w:val="-2"/>
          <w:vertAlign w:val="baseline"/>
        </w:rPr>
        <w:t> </w:t>
      </w:r>
      <w:r>
        <w:rPr>
          <w:vertAlign w:val="baseline"/>
        </w:rPr>
        <w:t>koefisien</w:t>
      </w:r>
      <w:r>
        <w:rPr>
          <w:spacing w:val="-1"/>
          <w:vertAlign w:val="baseline"/>
        </w:rPr>
        <w:t> </w:t>
      </w:r>
      <w:r>
        <w:rPr>
          <w:vertAlign w:val="baseline"/>
        </w:rPr>
        <w:t>regresi</w:t>
      </w:r>
      <w:r>
        <w:rPr>
          <w:spacing w:val="-1"/>
          <w:vertAlign w:val="baseline"/>
        </w:rPr>
        <w:t> </w:t>
      </w:r>
      <w:r>
        <w:rPr>
          <w:vertAlign w:val="baseline"/>
        </w:rPr>
        <w:t>dari</w:t>
      </w:r>
      <w:r>
        <w:rPr>
          <w:spacing w:val="1"/>
          <w:vertAlign w:val="baseline"/>
        </w:rPr>
        <w:t> </w:t>
      </w:r>
      <w:r>
        <w:rPr>
          <w:vertAlign w:val="baseline"/>
        </w:rPr>
        <w:t>Indeks</w:t>
      </w:r>
      <w:r>
        <w:rPr>
          <w:spacing w:val="-2"/>
          <w:vertAlign w:val="baseline"/>
        </w:rPr>
        <w:t> </w:t>
      </w:r>
      <w:r>
        <w:rPr>
          <w:vertAlign w:val="baseline"/>
        </w:rPr>
        <w:t>Keyakinan</w:t>
      </w:r>
      <w:r>
        <w:rPr>
          <w:spacing w:val="-1"/>
          <w:vertAlign w:val="baseline"/>
        </w:rPr>
        <w:t> </w:t>
      </w:r>
      <w:r>
        <w:rPr>
          <w:spacing w:val="-2"/>
          <w:vertAlign w:val="baseline"/>
        </w:rPr>
        <w:t>Konsumen</w:t>
      </w:r>
    </w:p>
    <w:p>
      <w:pPr>
        <w:pStyle w:val="BodyText"/>
        <w:spacing w:before="141"/>
        <w:ind w:left="1823"/>
      </w:pPr>
      <w:r>
        <w:rPr>
          <w:rFonts w:ascii="Cambria Math" w:eastAsia="Cambria Math"/>
        </w:rPr>
        <w:t>𝑏</w:t>
      </w:r>
      <w:r>
        <w:rPr>
          <w:rFonts w:ascii="Cambria Math" w:eastAsia="Cambria Math"/>
          <w:vertAlign w:val="subscript"/>
        </w:rPr>
        <w:t>2</w:t>
      </w:r>
      <w:r>
        <w:rPr>
          <w:rFonts w:ascii="Cambria Math" w:eastAsia="Cambria Math"/>
          <w:spacing w:val="58"/>
          <w:w w:val="150"/>
          <w:vertAlign w:val="baseline"/>
        </w:rPr>
        <w:t> </w:t>
      </w:r>
      <w:r>
        <w:rPr>
          <w:vertAlign w:val="baseline"/>
        </w:rPr>
        <w:t>=</w:t>
      </w:r>
      <w:r>
        <w:rPr>
          <w:spacing w:val="-1"/>
          <w:vertAlign w:val="baseline"/>
        </w:rPr>
        <w:t> </w:t>
      </w:r>
      <w:r>
        <w:rPr>
          <w:vertAlign w:val="baseline"/>
        </w:rPr>
        <w:t>koefisien regresi dari Nilai </w:t>
      </w:r>
      <w:r>
        <w:rPr>
          <w:spacing w:val="-2"/>
          <w:vertAlign w:val="baseline"/>
        </w:rPr>
        <w:t>Tukar</w:t>
      </w:r>
    </w:p>
    <w:p>
      <w:pPr>
        <w:pStyle w:val="BodyText"/>
        <w:spacing w:before="141"/>
        <w:ind w:left="1823"/>
      </w:pPr>
      <w:r>
        <w:rPr>
          <w:rFonts w:ascii="Cambria Math" w:eastAsia="Cambria Math"/>
        </w:rPr>
        <w:t>𝑏</w:t>
      </w:r>
      <w:r>
        <w:rPr>
          <w:rFonts w:ascii="Cambria Math" w:eastAsia="Cambria Math"/>
          <w:vertAlign w:val="subscript"/>
        </w:rPr>
        <w:t>3</w:t>
      </w:r>
      <w:r>
        <w:rPr>
          <w:rFonts w:ascii="Cambria Math" w:eastAsia="Cambria Math"/>
          <w:spacing w:val="58"/>
          <w:w w:val="150"/>
          <w:vertAlign w:val="baseline"/>
        </w:rPr>
        <w:t> </w:t>
      </w:r>
      <w:r>
        <w:rPr>
          <w:vertAlign w:val="baseline"/>
        </w:rPr>
        <w:t>=</w:t>
      </w:r>
      <w:r>
        <w:rPr>
          <w:spacing w:val="-1"/>
          <w:vertAlign w:val="baseline"/>
        </w:rPr>
        <w:t> </w:t>
      </w:r>
      <w:r>
        <w:rPr>
          <w:vertAlign w:val="baseline"/>
        </w:rPr>
        <w:t>koefisien regresi dari</w:t>
      </w:r>
      <w:r>
        <w:rPr>
          <w:spacing w:val="3"/>
          <w:vertAlign w:val="baseline"/>
        </w:rPr>
        <w:t> </w:t>
      </w:r>
      <w:r>
        <w:rPr>
          <w:spacing w:val="-2"/>
          <w:vertAlign w:val="baseline"/>
        </w:rPr>
        <w:t>Inflasi</w:t>
      </w:r>
    </w:p>
    <w:p>
      <w:pPr>
        <w:pStyle w:val="BodyText"/>
        <w:spacing w:before="141"/>
        <w:ind w:left="1823"/>
      </w:pPr>
      <w:r>
        <w:rPr>
          <w:rFonts w:ascii="Cambria Math" w:eastAsia="Cambria Math"/>
        </w:rPr>
        <w:t>𝑏</w:t>
      </w:r>
      <w:r>
        <w:rPr>
          <w:rFonts w:ascii="Cambria Math" w:eastAsia="Cambria Math"/>
          <w:vertAlign w:val="subscript"/>
        </w:rPr>
        <w:t>4</w:t>
      </w:r>
      <w:r>
        <w:rPr>
          <w:rFonts w:ascii="Cambria Math" w:eastAsia="Cambria Math"/>
          <w:spacing w:val="57"/>
          <w:w w:val="150"/>
          <w:vertAlign w:val="baseline"/>
        </w:rPr>
        <w:t> </w:t>
      </w:r>
      <w:r>
        <w:rPr>
          <w:vertAlign w:val="baseline"/>
        </w:rPr>
        <w:t>=</w:t>
      </w:r>
      <w:r>
        <w:rPr>
          <w:spacing w:val="-2"/>
          <w:vertAlign w:val="baseline"/>
        </w:rPr>
        <w:t> </w:t>
      </w:r>
      <w:r>
        <w:rPr>
          <w:vertAlign w:val="baseline"/>
        </w:rPr>
        <w:t>koefisien regresi</w:t>
      </w:r>
      <w:r>
        <w:rPr>
          <w:spacing w:val="-1"/>
          <w:vertAlign w:val="baseline"/>
        </w:rPr>
        <w:t> </w:t>
      </w:r>
      <w:r>
        <w:rPr>
          <w:vertAlign w:val="baseline"/>
        </w:rPr>
        <w:t>dari</w:t>
      </w:r>
      <w:r>
        <w:rPr>
          <w:spacing w:val="3"/>
          <w:vertAlign w:val="baseline"/>
        </w:rPr>
        <w:t> </w:t>
      </w:r>
      <w:r>
        <w:rPr>
          <w:vertAlign w:val="baseline"/>
        </w:rPr>
        <w:t>Indeks</w:t>
      </w:r>
      <w:r>
        <w:rPr>
          <w:spacing w:val="-2"/>
          <w:vertAlign w:val="baseline"/>
        </w:rPr>
        <w:t> </w:t>
      </w:r>
      <w:r>
        <w:rPr>
          <w:vertAlign w:val="baseline"/>
        </w:rPr>
        <w:t>Produksi </w:t>
      </w:r>
      <w:r>
        <w:rPr>
          <w:spacing w:val="-2"/>
          <w:vertAlign w:val="baseline"/>
        </w:rPr>
        <w:t>Industri</w:t>
      </w:r>
    </w:p>
    <w:p>
      <w:pPr>
        <w:pStyle w:val="BodyText"/>
        <w:spacing w:before="141"/>
        <w:ind w:left="1823"/>
      </w:pPr>
      <w:r>
        <w:rPr>
          <w:rFonts w:ascii="Cambria Math" w:eastAsia="Cambria Math"/>
        </w:rPr>
        <w:t>𝑋</w:t>
      </w:r>
      <w:r>
        <w:rPr>
          <w:rFonts w:ascii="Cambria Math" w:eastAsia="Cambria Math"/>
          <w:vertAlign w:val="subscript"/>
        </w:rPr>
        <w:t>1</w:t>
      </w:r>
      <w:r>
        <w:rPr>
          <w:rFonts w:ascii="Cambria Math" w:eastAsia="Cambria Math"/>
          <w:spacing w:val="61"/>
          <w:vertAlign w:val="baseline"/>
        </w:rPr>
        <w:t> </w:t>
      </w:r>
      <w:r>
        <w:rPr>
          <w:vertAlign w:val="baseline"/>
        </w:rPr>
        <w:t>= Indeks</w:t>
      </w:r>
      <w:r>
        <w:rPr>
          <w:spacing w:val="-3"/>
          <w:vertAlign w:val="baseline"/>
        </w:rPr>
        <w:t> </w:t>
      </w:r>
      <w:r>
        <w:rPr>
          <w:vertAlign w:val="baseline"/>
        </w:rPr>
        <w:t>Keyakinan</w:t>
      </w:r>
      <w:r>
        <w:rPr>
          <w:spacing w:val="-3"/>
          <w:vertAlign w:val="baseline"/>
        </w:rPr>
        <w:t> </w:t>
      </w:r>
      <w:r>
        <w:rPr>
          <w:spacing w:val="-2"/>
          <w:vertAlign w:val="baseline"/>
        </w:rPr>
        <w:t>Konsumen</w:t>
      </w:r>
    </w:p>
    <w:p>
      <w:pPr>
        <w:pStyle w:val="BodyText"/>
        <w:spacing w:after="0"/>
        <w:sectPr>
          <w:pgSz w:w="11910" w:h="16840"/>
          <w:pgMar w:header="0" w:footer="1000" w:top="1360" w:bottom="1200" w:left="1417" w:right="1275"/>
        </w:sectPr>
      </w:pPr>
    </w:p>
    <w:p>
      <w:pPr>
        <w:pStyle w:val="BodyText"/>
        <w:spacing w:before="61"/>
        <w:ind w:left="1823"/>
      </w:pPr>
      <w:r>
        <w:rPr>
          <w:rFonts w:ascii="Cambria Math" w:eastAsia="Cambria Math"/>
        </w:rPr>
        <w:t>𝑋</w:t>
      </w:r>
      <w:r>
        <w:rPr>
          <w:rFonts w:ascii="Cambria Math" w:eastAsia="Cambria Math"/>
          <w:vertAlign w:val="subscript"/>
        </w:rPr>
        <w:t>2</w:t>
      </w:r>
      <w:r>
        <w:rPr>
          <w:rFonts w:ascii="Cambria Math" w:eastAsia="Cambria Math"/>
          <w:spacing w:val="61"/>
          <w:vertAlign w:val="baseline"/>
        </w:rPr>
        <w:t> </w:t>
      </w:r>
      <w:r>
        <w:rPr>
          <w:vertAlign w:val="baseline"/>
        </w:rPr>
        <w:t>=</w:t>
      </w:r>
      <w:r>
        <w:rPr>
          <w:spacing w:val="-1"/>
          <w:vertAlign w:val="baseline"/>
        </w:rPr>
        <w:t> </w:t>
      </w:r>
      <w:r>
        <w:rPr>
          <w:vertAlign w:val="baseline"/>
        </w:rPr>
        <w:t>Nilai </w:t>
      </w:r>
      <w:r>
        <w:rPr>
          <w:spacing w:val="-4"/>
          <w:vertAlign w:val="baseline"/>
        </w:rPr>
        <w:t>Tukar</w:t>
      </w:r>
    </w:p>
    <w:p>
      <w:pPr>
        <w:pStyle w:val="BodyText"/>
        <w:spacing w:before="142"/>
        <w:ind w:left="1823"/>
      </w:pPr>
      <w:r>
        <w:rPr>
          <w:rFonts w:ascii="Cambria Math" w:eastAsia="Cambria Math"/>
        </w:rPr>
        <w:t>𝑋</w:t>
      </w:r>
      <w:r>
        <w:rPr>
          <w:rFonts w:ascii="Cambria Math" w:eastAsia="Cambria Math"/>
          <w:vertAlign w:val="subscript"/>
        </w:rPr>
        <w:t>3</w:t>
      </w:r>
      <w:r>
        <w:rPr>
          <w:rFonts w:ascii="Cambria Math" w:eastAsia="Cambria Math"/>
          <w:spacing w:val="61"/>
          <w:vertAlign w:val="baseline"/>
        </w:rPr>
        <w:t> </w:t>
      </w:r>
      <w:r>
        <w:rPr>
          <w:vertAlign w:val="baseline"/>
        </w:rPr>
        <w:t>=</w:t>
      </w:r>
      <w:r>
        <w:rPr>
          <w:spacing w:val="2"/>
          <w:vertAlign w:val="baseline"/>
        </w:rPr>
        <w:t> </w:t>
      </w:r>
      <w:r>
        <w:rPr>
          <w:spacing w:val="-2"/>
          <w:vertAlign w:val="baseline"/>
        </w:rPr>
        <w:t>Inflasi</w:t>
      </w:r>
    </w:p>
    <w:p>
      <w:pPr>
        <w:pStyle w:val="BodyText"/>
        <w:tabs>
          <w:tab w:pos="2183" w:val="left" w:leader="none"/>
        </w:tabs>
        <w:spacing w:line="360" w:lineRule="auto" w:before="141"/>
        <w:ind w:left="1823" w:right="4472"/>
      </w:pPr>
      <w:r>
        <w:rPr>
          <w:rFonts w:ascii="Cambria Math" w:eastAsia="Cambria Math"/>
        </w:rPr>
        <w:t>𝑋</w:t>
      </w:r>
      <w:r>
        <w:rPr>
          <w:rFonts w:ascii="Cambria Math" w:eastAsia="Cambria Math"/>
          <w:vertAlign w:val="subscript"/>
        </w:rPr>
        <w:t>4</w:t>
      </w:r>
      <w:r>
        <w:rPr>
          <w:rFonts w:ascii="Cambria Math" w:eastAsia="Cambria Math"/>
          <w:spacing w:val="40"/>
          <w:vertAlign w:val="baseline"/>
        </w:rPr>
        <w:t> </w:t>
      </w:r>
      <w:r>
        <w:rPr>
          <w:vertAlign w:val="baseline"/>
        </w:rPr>
        <w:t>=</w:t>
      </w:r>
      <w:r>
        <w:rPr>
          <w:spacing w:val="-5"/>
          <w:vertAlign w:val="baseline"/>
        </w:rPr>
        <w:t> </w:t>
      </w:r>
      <w:r>
        <w:rPr>
          <w:vertAlign w:val="baseline"/>
        </w:rPr>
        <w:t>Indeks</w:t>
      </w:r>
      <w:r>
        <w:rPr>
          <w:spacing w:val="-8"/>
          <w:vertAlign w:val="baseline"/>
        </w:rPr>
        <w:t> </w:t>
      </w:r>
      <w:r>
        <w:rPr>
          <w:vertAlign w:val="baseline"/>
        </w:rPr>
        <w:t>Produksi</w:t>
      </w:r>
      <w:r>
        <w:rPr>
          <w:spacing w:val="-5"/>
          <w:vertAlign w:val="baseline"/>
        </w:rPr>
        <w:t> </w:t>
      </w:r>
      <w:r>
        <w:rPr>
          <w:vertAlign w:val="baseline"/>
        </w:rPr>
        <w:t>Industri </w:t>
      </w:r>
      <w:r>
        <w:rPr>
          <w:spacing w:val="-10"/>
          <w:vertAlign w:val="baseline"/>
        </w:rPr>
        <w:t>e</w:t>
      </w:r>
      <w:r>
        <w:rPr>
          <w:vertAlign w:val="baseline"/>
        </w:rPr>
        <w:tab/>
        <w:t>= residual/error</w:t>
      </w:r>
    </w:p>
    <w:p>
      <w:pPr>
        <w:pStyle w:val="BodyText"/>
        <w:spacing w:after="0" w:line="360" w:lineRule="auto"/>
        <w:sectPr>
          <w:pgSz w:w="11910" w:h="16840"/>
          <w:pgMar w:header="0" w:footer="1000" w:top="1360" w:bottom="1200" w:left="1417" w:right="1275"/>
        </w:sectPr>
      </w:pPr>
    </w:p>
    <w:p>
      <w:pPr>
        <w:pStyle w:val="Heading1"/>
      </w:pPr>
      <w:bookmarkStart w:name="_bookmark141" w:id="142"/>
      <w:bookmarkEnd w:id="142"/>
      <w:r>
        <w:rPr>
          <w:b w:val="0"/>
        </w:rPr>
      </w:r>
      <w:r>
        <w:rPr/>
        <w:t>BAB </w:t>
      </w:r>
      <w:r>
        <w:rPr>
          <w:spacing w:val="-5"/>
        </w:rPr>
        <w:t>IV</w:t>
      </w:r>
    </w:p>
    <w:p>
      <w:pPr>
        <w:pStyle w:val="BodyText"/>
        <w:spacing w:before="22"/>
        <w:rPr>
          <w:b/>
        </w:rPr>
      </w:pPr>
    </w:p>
    <w:p>
      <w:pPr>
        <w:pStyle w:val="Heading1"/>
        <w:spacing w:before="0"/>
      </w:pPr>
      <w:bookmarkStart w:name="_bookmark142" w:id="143"/>
      <w:bookmarkEnd w:id="143"/>
      <w:r>
        <w:rPr>
          <w:b w:val="0"/>
        </w:rPr>
      </w:r>
      <w:r>
        <w:rPr/>
        <w:t>HASIL</w:t>
      </w:r>
      <w:r>
        <w:rPr>
          <w:spacing w:val="-3"/>
        </w:rPr>
        <w:t> </w:t>
      </w:r>
      <w:r>
        <w:rPr/>
        <w:t>PENELITIAN</w:t>
      </w:r>
      <w:r>
        <w:rPr>
          <w:spacing w:val="-3"/>
        </w:rPr>
        <w:t> </w:t>
      </w:r>
      <w:r>
        <w:rPr/>
        <w:t>DAN</w:t>
      </w:r>
      <w:r>
        <w:rPr>
          <w:spacing w:val="-3"/>
        </w:rPr>
        <w:t> </w:t>
      </w:r>
      <w:r>
        <w:rPr>
          <w:spacing w:val="-2"/>
        </w:rPr>
        <w:t>PEMBAHASAN</w:t>
      </w:r>
    </w:p>
    <w:p>
      <w:pPr>
        <w:pStyle w:val="BodyText"/>
        <w:spacing w:before="22"/>
        <w:rPr>
          <w:b/>
        </w:rPr>
      </w:pPr>
    </w:p>
    <w:p>
      <w:pPr>
        <w:pStyle w:val="Heading2"/>
        <w:numPr>
          <w:ilvl w:val="1"/>
          <w:numId w:val="24"/>
        </w:numPr>
        <w:tabs>
          <w:tab w:pos="742" w:val="left" w:leader="none"/>
        </w:tabs>
        <w:spacing w:line="240" w:lineRule="auto" w:before="0" w:after="0"/>
        <w:ind w:left="742" w:right="0" w:hanging="359"/>
        <w:jc w:val="both"/>
      </w:pPr>
      <w:bookmarkStart w:name="_bookmark143" w:id="144"/>
      <w:bookmarkEnd w:id="144"/>
      <w:r>
        <w:rPr>
          <w:b w:val="0"/>
        </w:rPr>
      </w:r>
      <w:r>
        <w:rPr/>
        <w:t>Penyajian</w:t>
      </w:r>
      <w:r>
        <w:rPr>
          <w:spacing w:val="-7"/>
        </w:rPr>
        <w:t> </w:t>
      </w:r>
      <w:r>
        <w:rPr>
          <w:spacing w:val="-4"/>
        </w:rPr>
        <w:t>Data</w:t>
      </w:r>
    </w:p>
    <w:p>
      <w:pPr>
        <w:pStyle w:val="BodyText"/>
        <w:spacing w:before="22"/>
        <w:rPr>
          <w:b/>
        </w:rPr>
      </w:pPr>
    </w:p>
    <w:p>
      <w:pPr>
        <w:pStyle w:val="BodyText"/>
        <w:spacing w:line="360" w:lineRule="auto"/>
        <w:ind w:left="743" w:right="158" w:firstLine="720"/>
        <w:jc w:val="both"/>
      </w:pPr>
      <w:r>
        <w:rPr/>
        <w:t>Proses menyusun data secara terstruktur untuk membuat kesimpulan dan mengambil tindakan dikenal sebagai presentasi atau penyajian data.</w:t>
      </w:r>
      <w:hyperlink w:history="true" w:anchor="_bookmark146">
        <w:r>
          <w:rPr>
            <w:vertAlign w:val="superscript"/>
          </w:rPr>
          <w:t>85</w:t>
        </w:r>
      </w:hyperlink>
      <w:r>
        <w:rPr>
          <w:vertAlign w:val="baseline"/>
        </w:rPr>
        <w:t> Adapun keseluruhan partisipan dalam populasi penelitian ini ditampilkan sebagai sampel menggunakan teknik sampel jenuh. Data-data tersebut dapat diporoleh pada website resmi</w:t>
      </w:r>
      <w:r>
        <w:rPr>
          <w:spacing w:val="-13"/>
          <w:vertAlign w:val="baseline"/>
        </w:rPr>
        <w:t> </w:t>
      </w:r>
      <w:r>
        <w:rPr>
          <w:vertAlign w:val="baseline"/>
        </w:rPr>
        <w:t>yang</w:t>
      </w:r>
      <w:r>
        <w:rPr>
          <w:spacing w:val="-14"/>
          <w:vertAlign w:val="baseline"/>
        </w:rPr>
        <w:t> </w:t>
      </w:r>
      <w:r>
        <w:rPr>
          <w:vertAlign w:val="baseline"/>
        </w:rPr>
        <w:t>dipublikasikan</w:t>
      </w:r>
      <w:r>
        <w:rPr>
          <w:spacing w:val="-14"/>
          <w:vertAlign w:val="baseline"/>
        </w:rPr>
        <w:t> </w:t>
      </w:r>
      <w:r>
        <w:rPr>
          <w:vertAlign w:val="baseline"/>
        </w:rPr>
        <w:t>oleh</w:t>
      </w:r>
      <w:r>
        <w:rPr>
          <w:spacing w:val="-15"/>
          <w:vertAlign w:val="baseline"/>
        </w:rPr>
        <w:t> </w:t>
      </w:r>
      <w:r>
        <w:rPr>
          <w:vertAlign w:val="baseline"/>
        </w:rPr>
        <w:t>IDX</w:t>
      </w:r>
      <w:r>
        <w:rPr>
          <w:spacing w:val="-15"/>
          <w:vertAlign w:val="baseline"/>
        </w:rPr>
        <w:t> </w:t>
      </w:r>
      <w:r>
        <w:rPr>
          <w:vertAlign w:val="baseline"/>
        </w:rPr>
        <w:t>Syariah</w:t>
      </w:r>
      <w:r>
        <w:rPr>
          <w:spacing w:val="-14"/>
          <w:vertAlign w:val="baseline"/>
        </w:rPr>
        <w:t> </w:t>
      </w:r>
      <w:r>
        <w:rPr>
          <w:vertAlign w:val="baseline"/>
        </w:rPr>
        <w:t>dimana</w:t>
      </w:r>
      <w:r>
        <w:rPr>
          <w:spacing w:val="-15"/>
          <w:vertAlign w:val="baseline"/>
        </w:rPr>
        <w:t> </w:t>
      </w:r>
      <w:r>
        <w:rPr>
          <w:vertAlign w:val="baseline"/>
        </w:rPr>
        <w:t>menampilkan</w:t>
      </w:r>
      <w:r>
        <w:rPr>
          <w:spacing w:val="-15"/>
          <w:vertAlign w:val="baseline"/>
        </w:rPr>
        <w:t> </w:t>
      </w:r>
      <w:r>
        <w:rPr>
          <w:vertAlign w:val="baseline"/>
        </w:rPr>
        <w:t>sebanyak</w:t>
      </w:r>
      <w:r>
        <w:rPr>
          <w:spacing w:val="-12"/>
          <w:vertAlign w:val="baseline"/>
        </w:rPr>
        <w:t> </w:t>
      </w:r>
      <w:r>
        <w:rPr>
          <w:vertAlign w:val="baseline"/>
        </w:rPr>
        <w:t>60</w:t>
      </w:r>
      <w:r>
        <w:rPr>
          <w:spacing w:val="-14"/>
          <w:vertAlign w:val="baseline"/>
        </w:rPr>
        <w:t> </w:t>
      </w:r>
      <w:r>
        <w:rPr>
          <w:vertAlign w:val="baseline"/>
        </w:rPr>
        <w:t>sampel data runtun waktu Indeks Saham Syariah Indonesia dari tahun 2020 hingga 2024. Hal yang</w:t>
      </w:r>
      <w:r>
        <w:rPr>
          <w:spacing w:val="-5"/>
          <w:vertAlign w:val="baseline"/>
        </w:rPr>
        <w:t> </w:t>
      </w:r>
      <w:r>
        <w:rPr>
          <w:vertAlign w:val="baseline"/>
        </w:rPr>
        <w:t>sama</w:t>
      </w:r>
      <w:r>
        <w:rPr>
          <w:spacing w:val="-5"/>
          <w:vertAlign w:val="baseline"/>
        </w:rPr>
        <w:t> </w:t>
      </w:r>
      <w:r>
        <w:rPr>
          <w:vertAlign w:val="baseline"/>
        </w:rPr>
        <w:t>juga</w:t>
      </w:r>
      <w:r>
        <w:rPr>
          <w:spacing w:val="-6"/>
          <w:vertAlign w:val="baseline"/>
        </w:rPr>
        <w:t> </w:t>
      </w:r>
      <w:r>
        <w:rPr>
          <w:vertAlign w:val="baseline"/>
        </w:rPr>
        <w:t>berlaku</w:t>
      </w:r>
      <w:r>
        <w:rPr>
          <w:spacing w:val="-5"/>
          <w:vertAlign w:val="baseline"/>
        </w:rPr>
        <w:t> </w:t>
      </w:r>
      <w:r>
        <w:rPr>
          <w:vertAlign w:val="baseline"/>
        </w:rPr>
        <w:t>untuk</w:t>
      </w:r>
      <w:r>
        <w:rPr>
          <w:spacing w:val="-4"/>
          <w:vertAlign w:val="baseline"/>
        </w:rPr>
        <w:t> </w:t>
      </w:r>
      <w:r>
        <w:rPr>
          <w:vertAlign w:val="baseline"/>
        </w:rPr>
        <w:t>variabel</w:t>
      </w:r>
      <w:r>
        <w:rPr>
          <w:spacing w:val="-4"/>
          <w:vertAlign w:val="baseline"/>
        </w:rPr>
        <w:t> </w:t>
      </w:r>
      <w:r>
        <w:rPr>
          <w:vertAlign w:val="baseline"/>
        </w:rPr>
        <w:t>independen,</w:t>
      </w:r>
      <w:r>
        <w:rPr>
          <w:spacing w:val="-5"/>
          <w:vertAlign w:val="baseline"/>
        </w:rPr>
        <w:t> </w:t>
      </w:r>
      <w:r>
        <w:rPr>
          <w:vertAlign w:val="baseline"/>
        </w:rPr>
        <w:t>yang</w:t>
      </w:r>
      <w:r>
        <w:rPr>
          <w:spacing w:val="-5"/>
          <w:vertAlign w:val="baseline"/>
        </w:rPr>
        <w:t> </w:t>
      </w:r>
      <w:r>
        <w:rPr>
          <w:vertAlign w:val="baseline"/>
        </w:rPr>
        <w:t>masing-masing</w:t>
      </w:r>
      <w:r>
        <w:rPr>
          <w:spacing w:val="-5"/>
          <w:vertAlign w:val="baseline"/>
        </w:rPr>
        <w:t> </w:t>
      </w:r>
      <w:r>
        <w:rPr>
          <w:vertAlign w:val="baseline"/>
        </w:rPr>
        <w:t>berjumlah</w:t>
      </w:r>
      <w:r>
        <w:rPr>
          <w:spacing w:val="-5"/>
          <w:vertAlign w:val="baseline"/>
        </w:rPr>
        <w:t> </w:t>
      </w:r>
      <w:r>
        <w:rPr>
          <w:vertAlign w:val="baseline"/>
        </w:rPr>
        <w:t>60 sampel. Variabel-variabel tersebut adalah Indeks Keyakinan Konsumen, nilai tukar, inflasi,</w:t>
      </w:r>
      <w:r>
        <w:rPr>
          <w:spacing w:val="-1"/>
          <w:vertAlign w:val="baseline"/>
        </w:rPr>
        <w:t> </w:t>
      </w:r>
      <w:r>
        <w:rPr>
          <w:vertAlign w:val="baseline"/>
        </w:rPr>
        <w:t>dan</w:t>
      </w:r>
      <w:r>
        <w:rPr>
          <w:spacing w:val="-1"/>
          <w:vertAlign w:val="baseline"/>
        </w:rPr>
        <w:t> </w:t>
      </w:r>
      <w:r>
        <w:rPr>
          <w:vertAlign w:val="baseline"/>
        </w:rPr>
        <w:t>Indeks</w:t>
      </w:r>
      <w:r>
        <w:rPr>
          <w:spacing w:val="-1"/>
          <w:vertAlign w:val="baseline"/>
        </w:rPr>
        <w:t> </w:t>
      </w:r>
      <w:r>
        <w:rPr>
          <w:vertAlign w:val="baseline"/>
        </w:rPr>
        <w:t>Produksi</w:t>
      </w:r>
      <w:r>
        <w:rPr>
          <w:spacing w:val="-1"/>
          <w:vertAlign w:val="baseline"/>
        </w:rPr>
        <w:t> </w:t>
      </w:r>
      <w:r>
        <w:rPr>
          <w:vertAlign w:val="baseline"/>
        </w:rPr>
        <w:t>Industri</w:t>
      </w:r>
      <w:r>
        <w:rPr>
          <w:spacing w:val="-1"/>
          <w:vertAlign w:val="baseline"/>
        </w:rPr>
        <w:t> </w:t>
      </w:r>
      <w:r>
        <w:rPr>
          <w:vertAlign w:val="baseline"/>
        </w:rPr>
        <w:t>yang</w:t>
      </w:r>
      <w:r>
        <w:rPr>
          <w:spacing w:val="-1"/>
          <w:vertAlign w:val="baseline"/>
        </w:rPr>
        <w:t> </w:t>
      </w:r>
      <w:r>
        <w:rPr>
          <w:vertAlign w:val="baseline"/>
        </w:rPr>
        <w:t>diunggah di</w:t>
      </w:r>
      <w:r>
        <w:rPr>
          <w:spacing w:val="-1"/>
          <w:vertAlign w:val="baseline"/>
        </w:rPr>
        <w:t> </w:t>
      </w:r>
      <w:r>
        <w:rPr>
          <w:vertAlign w:val="baseline"/>
        </w:rPr>
        <w:t>situs</w:t>
      </w:r>
      <w:r>
        <w:rPr>
          <w:spacing w:val="-4"/>
          <w:vertAlign w:val="baseline"/>
        </w:rPr>
        <w:t> </w:t>
      </w:r>
      <w:hyperlink r:id="rId19">
        <w:r>
          <w:rPr>
            <w:vertAlign w:val="baseline"/>
          </w:rPr>
          <w:t>www.bi.go.id</w:t>
        </w:r>
      </w:hyperlink>
      <w:r>
        <w:rPr>
          <w:vertAlign w:val="baseline"/>
        </w:rPr>
        <w:t> untuk</w:t>
      </w:r>
      <w:r>
        <w:rPr>
          <w:spacing w:val="-1"/>
          <w:vertAlign w:val="baseline"/>
        </w:rPr>
        <w:t> </w:t>
      </w:r>
      <w:r>
        <w:rPr>
          <w:vertAlign w:val="baseline"/>
        </w:rPr>
        <w:t>tahun </w:t>
      </w:r>
      <w:r>
        <w:rPr>
          <w:spacing w:val="-2"/>
          <w:vertAlign w:val="baseline"/>
        </w:rPr>
        <w:t>2020-2024.</w:t>
      </w:r>
    </w:p>
    <w:p>
      <w:pPr>
        <w:pStyle w:val="Heading2"/>
        <w:numPr>
          <w:ilvl w:val="1"/>
          <w:numId w:val="24"/>
        </w:numPr>
        <w:tabs>
          <w:tab w:pos="742" w:val="left" w:leader="none"/>
        </w:tabs>
        <w:spacing w:line="240" w:lineRule="auto" w:before="162" w:after="0"/>
        <w:ind w:left="742" w:right="0" w:hanging="359"/>
        <w:jc w:val="both"/>
      </w:pPr>
      <w:bookmarkStart w:name="_bookmark144" w:id="145"/>
      <w:bookmarkEnd w:id="145"/>
      <w:r>
        <w:rPr>
          <w:b w:val="0"/>
        </w:rPr>
      </w:r>
      <w:r>
        <w:rPr/>
        <w:t>Analisis</w:t>
      </w:r>
      <w:r>
        <w:rPr>
          <w:spacing w:val="-6"/>
        </w:rPr>
        <w:t> </w:t>
      </w:r>
      <w:r>
        <w:rPr/>
        <w:t>Data</w:t>
      </w:r>
      <w:r>
        <w:rPr>
          <w:spacing w:val="-2"/>
        </w:rPr>
        <w:t> </w:t>
      </w:r>
      <w:r>
        <w:rPr/>
        <w:t>dan</w:t>
      </w:r>
      <w:r>
        <w:rPr>
          <w:spacing w:val="-2"/>
        </w:rPr>
        <w:t> </w:t>
      </w:r>
      <w:r>
        <w:rPr/>
        <w:t>Interpretasi</w:t>
      </w:r>
      <w:r>
        <w:rPr>
          <w:spacing w:val="-2"/>
        </w:rPr>
        <w:t> </w:t>
      </w:r>
      <w:r>
        <w:rPr>
          <w:spacing w:val="-4"/>
        </w:rPr>
        <w:t>Data</w:t>
      </w:r>
    </w:p>
    <w:p>
      <w:pPr>
        <w:pStyle w:val="BodyText"/>
        <w:spacing w:before="21"/>
        <w:rPr>
          <w:b/>
        </w:rPr>
      </w:pPr>
    </w:p>
    <w:p>
      <w:pPr>
        <w:pStyle w:val="Heading2"/>
        <w:numPr>
          <w:ilvl w:val="2"/>
          <w:numId w:val="24"/>
        </w:numPr>
        <w:tabs>
          <w:tab w:pos="1463" w:val="left" w:leader="none"/>
        </w:tabs>
        <w:spacing w:line="240" w:lineRule="auto" w:before="0" w:after="0"/>
        <w:ind w:left="1463" w:right="0" w:hanging="732"/>
        <w:jc w:val="left"/>
      </w:pPr>
      <w:bookmarkStart w:name="_bookmark145" w:id="146"/>
      <w:bookmarkEnd w:id="146"/>
      <w:r>
        <w:rPr>
          <w:b w:val="0"/>
        </w:rPr>
      </w:r>
      <w:r>
        <w:rPr/>
        <w:t>Statistik</w:t>
      </w:r>
      <w:r>
        <w:rPr>
          <w:spacing w:val="-4"/>
        </w:rPr>
        <w:t> </w:t>
      </w:r>
      <w:r>
        <w:rPr>
          <w:spacing w:val="-2"/>
        </w:rPr>
        <w:t>Deskriptif</w:t>
      </w:r>
    </w:p>
    <w:p>
      <w:pPr>
        <w:pStyle w:val="BodyText"/>
        <w:spacing w:before="22"/>
        <w:rPr>
          <w:b/>
        </w:rPr>
      </w:pPr>
    </w:p>
    <w:p>
      <w:pPr>
        <w:pStyle w:val="BodyText"/>
        <w:spacing w:line="360" w:lineRule="auto"/>
        <w:ind w:left="1463" w:right="160" w:firstLine="720"/>
        <w:jc w:val="both"/>
      </w:pPr>
      <w:r>
        <w:rPr/>
        <w:t>Statistik deskriptif mencakup metode untuk mengumpulkan, mengatur, memproses, menyajikan, dan mengevaluasi data numerik sehingga dapat menghasilkan gambaran yang jelas, ringkas, dan terstruktur dengan baik mengenai suatu keadaan, peristiwa, atau gejala. Statistik deskriptif dapat digunakan untuk analisis jika tujuan peneliti untuk menyajikan ringkasan data yang telah dikumpulkan.</w:t>
      </w:r>
      <w:hyperlink w:history="true" w:anchor="_bookmark147">
        <w:r>
          <w:rPr>
            <w:vertAlign w:val="superscript"/>
          </w:rPr>
          <w:t>86</w:t>
        </w:r>
      </w:hyperlink>
      <w:r>
        <w:rPr>
          <w:vertAlign w:val="baseline"/>
        </w:rPr>
        <w:t> Mean (nilai rata-rata), maximum (nilai tertinggi), minimum</w:t>
      </w:r>
      <w:r>
        <w:rPr>
          <w:spacing w:val="-8"/>
          <w:vertAlign w:val="baseline"/>
        </w:rPr>
        <w:t> </w:t>
      </w:r>
      <w:r>
        <w:rPr>
          <w:vertAlign w:val="baseline"/>
        </w:rPr>
        <w:t>(nilai</w:t>
      </w:r>
      <w:r>
        <w:rPr>
          <w:spacing w:val="-8"/>
          <w:vertAlign w:val="baseline"/>
        </w:rPr>
        <w:t> </w:t>
      </w:r>
      <w:r>
        <w:rPr>
          <w:vertAlign w:val="baseline"/>
        </w:rPr>
        <w:t>terendah),</w:t>
      </w:r>
      <w:r>
        <w:rPr>
          <w:spacing w:val="-9"/>
          <w:vertAlign w:val="baseline"/>
        </w:rPr>
        <w:t> </w:t>
      </w:r>
      <w:r>
        <w:rPr>
          <w:vertAlign w:val="baseline"/>
        </w:rPr>
        <w:t>dan</w:t>
      </w:r>
      <w:r>
        <w:rPr>
          <w:spacing w:val="-8"/>
          <w:vertAlign w:val="baseline"/>
        </w:rPr>
        <w:t> </w:t>
      </w:r>
      <w:r>
        <w:rPr>
          <w:vertAlign w:val="baseline"/>
        </w:rPr>
        <w:t>standar</w:t>
      </w:r>
      <w:r>
        <w:rPr>
          <w:spacing w:val="-9"/>
          <w:vertAlign w:val="baseline"/>
        </w:rPr>
        <w:t> </w:t>
      </w:r>
      <w:r>
        <w:rPr>
          <w:vertAlign w:val="baseline"/>
        </w:rPr>
        <w:t>deviasi</w:t>
      </w:r>
      <w:r>
        <w:rPr>
          <w:spacing w:val="-8"/>
          <w:vertAlign w:val="baseline"/>
        </w:rPr>
        <w:t> </w:t>
      </w:r>
      <w:r>
        <w:rPr>
          <w:vertAlign w:val="baseline"/>
        </w:rPr>
        <w:t>(tingkat</w:t>
      </w:r>
      <w:r>
        <w:rPr>
          <w:spacing w:val="-8"/>
          <w:vertAlign w:val="baseline"/>
        </w:rPr>
        <w:t> </w:t>
      </w:r>
      <w:r>
        <w:rPr>
          <w:vertAlign w:val="baseline"/>
        </w:rPr>
        <w:t>simpangan</w:t>
      </w:r>
      <w:r>
        <w:rPr>
          <w:spacing w:val="-8"/>
          <w:vertAlign w:val="baseline"/>
        </w:rPr>
        <w:t> </w:t>
      </w:r>
      <w:r>
        <w:rPr>
          <w:vertAlign w:val="baseline"/>
        </w:rPr>
        <w:t>baku)</w:t>
      </w:r>
      <w:r>
        <w:rPr>
          <w:spacing w:val="-9"/>
          <w:vertAlign w:val="baseline"/>
        </w:rPr>
        <w:t> </w:t>
      </w:r>
      <w:r>
        <w:rPr>
          <w:vertAlign w:val="baseline"/>
        </w:rPr>
        <w:t>adalah hasil dari pengolahan data statistik deskriptif. Output statistik deskriptif penelitian ini adalah sebagai berikut: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5"/>
        <w:rPr>
          <w:sz w:val="20"/>
        </w:rPr>
      </w:pPr>
      <w:r>
        <w:rPr>
          <w:sz w:val="20"/>
        </w:rPr>
        <mc:AlternateContent>
          <mc:Choice Requires="wps">
            <w:drawing>
              <wp:anchor distT="0" distB="0" distL="0" distR="0" allowOverlap="1" layoutInCell="1" locked="0" behindDoc="1" simplePos="0" relativeHeight="487614976">
                <wp:simplePos x="0" y="0"/>
                <wp:positionH relativeFrom="page">
                  <wp:posOffset>914704</wp:posOffset>
                </wp:positionH>
                <wp:positionV relativeFrom="paragraph">
                  <wp:posOffset>266482</wp:posOffset>
                </wp:positionV>
                <wp:extent cx="1829435" cy="9525"/>
                <wp:effectExtent l="0" t="0" r="0" b="0"/>
                <wp:wrapTopAndBottom/>
                <wp:docPr id="301" name="Graphic 301"/>
                <wp:cNvGraphicFramePr>
                  <a:graphicFrameLocks/>
                </wp:cNvGraphicFramePr>
                <a:graphic>
                  <a:graphicData uri="http://schemas.microsoft.com/office/word/2010/wordprocessingShape">
                    <wps:wsp>
                      <wps:cNvPr id="301" name="Graphic 30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982901pt;width:144.020pt;height:.72003pt;mso-position-horizontal-relative:page;mso-position-vertical-relative:paragraph;z-index:-15701504;mso-wrap-distance-left:0;mso-wrap-distance-right:0" id="docshape273" filled="true" fillcolor="#000000" stroked="false">
                <v:fill type="solid"/>
                <w10:wrap type="topAndBottom"/>
              </v:rect>
            </w:pict>
          </mc:Fallback>
        </mc:AlternateContent>
      </w:r>
    </w:p>
    <w:p>
      <w:pPr>
        <w:spacing w:before="101"/>
        <w:ind w:left="743" w:right="0" w:firstLine="0"/>
        <w:jc w:val="left"/>
        <w:rPr>
          <w:sz w:val="20"/>
        </w:rPr>
      </w:pPr>
      <w:bookmarkStart w:name="_bookmark146" w:id="147"/>
      <w:bookmarkEnd w:id="147"/>
      <w:r>
        <w:rPr/>
      </w:r>
      <w:r>
        <w:rPr>
          <w:sz w:val="20"/>
          <w:vertAlign w:val="superscript"/>
        </w:rPr>
        <w:t>85</w:t>
      </w:r>
      <w:r>
        <w:rPr>
          <w:spacing w:val="-5"/>
          <w:sz w:val="20"/>
          <w:vertAlign w:val="baseline"/>
        </w:rPr>
        <w:t> </w:t>
      </w:r>
      <w:r>
        <w:rPr>
          <w:sz w:val="20"/>
          <w:vertAlign w:val="baseline"/>
        </w:rPr>
        <w:t>Setyawan</w:t>
      </w:r>
      <w:r>
        <w:rPr>
          <w:spacing w:val="-4"/>
          <w:sz w:val="20"/>
          <w:vertAlign w:val="baseline"/>
        </w:rPr>
        <w:t> </w:t>
      </w:r>
      <w:r>
        <w:rPr>
          <w:sz w:val="20"/>
          <w:vertAlign w:val="baseline"/>
        </w:rPr>
        <w:t>I.D.A,</w:t>
      </w:r>
      <w:r>
        <w:rPr>
          <w:spacing w:val="-5"/>
          <w:sz w:val="20"/>
          <w:vertAlign w:val="baseline"/>
        </w:rPr>
        <w:t> </w:t>
      </w:r>
      <w:r>
        <w:rPr>
          <w:sz w:val="20"/>
          <w:vertAlign w:val="baseline"/>
        </w:rPr>
        <w:t>Ade</w:t>
      </w:r>
      <w:r>
        <w:rPr>
          <w:spacing w:val="-4"/>
          <w:sz w:val="20"/>
          <w:vertAlign w:val="baseline"/>
        </w:rPr>
        <w:t> </w:t>
      </w:r>
      <w:r>
        <w:rPr>
          <w:sz w:val="20"/>
          <w:vertAlign w:val="baseline"/>
        </w:rPr>
        <w:t>Devriany,</w:t>
      </w:r>
      <w:r>
        <w:rPr>
          <w:spacing w:val="-5"/>
          <w:sz w:val="20"/>
          <w:vertAlign w:val="baseline"/>
        </w:rPr>
        <w:t> </w:t>
      </w:r>
      <w:r>
        <w:rPr>
          <w:sz w:val="20"/>
          <w:vertAlign w:val="baseline"/>
        </w:rPr>
        <w:t>and</w:t>
      </w:r>
      <w:r>
        <w:rPr>
          <w:spacing w:val="-4"/>
          <w:sz w:val="20"/>
          <w:vertAlign w:val="baseline"/>
        </w:rPr>
        <w:t> </w:t>
      </w:r>
      <w:r>
        <w:rPr>
          <w:sz w:val="20"/>
          <w:vertAlign w:val="baseline"/>
        </w:rPr>
        <w:t>N</w:t>
      </w:r>
      <w:r>
        <w:rPr>
          <w:spacing w:val="-5"/>
          <w:sz w:val="20"/>
          <w:vertAlign w:val="baseline"/>
        </w:rPr>
        <w:t> </w:t>
      </w:r>
      <w:r>
        <w:rPr>
          <w:sz w:val="20"/>
          <w:vertAlign w:val="baseline"/>
        </w:rPr>
        <w:t>Huda,</w:t>
      </w:r>
      <w:r>
        <w:rPr>
          <w:spacing w:val="-2"/>
          <w:sz w:val="20"/>
          <w:vertAlign w:val="baseline"/>
        </w:rPr>
        <w:t> </w:t>
      </w:r>
      <w:r>
        <w:rPr>
          <w:i/>
          <w:sz w:val="20"/>
          <w:vertAlign w:val="baseline"/>
        </w:rPr>
        <w:t>Buku</w:t>
      </w:r>
      <w:r>
        <w:rPr>
          <w:i/>
          <w:spacing w:val="-5"/>
          <w:sz w:val="20"/>
          <w:vertAlign w:val="baseline"/>
        </w:rPr>
        <w:t> </w:t>
      </w:r>
      <w:r>
        <w:rPr>
          <w:i/>
          <w:sz w:val="20"/>
          <w:vertAlign w:val="baseline"/>
        </w:rPr>
        <w:t>Ajar</w:t>
      </w:r>
      <w:r>
        <w:rPr>
          <w:i/>
          <w:spacing w:val="-6"/>
          <w:sz w:val="20"/>
          <w:vertAlign w:val="baseline"/>
        </w:rPr>
        <w:t> </w:t>
      </w:r>
      <w:r>
        <w:rPr>
          <w:i/>
          <w:sz w:val="20"/>
          <w:vertAlign w:val="baseline"/>
        </w:rPr>
        <w:t>Statistika</w:t>
      </w:r>
      <w:r>
        <w:rPr>
          <w:i/>
          <w:spacing w:val="-2"/>
          <w:sz w:val="20"/>
          <w:vertAlign w:val="baseline"/>
        </w:rPr>
        <w:t> </w:t>
      </w:r>
      <w:r>
        <w:rPr>
          <w:sz w:val="20"/>
          <w:vertAlign w:val="baseline"/>
        </w:rPr>
        <w:t>(Bengkulu:</w:t>
      </w:r>
      <w:r>
        <w:rPr>
          <w:spacing w:val="-5"/>
          <w:sz w:val="20"/>
          <w:vertAlign w:val="baseline"/>
        </w:rPr>
        <w:t> </w:t>
      </w:r>
      <w:r>
        <w:rPr>
          <w:sz w:val="20"/>
          <w:vertAlign w:val="baseline"/>
        </w:rPr>
        <w:t>Penerbit</w:t>
      </w:r>
      <w:r>
        <w:rPr>
          <w:spacing w:val="-6"/>
          <w:sz w:val="20"/>
          <w:vertAlign w:val="baseline"/>
        </w:rPr>
        <w:t> </w:t>
      </w:r>
      <w:r>
        <w:rPr>
          <w:sz w:val="20"/>
          <w:vertAlign w:val="baseline"/>
        </w:rPr>
        <w:t>Adab,</w:t>
      </w:r>
      <w:r>
        <w:rPr>
          <w:spacing w:val="-5"/>
          <w:sz w:val="20"/>
          <w:vertAlign w:val="baseline"/>
        </w:rPr>
        <w:t> </w:t>
      </w:r>
      <w:r>
        <w:rPr>
          <w:spacing w:val="-2"/>
          <w:sz w:val="20"/>
          <w:vertAlign w:val="baseline"/>
        </w:rPr>
        <w:t>2021).</w:t>
      </w:r>
    </w:p>
    <w:p>
      <w:pPr>
        <w:spacing w:before="0"/>
        <w:ind w:left="743" w:right="0" w:firstLine="0"/>
        <w:jc w:val="left"/>
        <w:rPr>
          <w:i/>
          <w:sz w:val="20"/>
        </w:rPr>
      </w:pPr>
      <w:bookmarkStart w:name="_bookmark147" w:id="148"/>
      <w:bookmarkEnd w:id="148"/>
      <w:r>
        <w:rPr/>
      </w:r>
      <w:r>
        <w:rPr>
          <w:sz w:val="20"/>
          <w:vertAlign w:val="superscript"/>
        </w:rPr>
        <w:t>86</w:t>
      </w:r>
      <w:r>
        <w:rPr>
          <w:spacing w:val="5"/>
          <w:sz w:val="20"/>
          <w:vertAlign w:val="baseline"/>
        </w:rPr>
        <w:t> </w:t>
      </w:r>
      <w:r>
        <w:rPr>
          <w:sz w:val="20"/>
          <w:vertAlign w:val="baseline"/>
        </w:rPr>
        <w:t>Lilih</w:t>
      </w:r>
      <w:r>
        <w:rPr>
          <w:spacing w:val="6"/>
          <w:sz w:val="20"/>
          <w:vertAlign w:val="baseline"/>
        </w:rPr>
        <w:t> </w:t>
      </w:r>
      <w:r>
        <w:rPr>
          <w:sz w:val="20"/>
          <w:vertAlign w:val="baseline"/>
        </w:rPr>
        <w:t>Deva</w:t>
      </w:r>
      <w:r>
        <w:rPr>
          <w:spacing w:val="5"/>
          <w:sz w:val="20"/>
          <w:vertAlign w:val="baseline"/>
        </w:rPr>
        <w:t> </w:t>
      </w:r>
      <w:r>
        <w:rPr>
          <w:sz w:val="20"/>
          <w:vertAlign w:val="baseline"/>
        </w:rPr>
        <w:t>Martias,</w:t>
      </w:r>
      <w:r>
        <w:rPr>
          <w:spacing w:val="6"/>
          <w:sz w:val="20"/>
          <w:vertAlign w:val="baseline"/>
        </w:rPr>
        <w:t> </w:t>
      </w:r>
      <w:r>
        <w:rPr>
          <w:sz w:val="20"/>
          <w:vertAlign w:val="baseline"/>
        </w:rPr>
        <w:t>‘STATISTIKA</w:t>
      </w:r>
      <w:r>
        <w:rPr>
          <w:spacing w:val="6"/>
          <w:sz w:val="20"/>
          <w:vertAlign w:val="baseline"/>
        </w:rPr>
        <w:t> </w:t>
      </w:r>
      <w:r>
        <w:rPr>
          <w:sz w:val="20"/>
          <w:vertAlign w:val="baseline"/>
        </w:rPr>
        <w:t>DESKRIPTIF</w:t>
      </w:r>
      <w:r>
        <w:rPr>
          <w:spacing w:val="5"/>
          <w:sz w:val="20"/>
          <w:vertAlign w:val="baseline"/>
        </w:rPr>
        <w:t> </w:t>
      </w:r>
      <w:r>
        <w:rPr>
          <w:sz w:val="20"/>
          <w:vertAlign w:val="baseline"/>
        </w:rPr>
        <w:t>SEBAGAI</w:t>
      </w:r>
      <w:r>
        <w:rPr>
          <w:spacing w:val="7"/>
          <w:sz w:val="20"/>
          <w:vertAlign w:val="baseline"/>
        </w:rPr>
        <w:t> </w:t>
      </w:r>
      <w:r>
        <w:rPr>
          <w:sz w:val="20"/>
          <w:vertAlign w:val="baseline"/>
        </w:rPr>
        <w:t>KUMPULAN</w:t>
      </w:r>
      <w:r>
        <w:rPr>
          <w:spacing w:val="5"/>
          <w:sz w:val="20"/>
          <w:vertAlign w:val="baseline"/>
        </w:rPr>
        <w:t> </w:t>
      </w:r>
      <w:r>
        <w:rPr>
          <w:sz w:val="20"/>
          <w:vertAlign w:val="baseline"/>
        </w:rPr>
        <w:t>INFORMASI’,</w:t>
      </w:r>
      <w:r>
        <w:rPr>
          <w:spacing w:val="14"/>
          <w:sz w:val="20"/>
          <w:vertAlign w:val="baseline"/>
        </w:rPr>
        <w:t> </w:t>
      </w:r>
      <w:r>
        <w:rPr>
          <w:i/>
          <w:spacing w:val="-2"/>
          <w:sz w:val="20"/>
          <w:vertAlign w:val="baseline"/>
        </w:rPr>
        <w:t>Fihris:</w:t>
      </w:r>
    </w:p>
    <w:p>
      <w:pPr>
        <w:spacing w:before="1"/>
        <w:ind w:left="23" w:right="0" w:firstLine="0"/>
        <w:jc w:val="left"/>
        <w:rPr>
          <w:sz w:val="20"/>
        </w:rPr>
      </w:pPr>
      <w:r>
        <w:rPr>
          <w:i/>
          <w:sz w:val="20"/>
        </w:rPr>
        <w:t>Jurnal</w:t>
      </w:r>
      <w:r>
        <w:rPr>
          <w:i/>
          <w:spacing w:val="-10"/>
          <w:sz w:val="20"/>
        </w:rPr>
        <w:t> </w:t>
      </w:r>
      <w:r>
        <w:rPr>
          <w:i/>
          <w:sz w:val="20"/>
        </w:rPr>
        <w:t>Ilmu</w:t>
      </w:r>
      <w:r>
        <w:rPr>
          <w:i/>
          <w:spacing w:val="-7"/>
          <w:sz w:val="20"/>
        </w:rPr>
        <w:t> </w:t>
      </w:r>
      <w:r>
        <w:rPr>
          <w:i/>
          <w:sz w:val="20"/>
        </w:rPr>
        <w:t>Perpustakaan</w:t>
      </w:r>
      <w:r>
        <w:rPr>
          <w:i/>
          <w:spacing w:val="-8"/>
          <w:sz w:val="20"/>
        </w:rPr>
        <w:t> </w:t>
      </w:r>
      <w:r>
        <w:rPr>
          <w:i/>
          <w:sz w:val="20"/>
        </w:rPr>
        <w:t>Dan</w:t>
      </w:r>
      <w:r>
        <w:rPr>
          <w:i/>
          <w:spacing w:val="-8"/>
          <w:sz w:val="20"/>
        </w:rPr>
        <w:t> </w:t>
      </w:r>
      <w:r>
        <w:rPr>
          <w:i/>
          <w:sz w:val="20"/>
        </w:rPr>
        <w:t>Informasi</w:t>
      </w:r>
      <w:r>
        <w:rPr>
          <w:sz w:val="20"/>
        </w:rPr>
        <w:t>,</w:t>
      </w:r>
      <w:r>
        <w:rPr>
          <w:spacing w:val="-8"/>
          <w:sz w:val="20"/>
        </w:rPr>
        <w:t> </w:t>
      </w:r>
      <w:r>
        <w:rPr>
          <w:sz w:val="20"/>
        </w:rPr>
        <w:t>16.1</w:t>
      </w:r>
      <w:r>
        <w:rPr>
          <w:spacing w:val="-8"/>
          <w:sz w:val="20"/>
        </w:rPr>
        <w:t> </w:t>
      </w:r>
      <w:r>
        <w:rPr>
          <w:sz w:val="20"/>
        </w:rPr>
        <w:t>(2021),</w:t>
      </w:r>
      <w:r>
        <w:rPr>
          <w:spacing w:val="-8"/>
          <w:sz w:val="20"/>
        </w:rPr>
        <w:t> </w:t>
      </w:r>
      <w:r>
        <w:rPr>
          <w:sz w:val="20"/>
        </w:rPr>
        <w:t>40</w:t>
      </w:r>
      <w:r>
        <w:rPr>
          <w:spacing w:val="-8"/>
          <w:sz w:val="20"/>
        </w:rPr>
        <w:t> </w:t>
      </w:r>
      <w:r>
        <w:rPr>
          <w:sz w:val="20"/>
        </w:rPr>
        <w:t>&lt;https://doi.org/10.14421/fhrs.2021.161.40-</w:t>
      </w:r>
      <w:r>
        <w:rPr>
          <w:spacing w:val="-4"/>
          <w:sz w:val="20"/>
        </w:rPr>
        <w:t>59&gt;.</w:t>
      </w:r>
    </w:p>
    <w:p>
      <w:pPr>
        <w:spacing w:after="0"/>
        <w:jc w:val="left"/>
        <w:rPr>
          <w:sz w:val="20"/>
        </w:rPr>
        <w:sectPr>
          <w:pgSz w:w="11910" w:h="16840"/>
          <w:pgMar w:header="0" w:footer="1000" w:top="1360" w:bottom="1200" w:left="1417" w:right="1275"/>
        </w:sectPr>
      </w:pPr>
    </w:p>
    <w:p>
      <w:pPr>
        <w:pStyle w:val="Heading2"/>
        <w:spacing w:before="60"/>
        <w:ind w:left="0" w:right="139"/>
        <w:jc w:val="center"/>
      </w:pPr>
      <w:r>
        <w:rPr/>
        <w:t>Tabel</w:t>
      </w:r>
      <w:r>
        <w:rPr>
          <w:spacing w:val="-3"/>
        </w:rPr>
        <w:t> </w:t>
      </w:r>
      <w:r>
        <w:rPr/>
        <w:t>4.1</w:t>
      </w:r>
      <w:r>
        <w:rPr>
          <w:spacing w:val="-2"/>
        </w:rPr>
        <w:t> </w:t>
      </w:r>
      <w:r>
        <w:rPr/>
        <w:t>Hasil</w:t>
      </w:r>
      <w:r>
        <w:rPr>
          <w:spacing w:val="-1"/>
        </w:rPr>
        <w:t> </w:t>
      </w:r>
      <w:r>
        <w:rPr/>
        <w:t>Uji</w:t>
      </w:r>
      <w:r>
        <w:rPr>
          <w:spacing w:val="-2"/>
        </w:rPr>
        <w:t> </w:t>
      </w:r>
      <w:r>
        <w:rPr/>
        <w:t>Statistik</w:t>
      </w:r>
      <w:r>
        <w:rPr>
          <w:spacing w:val="-1"/>
        </w:rPr>
        <w:t> </w:t>
      </w:r>
      <w:r>
        <w:rPr>
          <w:spacing w:val="-2"/>
        </w:rPr>
        <w:t>Deskriptif</w:t>
      </w:r>
    </w:p>
    <w:p>
      <w:pPr>
        <w:pStyle w:val="BodyText"/>
        <w:spacing w:before="5"/>
        <w:rPr>
          <w:b/>
          <w:sz w:val="17"/>
        </w:rPr>
      </w:pPr>
    </w:p>
    <w:tbl>
      <w:tblPr>
        <w:tblW w:w="0" w:type="auto"/>
        <w:jc w:val="left"/>
        <w:tblInd w:w="1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1"/>
        <w:gridCol w:w="1313"/>
        <w:gridCol w:w="1313"/>
        <w:gridCol w:w="1313"/>
        <w:gridCol w:w="1314"/>
        <w:gridCol w:w="1313"/>
      </w:tblGrid>
      <w:tr>
        <w:trPr>
          <w:trHeight w:val="433" w:hRule="atLeast"/>
        </w:trPr>
        <w:tc>
          <w:tcPr>
            <w:tcW w:w="1491" w:type="dxa"/>
          </w:tcPr>
          <w:p>
            <w:pPr>
              <w:pStyle w:val="TableParagraph"/>
              <w:spacing w:line="240" w:lineRule="auto" w:before="0"/>
              <w:ind w:left="0"/>
              <w:rPr>
                <w:sz w:val="22"/>
              </w:rPr>
            </w:pPr>
          </w:p>
        </w:tc>
        <w:tc>
          <w:tcPr>
            <w:tcW w:w="1313" w:type="dxa"/>
          </w:tcPr>
          <w:p>
            <w:pPr>
              <w:pStyle w:val="TableParagraph"/>
              <w:spacing w:line="240" w:lineRule="auto" w:before="1"/>
              <w:ind w:left="67" w:right="59"/>
              <w:jc w:val="center"/>
              <w:rPr>
                <w:sz w:val="22"/>
              </w:rPr>
            </w:pPr>
            <w:r>
              <w:rPr>
                <w:spacing w:val="-10"/>
                <w:sz w:val="22"/>
              </w:rPr>
              <w:t>Y</w:t>
            </w:r>
          </w:p>
        </w:tc>
        <w:tc>
          <w:tcPr>
            <w:tcW w:w="1313" w:type="dxa"/>
          </w:tcPr>
          <w:p>
            <w:pPr>
              <w:pStyle w:val="TableParagraph"/>
              <w:spacing w:line="240" w:lineRule="auto" w:before="1"/>
              <w:ind w:left="67" w:right="62"/>
              <w:jc w:val="center"/>
              <w:rPr>
                <w:sz w:val="22"/>
              </w:rPr>
            </w:pPr>
            <w:r>
              <w:rPr>
                <w:spacing w:val="-5"/>
                <w:sz w:val="22"/>
              </w:rPr>
              <w:t>X1</w:t>
            </w:r>
          </w:p>
        </w:tc>
        <w:tc>
          <w:tcPr>
            <w:tcW w:w="1313" w:type="dxa"/>
          </w:tcPr>
          <w:p>
            <w:pPr>
              <w:pStyle w:val="TableParagraph"/>
              <w:spacing w:line="240" w:lineRule="auto" w:before="1"/>
              <w:ind w:left="67" w:right="61"/>
              <w:jc w:val="center"/>
              <w:rPr>
                <w:sz w:val="22"/>
              </w:rPr>
            </w:pPr>
            <w:r>
              <w:rPr>
                <w:spacing w:val="-5"/>
                <w:sz w:val="22"/>
              </w:rPr>
              <w:t>X2</w:t>
            </w:r>
          </w:p>
        </w:tc>
        <w:tc>
          <w:tcPr>
            <w:tcW w:w="1314" w:type="dxa"/>
          </w:tcPr>
          <w:p>
            <w:pPr>
              <w:pStyle w:val="TableParagraph"/>
              <w:spacing w:line="240" w:lineRule="auto" w:before="1"/>
              <w:ind w:left="65" w:right="61"/>
              <w:jc w:val="center"/>
              <w:rPr>
                <w:sz w:val="22"/>
              </w:rPr>
            </w:pPr>
            <w:r>
              <w:rPr>
                <w:spacing w:val="-5"/>
                <w:sz w:val="22"/>
              </w:rPr>
              <w:t>X3</w:t>
            </w:r>
          </w:p>
        </w:tc>
        <w:tc>
          <w:tcPr>
            <w:tcW w:w="1313" w:type="dxa"/>
          </w:tcPr>
          <w:p>
            <w:pPr>
              <w:pStyle w:val="TableParagraph"/>
              <w:spacing w:line="240" w:lineRule="auto" w:before="1"/>
              <w:ind w:left="67" w:right="63"/>
              <w:jc w:val="center"/>
              <w:rPr>
                <w:sz w:val="22"/>
              </w:rPr>
            </w:pPr>
            <w:r>
              <w:rPr>
                <w:spacing w:val="-5"/>
                <w:sz w:val="22"/>
              </w:rPr>
              <w:t>X4</w:t>
            </w:r>
          </w:p>
        </w:tc>
      </w:tr>
      <w:tr>
        <w:trPr>
          <w:trHeight w:val="431" w:hRule="atLeast"/>
        </w:trPr>
        <w:tc>
          <w:tcPr>
            <w:tcW w:w="1491" w:type="dxa"/>
          </w:tcPr>
          <w:p>
            <w:pPr>
              <w:pStyle w:val="TableParagraph"/>
              <w:spacing w:line="240" w:lineRule="auto" w:before="1"/>
              <w:ind w:left="69"/>
              <w:jc w:val="center"/>
              <w:rPr>
                <w:sz w:val="22"/>
              </w:rPr>
            </w:pPr>
            <w:r>
              <w:rPr>
                <w:spacing w:val="-4"/>
                <w:sz w:val="22"/>
              </w:rPr>
              <w:t>Mean</w:t>
            </w:r>
          </w:p>
        </w:tc>
        <w:tc>
          <w:tcPr>
            <w:tcW w:w="1313" w:type="dxa"/>
          </w:tcPr>
          <w:p>
            <w:pPr>
              <w:pStyle w:val="TableParagraph"/>
              <w:spacing w:line="240" w:lineRule="auto" w:before="1"/>
              <w:ind w:left="67"/>
              <w:jc w:val="center"/>
              <w:rPr>
                <w:sz w:val="22"/>
              </w:rPr>
            </w:pPr>
            <w:r>
              <w:rPr>
                <w:spacing w:val="-2"/>
                <w:sz w:val="22"/>
              </w:rPr>
              <w:t>192.8816</w:t>
            </w:r>
          </w:p>
        </w:tc>
        <w:tc>
          <w:tcPr>
            <w:tcW w:w="1313" w:type="dxa"/>
          </w:tcPr>
          <w:p>
            <w:pPr>
              <w:pStyle w:val="TableParagraph"/>
              <w:spacing w:line="240" w:lineRule="auto" w:before="1"/>
              <w:ind w:left="67" w:right="1"/>
              <w:jc w:val="center"/>
              <w:rPr>
                <w:sz w:val="22"/>
              </w:rPr>
            </w:pPr>
            <w:r>
              <w:rPr>
                <w:spacing w:val="-2"/>
                <w:sz w:val="22"/>
              </w:rPr>
              <w:t>112.1483</w:t>
            </w:r>
          </w:p>
        </w:tc>
        <w:tc>
          <w:tcPr>
            <w:tcW w:w="1313" w:type="dxa"/>
          </w:tcPr>
          <w:p>
            <w:pPr>
              <w:pStyle w:val="TableParagraph"/>
              <w:spacing w:line="240" w:lineRule="auto" w:before="1"/>
              <w:ind w:left="67"/>
              <w:jc w:val="center"/>
              <w:rPr>
                <w:sz w:val="22"/>
              </w:rPr>
            </w:pPr>
            <w:r>
              <w:rPr>
                <w:spacing w:val="-2"/>
                <w:sz w:val="22"/>
              </w:rPr>
              <w:t>14966.51</w:t>
            </w:r>
          </w:p>
        </w:tc>
        <w:tc>
          <w:tcPr>
            <w:tcW w:w="1314" w:type="dxa"/>
          </w:tcPr>
          <w:p>
            <w:pPr>
              <w:pStyle w:val="TableParagraph"/>
              <w:spacing w:line="240" w:lineRule="auto" w:before="1"/>
              <w:ind w:left="65"/>
              <w:jc w:val="center"/>
              <w:rPr>
                <w:sz w:val="22"/>
              </w:rPr>
            </w:pPr>
            <w:r>
              <w:rPr>
                <w:spacing w:val="-2"/>
                <w:sz w:val="22"/>
              </w:rPr>
              <w:t>2.758167</w:t>
            </w:r>
          </w:p>
        </w:tc>
        <w:tc>
          <w:tcPr>
            <w:tcW w:w="1313" w:type="dxa"/>
          </w:tcPr>
          <w:p>
            <w:pPr>
              <w:pStyle w:val="TableParagraph"/>
              <w:spacing w:line="240" w:lineRule="auto" w:before="1"/>
              <w:ind w:left="67" w:right="2"/>
              <w:jc w:val="center"/>
              <w:rPr>
                <w:sz w:val="22"/>
              </w:rPr>
            </w:pPr>
            <w:r>
              <w:rPr>
                <w:spacing w:val="-2"/>
                <w:sz w:val="22"/>
              </w:rPr>
              <w:t>147.2417</w:t>
            </w:r>
          </w:p>
        </w:tc>
      </w:tr>
      <w:tr>
        <w:trPr>
          <w:trHeight w:val="434" w:hRule="atLeast"/>
        </w:trPr>
        <w:tc>
          <w:tcPr>
            <w:tcW w:w="1491" w:type="dxa"/>
          </w:tcPr>
          <w:p>
            <w:pPr>
              <w:pStyle w:val="TableParagraph"/>
              <w:spacing w:line="240" w:lineRule="auto" w:before="3"/>
              <w:ind w:left="69" w:right="4"/>
              <w:jc w:val="center"/>
              <w:rPr>
                <w:sz w:val="22"/>
              </w:rPr>
            </w:pPr>
            <w:r>
              <w:rPr>
                <w:spacing w:val="-2"/>
                <w:sz w:val="22"/>
              </w:rPr>
              <w:t>Median</w:t>
            </w:r>
          </w:p>
        </w:tc>
        <w:tc>
          <w:tcPr>
            <w:tcW w:w="1313" w:type="dxa"/>
          </w:tcPr>
          <w:p>
            <w:pPr>
              <w:pStyle w:val="TableParagraph"/>
              <w:spacing w:line="240" w:lineRule="auto" w:before="3"/>
              <w:ind w:left="67"/>
              <w:jc w:val="center"/>
              <w:rPr>
                <w:sz w:val="22"/>
              </w:rPr>
            </w:pPr>
            <w:r>
              <w:rPr>
                <w:spacing w:val="-2"/>
                <w:sz w:val="22"/>
              </w:rPr>
              <w:t>202.2435</w:t>
            </w:r>
          </w:p>
        </w:tc>
        <w:tc>
          <w:tcPr>
            <w:tcW w:w="1313" w:type="dxa"/>
          </w:tcPr>
          <w:p>
            <w:pPr>
              <w:pStyle w:val="TableParagraph"/>
              <w:spacing w:line="240" w:lineRule="auto" w:before="3"/>
              <w:ind w:left="67" w:right="1"/>
              <w:jc w:val="center"/>
              <w:rPr>
                <w:sz w:val="22"/>
              </w:rPr>
            </w:pPr>
            <w:r>
              <w:rPr>
                <w:spacing w:val="-2"/>
                <w:sz w:val="22"/>
              </w:rPr>
              <w:t>120.1000</w:t>
            </w:r>
          </w:p>
        </w:tc>
        <w:tc>
          <w:tcPr>
            <w:tcW w:w="1313" w:type="dxa"/>
          </w:tcPr>
          <w:p>
            <w:pPr>
              <w:pStyle w:val="TableParagraph"/>
              <w:spacing w:line="240" w:lineRule="auto" w:before="3"/>
              <w:ind w:left="67"/>
              <w:jc w:val="center"/>
              <w:rPr>
                <w:sz w:val="22"/>
              </w:rPr>
            </w:pPr>
            <w:r>
              <w:rPr>
                <w:spacing w:val="-2"/>
                <w:sz w:val="22"/>
              </w:rPr>
              <w:t>14886.45</w:t>
            </w:r>
          </w:p>
        </w:tc>
        <w:tc>
          <w:tcPr>
            <w:tcW w:w="1314" w:type="dxa"/>
          </w:tcPr>
          <w:p>
            <w:pPr>
              <w:pStyle w:val="TableParagraph"/>
              <w:spacing w:line="240" w:lineRule="auto" w:before="3"/>
              <w:ind w:left="65"/>
              <w:jc w:val="center"/>
              <w:rPr>
                <w:sz w:val="22"/>
              </w:rPr>
            </w:pPr>
            <w:r>
              <w:rPr>
                <w:spacing w:val="-2"/>
                <w:sz w:val="22"/>
              </w:rPr>
              <w:t>2.535000</w:t>
            </w:r>
          </w:p>
        </w:tc>
        <w:tc>
          <w:tcPr>
            <w:tcW w:w="1313" w:type="dxa"/>
          </w:tcPr>
          <w:p>
            <w:pPr>
              <w:pStyle w:val="TableParagraph"/>
              <w:spacing w:line="240" w:lineRule="auto" w:before="3"/>
              <w:ind w:left="67" w:right="2"/>
              <w:jc w:val="center"/>
              <w:rPr>
                <w:sz w:val="22"/>
              </w:rPr>
            </w:pPr>
            <w:r>
              <w:rPr>
                <w:spacing w:val="-2"/>
                <w:sz w:val="22"/>
              </w:rPr>
              <w:t>149.2350</w:t>
            </w:r>
          </w:p>
        </w:tc>
      </w:tr>
      <w:tr>
        <w:trPr>
          <w:trHeight w:val="433" w:hRule="atLeast"/>
        </w:trPr>
        <w:tc>
          <w:tcPr>
            <w:tcW w:w="1491" w:type="dxa"/>
          </w:tcPr>
          <w:p>
            <w:pPr>
              <w:pStyle w:val="TableParagraph"/>
              <w:spacing w:line="240" w:lineRule="auto" w:before="1"/>
              <w:ind w:left="69" w:right="4"/>
              <w:jc w:val="center"/>
              <w:rPr>
                <w:sz w:val="22"/>
              </w:rPr>
            </w:pPr>
            <w:r>
              <w:rPr>
                <w:spacing w:val="-2"/>
                <w:sz w:val="22"/>
              </w:rPr>
              <w:t>Maximum</w:t>
            </w:r>
          </w:p>
        </w:tc>
        <w:tc>
          <w:tcPr>
            <w:tcW w:w="1313" w:type="dxa"/>
          </w:tcPr>
          <w:p>
            <w:pPr>
              <w:pStyle w:val="TableParagraph"/>
              <w:spacing w:line="240" w:lineRule="auto" w:before="1"/>
              <w:ind w:left="67"/>
              <w:jc w:val="center"/>
              <w:rPr>
                <w:sz w:val="22"/>
              </w:rPr>
            </w:pPr>
            <w:r>
              <w:rPr>
                <w:spacing w:val="-2"/>
                <w:sz w:val="22"/>
              </w:rPr>
              <w:t>230.7930</w:t>
            </w:r>
          </w:p>
        </w:tc>
        <w:tc>
          <w:tcPr>
            <w:tcW w:w="1313" w:type="dxa"/>
          </w:tcPr>
          <w:p>
            <w:pPr>
              <w:pStyle w:val="TableParagraph"/>
              <w:spacing w:line="240" w:lineRule="auto" w:before="1"/>
              <w:ind w:left="67" w:right="1"/>
              <w:jc w:val="center"/>
              <w:rPr>
                <w:sz w:val="22"/>
              </w:rPr>
            </w:pPr>
            <w:r>
              <w:rPr>
                <w:spacing w:val="-2"/>
                <w:sz w:val="22"/>
              </w:rPr>
              <w:t>128.9000</w:t>
            </w:r>
          </w:p>
        </w:tc>
        <w:tc>
          <w:tcPr>
            <w:tcW w:w="1313" w:type="dxa"/>
          </w:tcPr>
          <w:p>
            <w:pPr>
              <w:pStyle w:val="TableParagraph"/>
              <w:spacing w:line="240" w:lineRule="auto" w:before="1"/>
              <w:ind w:left="67"/>
              <w:jc w:val="center"/>
              <w:rPr>
                <w:sz w:val="22"/>
              </w:rPr>
            </w:pPr>
            <w:r>
              <w:rPr>
                <w:spacing w:val="-2"/>
                <w:sz w:val="22"/>
              </w:rPr>
              <w:t>16329.39</w:t>
            </w:r>
          </w:p>
        </w:tc>
        <w:tc>
          <w:tcPr>
            <w:tcW w:w="1314" w:type="dxa"/>
          </w:tcPr>
          <w:p>
            <w:pPr>
              <w:pStyle w:val="TableParagraph"/>
              <w:spacing w:line="240" w:lineRule="auto" w:before="1"/>
              <w:ind w:left="65"/>
              <w:jc w:val="center"/>
              <w:rPr>
                <w:sz w:val="22"/>
              </w:rPr>
            </w:pPr>
            <w:r>
              <w:rPr>
                <w:spacing w:val="-2"/>
                <w:sz w:val="22"/>
              </w:rPr>
              <w:t>5.950000</w:t>
            </w:r>
          </w:p>
        </w:tc>
        <w:tc>
          <w:tcPr>
            <w:tcW w:w="1313" w:type="dxa"/>
          </w:tcPr>
          <w:p>
            <w:pPr>
              <w:pStyle w:val="TableParagraph"/>
              <w:spacing w:line="240" w:lineRule="auto" w:before="1"/>
              <w:ind w:left="67" w:right="2"/>
              <w:jc w:val="center"/>
              <w:rPr>
                <w:sz w:val="22"/>
              </w:rPr>
            </w:pPr>
            <w:r>
              <w:rPr>
                <w:spacing w:val="-2"/>
                <w:sz w:val="22"/>
              </w:rPr>
              <w:t>167.9500</w:t>
            </w:r>
          </w:p>
        </w:tc>
      </w:tr>
      <w:tr>
        <w:trPr>
          <w:trHeight w:val="431" w:hRule="atLeast"/>
        </w:trPr>
        <w:tc>
          <w:tcPr>
            <w:tcW w:w="1491" w:type="dxa"/>
          </w:tcPr>
          <w:p>
            <w:pPr>
              <w:pStyle w:val="TableParagraph"/>
              <w:spacing w:line="240" w:lineRule="auto" w:before="1"/>
              <w:ind w:left="69" w:right="2"/>
              <w:jc w:val="center"/>
              <w:rPr>
                <w:sz w:val="22"/>
              </w:rPr>
            </w:pPr>
            <w:r>
              <w:rPr>
                <w:spacing w:val="-2"/>
                <w:sz w:val="22"/>
              </w:rPr>
              <w:t>Minimum</w:t>
            </w:r>
          </w:p>
        </w:tc>
        <w:tc>
          <w:tcPr>
            <w:tcW w:w="1313" w:type="dxa"/>
          </w:tcPr>
          <w:p>
            <w:pPr>
              <w:pStyle w:val="TableParagraph"/>
              <w:spacing w:line="240" w:lineRule="auto" w:before="1"/>
              <w:ind w:left="67"/>
              <w:jc w:val="center"/>
              <w:rPr>
                <w:sz w:val="22"/>
              </w:rPr>
            </w:pPr>
            <w:r>
              <w:rPr>
                <w:spacing w:val="-2"/>
                <w:sz w:val="22"/>
              </w:rPr>
              <w:t>132.2900</w:t>
            </w:r>
          </w:p>
        </w:tc>
        <w:tc>
          <w:tcPr>
            <w:tcW w:w="1313" w:type="dxa"/>
          </w:tcPr>
          <w:p>
            <w:pPr>
              <w:pStyle w:val="TableParagraph"/>
              <w:spacing w:line="240" w:lineRule="auto" w:before="1"/>
              <w:ind w:left="67" w:right="1"/>
              <w:jc w:val="center"/>
              <w:rPr>
                <w:sz w:val="22"/>
              </w:rPr>
            </w:pPr>
            <w:r>
              <w:rPr>
                <w:spacing w:val="-2"/>
                <w:sz w:val="22"/>
              </w:rPr>
              <w:t>77.30000</w:t>
            </w:r>
          </w:p>
        </w:tc>
        <w:tc>
          <w:tcPr>
            <w:tcW w:w="1313" w:type="dxa"/>
          </w:tcPr>
          <w:p>
            <w:pPr>
              <w:pStyle w:val="TableParagraph"/>
              <w:spacing w:line="240" w:lineRule="auto" w:before="1"/>
              <w:ind w:left="67"/>
              <w:jc w:val="center"/>
              <w:rPr>
                <w:sz w:val="22"/>
              </w:rPr>
            </w:pPr>
            <w:r>
              <w:rPr>
                <w:spacing w:val="-2"/>
                <w:sz w:val="22"/>
              </w:rPr>
              <w:t>13732.23</w:t>
            </w:r>
          </w:p>
        </w:tc>
        <w:tc>
          <w:tcPr>
            <w:tcW w:w="1314" w:type="dxa"/>
          </w:tcPr>
          <w:p>
            <w:pPr>
              <w:pStyle w:val="TableParagraph"/>
              <w:spacing w:line="240" w:lineRule="auto" w:before="1"/>
              <w:ind w:left="65"/>
              <w:jc w:val="center"/>
              <w:rPr>
                <w:sz w:val="22"/>
              </w:rPr>
            </w:pPr>
            <w:r>
              <w:rPr>
                <w:spacing w:val="-2"/>
                <w:sz w:val="22"/>
              </w:rPr>
              <w:t>1.320000</w:t>
            </w:r>
          </w:p>
        </w:tc>
        <w:tc>
          <w:tcPr>
            <w:tcW w:w="1313" w:type="dxa"/>
          </w:tcPr>
          <w:p>
            <w:pPr>
              <w:pStyle w:val="TableParagraph"/>
              <w:spacing w:line="240" w:lineRule="auto" w:before="1"/>
              <w:ind w:left="67" w:right="2"/>
              <w:jc w:val="center"/>
              <w:rPr>
                <w:sz w:val="22"/>
              </w:rPr>
            </w:pPr>
            <w:r>
              <w:rPr>
                <w:spacing w:val="-2"/>
                <w:sz w:val="22"/>
              </w:rPr>
              <w:t>104.0200</w:t>
            </w:r>
          </w:p>
        </w:tc>
      </w:tr>
      <w:tr>
        <w:trPr>
          <w:trHeight w:val="433" w:hRule="atLeast"/>
        </w:trPr>
        <w:tc>
          <w:tcPr>
            <w:tcW w:w="1491" w:type="dxa"/>
          </w:tcPr>
          <w:p>
            <w:pPr>
              <w:pStyle w:val="TableParagraph"/>
              <w:spacing w:line="240" w:lineRule="auto" w:before="1"/>
              <w:ind w:left="69" w:right="3"/>
              <w:jc w:val="center"/>
              <w:rPr>
                <w:sz w:val="22"/>
              </w:rPr>
            </w:pPr>
            <w:r>
              <w:rPr>
                <w:sz w:val="22"/>
              </w:rPr>
              <w:t>Std. </w:t>
            </w:r>
            <w:r>
              <w:rPr>
                <w:spacing w:val="-4"/>
                <w:sz w:val="22"/>
              </w:rPr>
              <w:t>Dev.</w:t>
            </w:r>
          </w:p>
        </w:tc>
        <w:tc>
          <w:tcPr>
            <w:tcW w:w="1313" w:type="dxa"/>
          </w:tcPr>
          <w:p>
            <w:pPr>
              <w:pStyle w:val="TableParagraph"/>
              <w:spacing w:line="240" w:lineRule="auto" w:before="1"/>
              <w:ind w:left="67"/>
              <w:jc w:val="center"/>
              <w:rPr>
                <w:sz w:val="22"/>
              </w:rPr>
            </w:pPr>
            <w:r>
              <w:rPr>
                <w:spacing w:val="-2"/>
                <w:sz w:val="22"/>
              </w:rPr>
              <w:t>24.76330</w:t>
            </w:r>
          </w:p>
        </w:tc>
        <w:tc>
          <w:tcPr>
            <w:tcW w:w="1313" w:type="dxa"/>
          </w:tcPr>
          <w:p>
            <w:pPr>
              <w:pStyle w:val="TableParagraph"/>
              <w:spacing w:line="240" w:lineRule="auto" w:before="1"/>
              <w:ind w:left="67" w:right="1"/>
              <w:jc w:val="center"/>
              <w:rPr>
                <w:sz w:val="22"/>
              </w:rPr>
            </w:pPr>
            <w:r>
              <w:rPr>
                <w:spacing w:val="-2"/>
                <w:sz w:val="22"/>
              </w:rPr>
              <w:t>16.51996</w:t>
            </w:r>
          </w:p>
        </w:tc>
        <w:tc>
          <w:tcPr>
            <w:tcW w:w="1313" w:type="dxa"/>
          </w:tcPr>
          <w:p>
            <w:pPr>
              <w:pStyle w:val="TableParagraph"/>
              <w:spacing w:line="240" w:lineRule="auto" w:before="1"/>
              <w:ind w:left="67"/>
              <w:jc w:val="center"/>
              <w:rPr>
                <w:sz w:val="22"/>
              </w:rPr>
            </w:pPr>
            <w:r>
              <w:rPr>
                <w:spacing w:val="-2"/>
                <w:sz w:val="22"/>
              </w:rPr>
              <w:t>669.9591</w:t>
            </w:r>
          </w:p>
        </w:tc>
        <w:tc>
          <w:tcPr>
            <w:tcW w:w="1314" w:type="dxa"/>
          </w:tcPr>
          <w:p>
            <w:pPr>
              <w:pStyle w:val="TableParagraph"/>
              <w:spacing w:line="240" w:lineRule="auto" w:before="1"/>
              <w:ind w:left="65"/>
              <w:jc w:val="center"/>
              <w:rPr>
                <w:sz w:val="22"/>
              </w:rPr>
            </w:pPr>
            <w:r>
              <w:rPr>
                <w:spacing w:val="-2"/>
                <w:sz w:val="22"/>
              </w:rPr>
              <w:t>1.330747</w:t>
            </w:r>
          </w:p>
        </w:tc>
        <w:tc>
          <w:tcPr>
            <w:tcW w:w="1313" w:type="dxa"/>
          </w:tcPr>
          <w:p>
            <w:pPr>
              <w:pStyle w:val="TableParagraph"/>
              <w:spacing w:line="240" w:lineRule="auto" w:before="1"/>
              <w:ind w:left="67" w:right="2"/>
              <w:jc w:val="center"/>
              <w:rPr>
                <w:sz w:val="22"/>
              </w:rPr>
            </w:pPr>
            <w:r>
              <w:rPr>
                <w:spacing w:val="-2"/>
                <w:sz w:val="22"/>
              </w:rPr>
              <w:t>12.09113</w:t>
            </w:r>
          </w:p>
        </w:tc>
      </w:tr>
      <w:tr>
        <w:trPr>
          <w:trHeight w:val="434" w:hRule="atLeast"/>
        </w:trPr>
        <w:tc>
          <w:tcPr>
            <w:tcW w:w="1491" w:type="dxa"/>
          </w:tcPr>
          <w:p>
            <w:pPr>
              <w:pStyle w:val="TableParagraph"/>
              <w:spacing w:line="240" w:lineRule="auto" w:before="1"/>
              <w:ind w:left="69" w:right="4"/>
              <w:jc w:val="center"/>
              <w:rPr>
                <w:sz w:val="22"/>
              </w:rPr>
            </w:pPr>
            <w:r>
              <w:rPr>
                <w:spacing w:val="-2"/>
                <w:sz w:val="22"/>
              </w:rPr>
              <w:t>Observations</w:t>
            </w:r>
          </w:p>
        </w:tc>
        <w:tc>
          <w:tcPr>
            <w:tcW w:w="1313" w:type="dxa"/>
          </w:tcPr>
          <w:p>
            <w:pPr>
              <w:pStyle w:val="TableParagraph"/>
              <w:spacing w:line="240" w:lineRule="auto" w:before="1"/>
              <w:ind w:left="67" w:right="3"/>
              <w:jc w:val="center"/>
              <w:rPr>
                <w:sz w:val="22"/>
              </w:rPr>
            </w:pPr>
            <w:r>
              <w:rPr>
                <w:spacing w:val="-5"/>
                <w:sz w:val="22"/>
              </w:rPr>
              <w:t>60</w:t>
            </w:r>
          </w:p>
        </w:tc>
        <w:tc>
          <w:tcPr>
            <w:tcW w:w="1313" w:type="dxa"/>
          </w:tcPr>
          <w:p>
            <w:pPr>
              <w:pStyle w:val="TableParagraph"/>
              <w:spacing w:line="240" w:lineRule="auto" w:before="1"/>
              <w:ind w:left="67" w:right="3"/>
              <w:jc w:val="center"/>
              <w:rPr>
                <w:sz w:val="22"/>
              </w:rPr>
            </w:pPr>
            <w:r>
              <w:rPr>
                <w:spacing w:val="-5"/>
                <w:sz w:val="22"/>
              </w:rPr>
              <w:t>60</w:t>
            </w:r>
          </w:p>
        </w:tc>
        <w:tc>
          <w:tcPr>
            <w:tcW w:w="1313" w:type="dxa"/>
          </w:tcPr>
          <w:p>
            <w:pPr>
              <w:pStyle w:val="TableParagraph"/>
              <w:spacing w:line="240" w:lineRule="auto" w:before="1"/>
              <w:ind w:left="67" w:right="3"/>
              <w:jc w:val="center"/>
              <w:rPr>
                <w:sz w:val="22"/>
              </w:rPr>
            </w:pPr>
            <w:r>
              <w:rPr>
                <w:spacing w:val="-5"/>
                <w:sz w:val="22"/>
              </w:rPr>
              <w:t>60</w:t>
            </w:r>
          </w:p>
        </w:tc>
        <w:tc>
          <w:tcPr>
            <w:tcW w:w="1314" w:type="dxa"/>
          </w:tcPr>
          <w:p>
            <w:pPr>
              <w:pStyle w:val="TableParagraph"/>
              <w:spacing w:line="240" w:lineRule="auto" w:before="1"/>
              <w:ind w:left="65" w:right="2"/>
              <w:jc w:val="center"/>
              <w:rPr>
                <w:sz w:val="22"/>
              </w:rPr>
            </w:pPr>
            <w:r>
              <w:rPr>
                <w:spacing w:val="-5"/>
                <w:sz w:val="22"/>
              </w:rPr>
              <w:t>60</w:t>
            </w:r>
          </w:p>
        </w:tc>
        <w:tc>
          <w:tcPr>
            <w:tcW w:w="1313" w:type="dxa"/>
          </w:tcPr>
          <w:p>
            <w:pPr>
              <w:pStyle w:val="TableParagraph"/>
              <w:spacing w:line="240" w:lineRule="auto" w:before="1"/>
              <w:ind w:left="67" w:right="4"/>
              <w:jc w:val="center"/>
              <w:rPr>
                <w:sz w:val="22"/>
              </w:rPr>
            </w:pPr>
            <w:r>
              <w:rPr>
                <w:spacing w:val="-5"/>
                <w:sz w:val="22"/>
              </w:rPr>
              <w:t>60</w:t>
            </w:r>
          </w:p>
        </w:tc>
      </w:tr>
    </w:tbl>
    <w:p>
      <w:pPr>
        <w:pStyle w:val="BodyText"/>
        <w:spacing w:before="3"/>
        <w:ind w:left="1463"/>
        <w:jc w:val="both"/>
      </w:pPr>
      <w:r>
        <w:rPr/>
        <w:t>Sumber:</w:t>
      </w:r>
      <w:r>
        <w:rPr>
          <w:spacing w:val="-1"/>
        </w:rPr>
        <w:t> </w:t>
      </w:r>
      <w:r>
        <w:rPr/>
        <w:t>Data</w:t>
      </w:r>
      <w:r>
        <w:rPr>
          <w:spacing w:val="-1"/>
        </w:rPr>
        <w:t> </w:t>
      </w:r>
      <w:r>
        <w:rPr/>
        <w:t>diolah</w:t>
      </w:r>
      <w:r>
        <w:rPr>
          <w:spacing w:val="-1"/>
        </w:rPr>
        <w:t> </w:t>
      </w:r>
      <w:r>
        <w:rPr/>
        <w:t>peneliti</w:t>
      </w:r>
      <w:r>
        <w:rPr>
          <w:spacing w:val="-1"/>
        </w:rPr>
        <w:t> </w:t>
      </w:r>
      <w:r>
        <w:rPr>
          <w:spacing w:val="-2"/>
        </w:rPr>
        <w:t>(2025)</w:t>
      </w:r>
    </w:p>
    <w:p>
      <w:pPr>
        <w:pStyle w:val="BodyText"/>
        <w:spacing w:line="360" w:lineRule="auto" w:before="137"/>
        <w:ind w:left="1463" w:right="159" w:firstLine="720"/>
        <w:jc w:val="both"/>
      </w:pPr>
      <w:r>
        <w:rPr/>
        <w:t>Dapat</w:t>
      </w:r>
      <w:r>
        <w:rPr>
          <w:spacing w:val="-2"/>
        </w:rPr>
        <w:t> </w:t>
      </w:r>
      <w:r>
        <w:rPr/>
        <w:t>dilihat</w:t>
      </w:r>
      <w:r>
        <w:rPr>
          <w:spacing w:val="-2"/>
        </w:rPr>
        <w:t> </w:t>
      </w:r>
      <w:r>
        <w:rPr/>
        <w:t>pada</w:t>
      </w:r>
      <w:r>
        <w:rPr>
          <w:spacing w:val="-1"/>
        </w:rPr>
        <w:t> </w:t>
      </w:r>
      <w:r>
        <w:rPr/>
        <w:t>tabel 4.1,</w:t>
      </w:r>
      <w:r>
        <w:rPr>
          <w:spacing w:val="-2"/>
        </w:rPr>
        <w:t> </w:t>
      </w:r>
      <w:r>
        <w:rPr/>
        <w:t>variabel Y</w:t>
      </w:r>
      <w:r>
        <w:rPr>
          <w:spacing w:val="-3"/>
        </w:rPr>
        <w:t> </w:t>
      </w:r>
      <w:r>
        <w:rPr/>
        <w:t>yang</w:t>
      </w:r>
      <w:r>
        <w:rPr>
          <w:spacing w:val="-2"/>
        </w:rPr>
        <w:t> </w:t>
      </w:r>
      <w:r>
        <w:rPr/>
        <w:t>merupakan Indeks</w:t>
      </w:r>
      <w:r>
        <w:rPr>
          <w:spacing w:val="-2"/>
        </w:rPr>
        <w:t> </w:t>
      </w:r>
      <w:r>
        <w:rPr/>
        <w:t>Saham Syariah Indonesia menggambarkan rata-rata sebesar 192,8816, nilai maksimalnya di angka 230,7930 yang jatuh pada Oktober 2024, nilai minimalnya</w:t>
      </w:r>
      <w:r>
        <w:rPr>
          <w:spacing w:val="-15"/>
        </w:rPr>
        <w:t> </w:t>
      </w:r>
      <w:r>
        <w:rPr/>
        <w:t>berada</w:t>
      </w:r>
      <w:r>
        <w:rPr>
          <w:spacing w:val="-15"/>
        </w:rPr>
        <w:t> </w:t>
      </w:r>
      <w:r>
        <w:rPr/>
        <w:t>pada</w:t>
      </w:r>
      <w:r>
        <w:rPr>
          <w:spacing w:val="-15"/>
        </w:rPr>
        <w:t> </w:t>
      </w:r>
      <w:r>
        <w:rPr/>
        <w:t>bulan</w:t>
      </w:r>
      <w:r>
        <w:rPr>
          <w:spacing w:val="-15"/>
        </w:rPr>
        <w:t> </w:t>
      </w:r>
      <w:r>
        <w:rPr/>
        <w:t>Maret</w:t>
      </w:r>
      <w:r>
        <w:rPr>
          <w:spacing w:val="-15"/>
        </w:rPr>
        <w:t> </w:t>
      </w:r>
      <w:r>
        <w:rPr/>
        <w:t>2020</w:t>
      </w:r>
      <w:r>
        <w:rPr>
          <w:spacing w:val="-15"/>
        </w:rPr>
        <w:t> </w:t>
      </w:r>
      <w:r>
        <w:rPr/>
        <w:t>yaitu</w:t>
      </w:r>
      <w:r>
        <w:rPr>
          <w:spacing w:val="-15"/>
        </w:rPr>
        <w:t> </w:t>
      </w:r>
      <w:r>
        <w:rPr/>
        <w:t>sejumlah</w:t>
      </w:r>
      <w:r>
        <w:rPr>
          <w:spacing w:val="-15"/>
        </w:rPr>
        <w:t> </w:t>
      </w:r>
      <w:r>
        <w:rPr/>
        <w:t>132,2900</w:t>
      </w:r>
      <w:r>
        <w:rPr>
          <w:spacing w:val="-15"/>
        </w:rPr>
        <w:t> </w:t>
      </w:r>
      <w:r>
        <w:rPr/>
        <w:t>dan</w:t>
      </w:r>
      <w:r>
        <w:rPr>
          <w:spacing w:val="-15"/>
        </w:rPr>
        <w:t> </w:t>
      </w:r>
      <w:r>
        <w:rPr/>
        <w:t>standar deviasi berjumlah 24,76330 yang menunjukkan penyimpangan baku dari variabel Indeks Saham Syariah Indonesia.</w:t>
      </w:r>
    </w:p>
    <w:p>
      <w:pPr>
        <w:pStyle w:val="BodyText"/>
        <w:spacing w:line="360" w:lineRule="auto" w:before="1"/>
        <w:ind w:left="1463" w:right="162" w:firstLine="720"/>
        <w:jc w:val="right"/>
      </w:pPr>
      <w:r>
        <w:rPr/>
        <w:t>Pada variabel </w:t>
      </w:r>
      <w:r>
        <w:rPr>
          <w:rFonts w:ascii="Cambria Math" w:eastAsia="Cambria Math"/>
        </w:rPr>
        <w:t>𝑋</w:t>
      </w:r>
      <w:r>
        <w:rPr>
          <w:rFonts w:ascii="Cambria Math" w:eastAsia="Cambria Math"/>
          <w:vertAlign w:val="subscript"/>
        </w:rPr>
        <w:t>1</w:t>
      </w:r>
      <w:r>
        <w:rPr>
          <w:rFonts w:ascii="Cambria Math" w:eastAsia="Cambria Math"/>
          <w:spacing w:val="34"/>
          <w:vertAlign w:val="baseline"/>
        </w:rPr>
        <w:t> </w:t>
      </w:r>
      <w:r>
        <w:rPr>
          <w:vertAlign w:val="baseline"/>
        </w:rPr>
        <w:t>(Indeks Keyakinan Konsumen) dalam tabel statistik deskriptif</w:t>
      </w:r>
      <w:r>
        <w:rPr>
          <w:spacing w:val="40"/>
          <w:vertAlign w:val="baseline"/>
        </w:rPr>
        <w:t> </w:t>
      </w:r>
      <w:r>
        <w:rPr>
          <w:vertAlign w:val="baseline"/>
        </w:rPr>
        <w:t>menunjukkan</w:t>
      </w:r>
      <w:r>
        <w:rPr>
          <w:spacing w:val="40"/>
          <w:vertAlign w:val="baseline"/>
        </w:rPr>
        <w:t> </w:t>
      </w:r>
      <w:r>
        <w:rPr>
          <w:vertAlign w:val="baseline"/>
        </w:rPr>
        <w:t>nilai</w:t>
      </w:r>
      <w:r>
        <w:rPr>
          <w:spacing w:val="40"/>
          <w:vertAlign w:val="baseline"/>
        </w:rPr>
        <w:t> </w:t>
      </w:r>
      <w:r>
        <w:rPr>
          <w:vertAlign w:val="baseline"/>
        </w:rPr>
        <w:t>rata-rata</w:t>
      </w:r>
      <w:r>
        <w:rPr>
          <w:spacing w:val="40"/>
          <w:vertAlign w:val="baseline"/>
        </w:rPr>
        <w:t> </w:t>
      </w:r>
      <w:r>
        <w:rPr>
          <w:vertAlign w:val="baseline"/>
        </w:rPr>
        <w:t>sebesar</w:t>
      </w:r>
      <w:r>
        <w:rPr>
          <w:spacing w:val="40"/>
          <w:vertAlign w:val="baseline"/>
        </w:rPr>
        <w:t> </w:t>
      </w:r>
      <w:r>
        <w:rPr>
          <w:vertAlign w:val="baseline"/>
        </w:rPr>
        <w:t>112,1483,</w:t>
      </w:r>
      <w:r>
        <w:rPr>
          <w:spacing w:val="40"/>
          <w:vertAlign w:val="baseline"/>
        </w:rPr>
        <w:t> </w:t>
      </w:r>
      <w:r>
        <w:rPr>
          <w:vertAlign w:val="baseline"/>
        </w:rPr>
        <w:t>optimisme</w:t>
      </w:r>
      <w:r>
        <w:rPr>
          <w:spacing w:val="40"/>
          <w:vertAlign w:val="baseline"/>
        </w:rPr>
        <w:t> </w:t>
      </w:r>
      <w:r>
        <w:rPr>
          <w:vertAlign w:val="baseline"/>
        </w:rPr>
        <w:t>Indeks Keyakinan Konsumen tertingginya sejumlah 128,9000 yaitu pada bulan Mei</w:t>
      </w:r>
      <w:r>
        <w:rPr>
          <w:spacing w:val="40"/>
          <w:vertAlign w:val="baseline"/>
        </w:rPr>
        <w:t> </w:t>
      </w:r>
      <w:r>
        <w:rPr>
          <w:vertAlign w:val="baseline"/>
        </w:rPr>
        <w:t>2020,</w:t>
      </w:r>
      <w:r>
        <w:rPr>
          <w:spacing w:val="80"/>
          <w:vertAlign w:val="baseline"/>
        </w:rPr>
        <w:t> </w:t>
      </w:r>
      <w:r>
        <w:rPr>
          <w:vertAlign w:val="baseline"/>
        </w:rPr>
        <w:t>level</w:t>
      </w:r>
      <w:r>
        <w:rPr>
          <w:spacing w:val="80"/>
          <w:vertAlign w:val="baseline"/>
        </w:rPr>
        <w:t> </w:t>
      </w:r>
      <w:r>
        <w:rPr>
          <w:vertAlign w:val="baseline"/>
        </w:rPr>
        <w:t>pesimis</w:t>
      </w:r>
      <w:r>
        <w:rPr>
          <w:spacing w:val="80"/>
          <w:vertAlign w:val="baseline"/>
        </w:rPr>
        <w:t> </w:t>
      </w:r>
      <w:r>
        <w:rPr>
          <w:vertAlign w:val="baseline"/>
        </w:rPr>
        <w:t>Indeks</w:t>
      </w:r>
      <w:r>
        <w:rPr>
          <w:spacing w:val="80"/>
          <w:vertAlign w:val="baseline"/>
        </w:rPr>
        <w:t> </w:t>
      </w:r>
      <w:r>
        <w:rPr>
          <w:vertAlign w:val="baseline"/>
        </w:rPr>
        <w:t>Keyakinan</w:t>
      </w:r>
      <w:r>
        <w:rPr>
          <w:spacing w:val="80"/>
          <w:vertAlign w:val="baseline"/>
        </w:rPr>
        <w:t> </w:t>
      </w:r>
      <w:r>
        <w:rPr>
          <w:vertAlign w:val="baseline"/>
        </w:rPr>
        <w:t>Konsumen</w:t>
      </w:r>
      <w:r>
        <w:rPr>
          <w:spacing w:val="80"/>
          <w:vertAlign w:val="baseline"/>
        </w:rPr>
        <w:t> </w:t>
      </w:r>
      <w:r>
        <w:rPr>
          <w:vertAlign w:val="baseline"/>
        </w:rPr>
        <w:t>terendahnya</w:t>
      </w:r>
      <w:r>
        <w:rPr>
          <w:spacing w:val="80"/>
          <w:vertAlign w:val="baseline"/>
        </w:rPr>
        <w:t> </w:t>
      </w:r>
      <w:r>
        <w:rPr>
          <w:vertAlign w:val="baseline"/>
        </w:rPr>
        <w:t>di</w:t>
      </w:r>
      <w:r>
        <w:rPr>
          <w:spacing w:val="80"/>
          <w:vertAlign w:val="baseline"/>
        </w:rPr>
        <w:t> </w:t>
      </w:r>
      <w:r>
        <w:rPr>
          <w:vertAlign w:val="baseline"/>
        </w:rPr>
        <w:t>level 77,30000</w:t>
      </w:r>
      <w:r>
        <w:rPr>
          <w:spacing w:val="-8"/>
          <w:vertAlign w:val="baseline"/>
        </w:rPr>
        <w:t> </w:t>
      </w:r>
      <w:r>
        <w:rPr>
          <w:vertAlign w:val="baseline"/>
        </w:rPr>
        <w:t>pada</w:t>
      </w:r>
      <w:r>
        <w:rPr>
          <w:spacing w:val="-7"/>
          <w:vertAlign w:val="baseline"/>
        </w:rPr>
        <w:t> </w:t>
      </w:r>
      <w:r>
        <w:rPr>
          <w:vertAlign w:val="baseline"/>
        </w:rPr>
        <w:t>bulan</w:t>
      </w:r>
      <w:r>
        <w:rPr>
          <w:spacing w:val="-9"/>
          <w:vertAlign w:val="baseline"/>
        </w:rPr>
        <w:t> </w:t>
      </w:r>
      <w:r>
        <w:rPr>
          <w:vertAlign w:val="baseline"/>
        </w:rPr>
        <w:t>Agustus</w:t>
      </w:r>
      <w:r>
        <w:rPr>
          <w:spacing w:val="-8"/>
          <w:vertAlign w:val="baseline"/>
        </w:rPr>
        <w:t> </w:t>
      </w:r>
      <w:r>
        <w:rPr>
          <w:vertAlign w:val="baseline"/>
        </w:rPr>
        <w:t>2021,</w:t>
      </w:r>
      <w:r>
        <w:rPr>
          <w:spacing w:val="-8"/>
          <w:vertAlign w:val="baseline"/>
        </w:rPr>
        <w:t> </w:t>
      </w:r>
      <w:r>
        <w:rPr>
          <w:vertAlign w:val="baseline"/>
        </w:rPr>
        <w:t>dan</w:t>
      </w:r>
      <w:r>
        <w:rPr>
          <w:spacing w:val="-8"/>
          <w:vertAlign w:val="baseline"/>
        </w:rPr>
        <w:t> </w:t>
      </w:r>
      <w:r>
        <w:rPr>
          <w:vertAlign w:val="baseline"/>
        </w:rPr>
        <w:t>nilai</w:t>
      </w:r>
      <w:r>
        <w:rPr>
          <w:spacing w:val="-8"/>
          <w:vertAlign w:val="baseline"/>
        </w:rPr>
        <w:t> </w:t>
      </w:r>
      <w:r>
        <w:rPr>
          <w:vertAlign w:val="baseline"/>
        </w:rPr>
        <w:t>standar</w:t>
      </w:r>
      <w:r>
        <w:rPr>
          <w:spacing w:val="-9"/>
          <w:vertAlign w:val="baseline"/>
        </w:rPr>
        <w:t> </w:t>
      </w:r>
      <w:r>
        <w:rPr>
          <w:vertAlign w:val="baseline"/>
        </w:rPr>
        <w:t>deviasi</w:t>
      </w:r>
      <w:r>
        <w:rPr>
          <w:spacing w:val="-8"/>
          <w:vertAlign w:val="baseline"/>
        </w:rPr>
        <w:t> </w:t>
      </w:r>
      <w:r>
        <w:rPr>
          <w:vertAlign w:val="baseline"/>
        </w:rPr>
        <w:t>sebesar</w:t>
      </w:r>
      <w:r>
        <w:rPr>
          <w:spacing w:val="-9"/>
          <w:vertAlign w:val="baseline"/>
        </w:rPr>
        <w:t> </w:t>
      </w:r>
      <w:r>
        <w:rPr>
          <w:vertAlign w:val="baseline"/>
        </w:rPr>
        <w:t>16,51996. Variabel</w:t>
      </w:r>
      <w:r>
        <w:rPr>
          <w:spacing w:val="80"/>
          <w:vertAlign w:val="baseline"/>
        </w:rPr>
        <w:t> </w:t>
      </w:r>
      <w:r>
        <w:rPr>
          <w:vertAlign w:val="baseline"/>
        </w:rPr>
        <w:t>nilai</w:t>
      </w:r>
      <w:r>
        <w:rPr>
          <w:spacing w:val="80"/>
          <w:vertAlign w:val="baseline"/>
        </w:rPr>
        <w:t> </w:t>
      </w:r>
      <w:r>
        <w:rPr>
          <w:vertAlign w:val="baseline"/>
        </w:rPr>
        <w:t>tukar</w:t>
      </w:r>
      <w:r>
        <w:rPr>
          <w:spacing w:val="80"/>
          <w:vertAlign w:val="baseline"/>
        </w:rPr>
        <w:t> </w:t>
      </w:r>
      <w:r>
        <w:rPr>
          <w:rFonts w:ascii="Cambria Math" w:eastAsia="Cambria Math"/>
          <w:vertAlign w:val="baseline"/>
        </w:rPr>
        <w:t>(𝑋</w:t>
      </w:r>
      <w:r>
        <w:rPr>
          <w:rFonts w:ascii="Cambria Math" w:eastAsia="Cambria Math"/>
          <w:vertAlign w:val="subscript"/>
        </w:rPr>
        <w:t>2</w:t>
      </w:r>
      <w:r>
        <w:rPr>
          <w:vertAlign w:val="baseline"/>
        </w:rPr>
        <w:t>)</w:t>
      </w:r>
      <w:r>
        <w:rPr>
          <w:spacing w:val="80"/>
          <w:vertAlign w:val="baseline"/>
        </w:rPr>
        <w:t> </w:t>
      </w:r>
      <w:r>
        <w:rPr>
          <w:vertAlign w:val="baseline"/>
        </w:rPr>
        <w:t>menunjukkan</w:t>
      </w:r>
      <w:r>
        <w:rPr>
          <w:spacing w:val="80"/>
          <w:vertAlign w:val="baseline"/>
        </w:rPr>
        <w:t> </w:t>
      </w:r>
      <w:r>
        <w:rPr>
          <w:vertAlign w:val="baseline"/>
        </w:rPr>
        <w:t>rata-rata</w:t>
      </w:r>
      <w:r>
        <w:rPr>
          <w:spacing w:val="80"/>
          <w:vertAlign w:val="baseline"/>
        </w:rPr>
        <w:t> </w:t>
      </w:r>
      <w:r>
        <w:rPr>
          <w:vertAlign w:val="baseline"/>
        </w:rPr>
        <w:t>sebesar</w:t>
      </w:r>
      <w:r>
        <w:rPr>
          <w:spacing w:val="80"/>
          <w:vertAlign w:val="baseline"/>
        </w:rPr>
        <w:t> </w:t>
      </w:r>
      <w:r>
        <w:rPr>
          <w:vertAlign w:val="baseline"/>
        </w:rPr>
        <w:t>14966.51</w:t>
      </w:r>
      <w:r>
        <w:rPr>
          <w:spacing w:val="40"/>
          <w:vertAlign w:val="baseline"/>
        </w:rPr>
        <w:t> </w:t>
      </w:r>
      <w:r>
        <w:rPr>
          <w:vertAlign w:val="baseline"/>
        </w:rPr>
        <w:t>rupiah.</w:t>
      </w:r>
      <w:r>
        <w:rPr>
          <w:spacing w:val="-1"/>
          <w:vertAlign w:val="baseline"/>
        </w:rPr>
        <w:t> </w:t>
      </w:r>
      <w:r>
        <w:rPr>
          <w:vertAlign w:val="baseline"/>
        </w:rPr>
        <w:t>Adapun</w:t>
      </w:r>
      <w:r>
        <w:rPr>
          <w:spacing w:val="-1"/>
          <w:vertAlign w:val="baseline"/>
        </w:rPr>
        <w:t> </w:t>
      </w:r>
      <w:r>
        <w:rPr>
          <w:vertAlign w:val="baseline"/>
        </w:rPr>
        <w:t>nilai</w:t>
      </w:r>
      <w:r>
        <w:rPr>
          <w:spacing w:val="-1"/>
          <w:vertAlign w:val="baseline"/>
        </w:rPr>
        <w:t> </w:t>
      </w:r>
      <w:r>
        <w:rPr>
          <w:vertAlign w:val="baseline"/>
        </w:rPr>
        <w:t>tukar</w:t>
      </w:r>
      <w:r>
        <w:rPr>
          <w:spacing w:val="-2"/>
          <w:vertAlign w:val="baseline"/>
        </w:rPr>
        <w:t> </w:t>
      </w:r>
      <w:r>
        <w:rPr>
          <w:vertAlign w:val="baseline"/>
        </w:rPr>
        <w:t>tertinggi</w:t>
      </w:r>
      <w:r>
        <w:rPr>
          <w:spacing w:val="-1"/>
          <w:vertAlign w:val="baseline"/>
        </w:rPr>
        <w:t> </w:t>
      </w:r>
      <w:r>
        <w:rPr>
          <w:vertAlign w:val="baseline"/>
        </w:rPr>
        <w:t>sebanyak</w:t>
      </w:r>
      <w:r>
        <w:rPr>
          <w:spacing w:val="-1"/>
          <w:vertAlign w:val="baseline"/>
        </w:rPr>
        <w:t> </w:t>
      </w:r>
      <w:r>
        <w:rPr>
          <w:vertAlign w:val="baseline"/>
        </w:rPr>
        <w:t>16329.39</w:t>
      </w:r>
      <w:r>
        <w:rPr>
          <w:spacing w:val="-1"/>
          <w:vertAlign w:val="baseline"/>
        </w:rPr>
        <w:t> </w:t>
      </w:r>
      <w:r>
        <w:rPr>
          <w:vertAlign w:val="baseline"/>
        </w:rPr>
        <w:t>rupiah</w:t>
      </w:r>
      <w:r>
        <w:rPr>
          <w:spacing w:val="-1"/>
          <w:vertAlign w:val="baseline"/>
        </w:rPr>
        <w:t> </w:t>
      </w:r>
      <w:r>
        <w:rPr>
          <w:vertAlign w:val="baseline"/>
        </w:rPr>
        <w:t>pada</w:t>
      </w:r>
      <w:r>
        <w:rPr>
          <w:spacing w:val="-2"/>
          <w:vertAlign w:val="baseline"/>
        </w:rPr>
        <w:t> </w:t>
      </w:r>
      <w:r>
        <w:rPr>
          <w:vertAlign w:val="baseline"/>
        </w:rPr>
        <w:t>bulan Juni 2024,</w:t>
      </w:r>
      <w:r>
        <w:rPr>
          <w:spacing w:val="-6"/>
          <w:vertAlign w:val="baseline"/>
        </w:rPr>
        <w:t> </w:t>
      </w:r>
      <w:r>
        <w:rPr>
          <w:vertAlign w:val="baseline"/>
        </w:rPr>
        <w:t>terendah</w:t>
      </w:r>
      <w:r>
        <w:rPr>
          <w:spacing w:val="-2"/>
          <w:vertAlign w:val="baseline"/>
        </w:rPr>
        <w:t> </w:t>
      </w:r>
      <w:r>
        <w:rPr>
          <w:vertAlign w:val="baseline"/>
        </w:rPr>
        <w:t>pada</w:t>
      </w:r>
      <w:r>
        <w:rPr>
          <w:spacing w:val="-4"/>
          <w:vertAlign w:val="baseline"/>
        </w:rPr>
        <w:t> </w:t>
      </w:r>
      <w:r>
        <w:rPr>
          <w:vertAlign w:val="baseline"/>
        </w:rPr>
        <w:t>bulan</w:t>
      </w:r>
      <w:r>
        <w:rPr>
          <w:spacing w:val="-3"/>
          <w:vertAlign w:val="baseline"/>
        </w:rPr>
        <w:t> </w:t>
      </w:r>
      <w:r>
        <w:rPr>
          <w:vertAlign w:val="baseline"/>
        </w:rPr>
        <w:t>Januari</w:t>
      </w:r>
      <w:r>
        <w:rPr>
          <w:spacing w:val="-3"/>
          <w:vertAlign w:val="baseline"/>
        </w:rPr>
        <w:t> </w:t>
      </w:r>
      <w:r>
        <w:rPr>
          <w:vertAlign w:val="baseline"/>
        </w:rPr>
        <w:t>2020</w:t>
      </w:r>
      <w:r>
        <w:rPr>
          <w:spacing w:val="-4"/>
          <w:vertAlign w:val="baseline"/>
        </w:rPr>
        <w:t> </w:t>
      </w:r>
      <w:r>
        <w:rPr>
          <w:vertAlign w:val="baseline"/>
        </w:rPr>
        <w:t>sejumlah</w:t>
      </w:r>
      <w:r>
        <w:rPr>
          <w:spacing w:val="-1"/>
          <w:vertAlign w:val="baseline"/>
        </w:rPr>
        <w:t> </w:t>
      </w:r>
      <w:r>
        <w:rPr>
          <w:vertAlign w:val="baseline"/>
        </w:rPr>
        <w:t>13732.23</w:t>
      </w:r>
      <w:r>
        <w:rPr>
          <w:spacing w:val="-3"/>
          <w:vertAlign w:val="baseline"/>
        </w:rPr>
        <w:t> </w:t>
      </w:r>
      <w:r>
        <w:rPr>
          <w:vertAlign w:val="baseline"/>
        </w:rPr>
        <w:t>rupiah,</w:t>
      </w:r>
      <w:r>
        <w:rPr>
          <w:spacing w:val="-4"/>
          <w:vertAlign w:val="baseline"/>
        </w:rPr>
        <w:t> </w:t>
      </w:r>
      <w:r>
        <w:rPr>
          <w:vertAlign w:val="baseline"/>
        </w:rPr>
        <w:t>dan</w:t>
      </w:r>
      <w:r>
        <w:rPr>
          <w:spacing w:val="-3"/>
          <w:vertAlign w:val="baseline"/>
        </w:rPr>
        <w:t> </w:t>
      </w:r>
      <w:r>
        <w:rPr>
          <w:spacing w:val="-2"/>
          <w:vertAlign w:val="baseline"/>
        </w:rPr>
        <w:t>standar</w:t>
      </w:r>
    </w:p>
    <w:p>
      <w:pPr>
        <w:pStyle w:val="BodyText"/>
        <w:spacing w:before="1"/>
        <w:ind w:left="1463"/>
        <w:jc w:val="both"/>
      </w:pPr>
      <w:r>
        <w:rPr/>
        <w:t>deviasi</w:t>
      </w:r>
      <w:r>
        <w:rPr>
          <w:spacing w:val="-2"/>
        </w:rPr>
        <w:t> </w:t>
      </w:r>
      <w:r>
        <w:rPr/>
        <w:t>yang</w:t>
      </w:r>
      <w:r>
        <w:rPr>
          <w:spacing w:val="-1"/>
        </w:rPr>
        <w:t> </w:t>
      </w:r>
      <w:r>
        <w:rPr/>
        <w:t>menggambarkan</w:t>
      </w:r>
      <w:r>
        <w:rPr>
          <w:spacing w:val="-2"/>
        </w:rPr>
        <w:t> </w:t>
      </w:r>
      <w:r>
        <w:rPr/>
        <w:t>penyimpangan</w:t>
      </w:r>
      <w:r>
        <w:rPr>
          <w:spacing w:val="-1"/>
        </w:rPr>
        <w:t> </w:t>
      </w:r>
      <w:r>
        <w:rPr/>
        <w:t>baku berjumlah</w:t>
      </w:r>
      <w:r>
        <w:rPr>
          <w:spacing w:val="-1"/>
        </w:rPr>
        <w:t> </w:t>
      </w:r>
      <w:r>
        <w:rPr>
          <w:spacing w:val="-2"/>
        </w:rPr>
        <w:t>669,9591.</w:t>
      </w:r>
    </w:p>
    <w:p>
      <w:pPr>
        <w:pStyle w:val="BodyText"/>
        <w:spacing w:line="360" w:lineRule="auto" w:before="137"/>
        <w:ind w:left="1463" w:right="161" w:firstLine="720"/>
        <w:jc w:val="both"/>
      </w:pPr>
      <w:r>
        <w:rPr/>
        <w:t>Pada</w:t>
      </w:r>
      <w:r>
        <w:rPr>
          <w:spacing w:val="-13"/>
        </w:rPr>
        <w:t> </w:t>
      </w:r>
      <w:r>
        <w:rPr/>
        <w:t>variabel</w:t>
      </w:r>
      <w:r>
        <w:rPr>
          <w:spacing w:val="-8"/>
        </w:rPr>
        <w:t> </w:t>
      </w:r>
      <w:r>
        <w:rPr>
          <w:rFonts w:ascii="Cambria Math" w:eastAsia="Cambria Math"/>
        </w:rPr>
        <w:t>𝑋</w:t>
      </w:r>
      <w:r>
        <w:rPr>
          <w:rFonts w:ascii="Cambria Math" w:eastAsia="Cambria Math"/>
          <w:vertAlign w:val="subscript"/>
        </w:rPr>
        <w:t>3</w:t>
      </w:r>
      <w:r>
        <w:rPr>
          <w:rFonts w:ascii="Cambria Math" w:eastAsia="Cambria Math"/>
          <w:vertAlign w:val="baseline"/>
        </w:rPr>
        <w:t> </w:t>
      </w:r>
      <w:r>
        <w:rPr>
          <w:vertAlign w:val="baseline"/>
        </w:rPr>
        <w:t>yang</w:t>
      </w:r>
      <w:r>
        <w:rPr>
          <w:spacing w:val="-12"/>
          <w:vertAlign w:val="baseline"/>
        </w:rPr>
        <w:t> </w:t>
      </w:r>
      <w:r>
        <w:rPr>
          <w:vertAlign w:val="baseline"/>
        </w:rPr>
        <w:t>menyatakan</w:t>
      </w:r>
      <w:r>
        <w:rPr>
          <w:spacing w:val="-12"/>
          <w:vertAlign w:val="baseline"/>
        </w:rPr>
        <w:t> </w:t>
      </w:r>
      <w:r>
        <w:rPr>
          <w:vertAlign w:val="baseline"/>
        </w:rPr>
        <w:t>data</w:t>
      </w:r>
      <w:r>
        <w:rPr>
          <w:spacing w:val="-12"/>
          <w:vertAlign w:val="baseline"/>
        </w:rPr>
        <w:t> </w:t>
      </w:r>
      <w:r>
        <w:rPr>
          <w:vertAlign w:val="baseline"/>
        </w:rPr>
        <w:t>inflasi</w:t>
      </w:r>
      <w:r>
        <w:rPr>
          <w:spacing w:val="-11"/>
          <w:vertAlign w:val="baseline"/>
        </w:rPr>
        <w:t> </w:t>
      </w:r>
      <w:r>
        <w:rPr>
          <w:vertAlign w:val="baseline"/>
        </w:rPr>
        <w:t>telah</w:t>
      </w:r>
      <w:r>
        <w:rPr>
          <w:spacing w:val="-12"/>
          <w:vertAlign w:val="baseline"/>
        </w:rPr>
        <w:t> </w:t>
      </w:r>
      <w:r>
        <w:rPr>
          <w:vertAlign w:val="baseline"/>
        </w:rPr>
        <w:t>ditemukan</w:t>
      </w:r>
      <w:r>
        <w:rPr>
          <w:spacing w:val="-12"/>
          <w:vertAlign w:val="baseline"/>
        </w:rPr>
        <w:t> </w:t>
      </w:r>
      <w:r>
        <w:rPr>
          <w:vertAlign w:val="baseline"/>
        </w:rPr>
        <w:t>rata-rata sebesar 2,758167. Terdapat pula puncak rantai inflasi sejumlah 5,950000 pada bulan September 2022, nilai terendah inflasi di Agustus 2020 sejumlah 1,320000, dan standar deviasi sejumlah 1,330747.</w:t>
      </w:r>
    </w:p>
    <w:p>
      <w:pPr>
        <w:pStyle w:val="BodyText"/>
        <w:spacing w:line="360" w:lineRule="auto"/>
        <w:ind w:left="1463" w:right="162" w:firstLine="720"/>
        <w:jc w:val="both"/>
      </w:pPr>
      <w:r>
        <w:rPr/>
        <w:t>Variabel Indeks Produksi Industri </w:t>
      </w:r>
      <w:r>
        <w:rPr>
          <w:rFonts w:ascii="Cambria Math" w:eastAsia="Cambria Math"/>
        </w:rPr>
        <w:t>(𝑋</w:t>
      </w:r>
      <w:r>
        <w:rPr>
          <w:rFonts w:ascii="Cambria Math" w:eastAsia="Cambria Math"/>
          <w:vertAlign w:val="subscript"/>
        </w:rPr>
        <w:t>4</w:t>
      </w:r>
      <w:r>
        <w:rPr>
          <w:vertAlign w:val="baseline"/>
        </w:rPr>
        <w:t>) pada periode 2020-2024 menampilkan</w:t>
      </w:r>
      <w:r>
        <w:rPr>
          <w:spacing w:val="-15"/>
          <w:vertAlign w:val="baseline"/>
        </w:rPr>
        <w:t> </w:t>
      </w:r>
      <w:r>
        <w:rPr>
          <w:vertAlign w:val="baseline"/>
        </w:rPr>
        <w:t>rata-rata</w:t>
      </w:r>
      <w:r>
        <w:rPr>
          <w:spacing w:val="-15"/>
          <w:vertAlign w:val="baseline"/>
        </w:rPr>
        <w:t> </w:t>
      </w:r>
      <w:r>
        <w:rPr>
          <w:vertAlign w:val="baseline"/>
        </w:rPr>
        <w:t>sebesar</w:t>
      </w:r>
      <w:r>
        <w:rPr>
          <w:spacing w:val="-15"/>
          <w:vertAlign w:val="baseline"/>
        </w:rPr>
        <w:t> </w:t>
      </w:r>
      <w:r>
        <w:rPr>
          <w:vertAlign w:val="baseline"/>
        </w:rPr>
        <w:t>147,2417,</w:t>
      </w:r>
      <w:r>
        <w:rPr>
          <w:spacing w:val="-15"/>
          <w:vertAlign w:val="baseline"/>
        </w:rPr>
        <w:t> </w:t>
      </w:r>
      <w:r>
        <w:rPr>
          <w:vertAlign w:val="baseline"/>
        </w:rPr>
        <w:t>nilai</w:t>
      </w:r>
      <w:r>
        <w:rPr>
          <w:spacing w:val="-15"/>
          <w:vertAlign w:val="baseline"/>
        </w:rPr>
        <w:t> </w:t>
      </w:r>
      <w:r>
        <w:rPr>
          <w:vertAlign w:val="baseline"/>
        </w:rPr>
        <w:t>maksimalnya</w:t>
      </w:r>
      <w:r>
        <w:rPr>
          <w:spacing w:val="-15"/>
          <w:vertAlign w:val="baseline"/>
        </w:rPr>
        <w:t> </w:t>
      </w:r>
      <w:r>
        <w:rPr>
          <w:vertAlign w:val="baseline"/>
        </w:rPr>
        <w:t>sejumlah</w:t>
      </w:r>
      <w:r>
        <w:rPr>
          <w:spacing w:val="-15"/>
          <w:vertAlign w:val="baseline"/>
        </w:rPr>
        <w:t> </w:t>
      </w:r>
      <w:r>
        <w:rPr>
          <w:vertAlign w:val="baseline"/>
        </w:rPr>
        <w:t>167,9500 pada</w:t>
      </w:r>
      <w:r>
        <w:rPr>
          <w:spacing w:val="-4"/>
          <w:vertAlign w:val="baseline"/>
        </w:rPr>
        <w:t> </w:t>
      </w:r>
      <w:r>
        <w:rPr>
          <w:vertAlign w:val="baseline"/>
        </w:rPr>
        <w:t>bulan</w:t>
      </w:r>
      <w:r>
        <w:rPr>
          <w:spacing w:val="-2"/>
          <w:vertAlign w:val="baseline"/>
        </w:rPr>
        <w:t> </w:t>
      </w:r>
      <w:r>
        <w:rPr>
          <w:vertAlign w:val="baseline"/>
        </w:rPr>
        <w:t>Oktober</w:t>
      </w:r>
      <w:r>
        <w:rPr>
          <w:spacing w:val="-2"/>
          <w:vertAlign w:val="baseline"/>
        </w:rPr>
        <w:t> </w:t>
      </w:r>
      <w:r>
        <w:rPr>
          <w:vertAlign w:val="baseline"/>
        </w:rPr>
        <w:t>2024,</w:t>
      </w:r>
      <w:r>
        <w:rPr>
          <w:spacing w:val="-3"/>
          <w:vertAlign w:val="baseline"/>
        </w:rPr>
        <w:t> </w:t>
      </w:r>
      <w:r>
        <w:rPr>
          <w:vertAlign w:val="baseline"/>
        </w:rPr>
        <w:t>nilai</w:t>
      </w:r>
      <w:r>
        <w:rPr>
          <w:spacing w:val="-3"/>
          <w:vertAlign w:val="baseline"/>
        </w:rPr>
        <w:t> </w:t>
      </w:r>
      <w:r>
        <w:rPr>
          <w:vertAlign w:val="baseline"/>
        </w:rPr>
        <w:t>minimalnya</w:t>
      </w:r>
      <w:r>
        <w:rPr>
          <w:spacing w:val="-4"/>
          <w:vertAlign w:val="baseline"/>
        </w:rPr>
        <w:t> </w:t>
      </w:r>
      <w:r>
        <w:rPr>
          <w:vertAlign w:val="baseline"/>
        </w:rPr>
        <w:t>di</w:t>
      </w:r>
      <w:r>
        <w:rPr>
          <w:spacing w:val="-3"/>
          <w:vertAlign w:val="baseline"/>
        </w:rPr>
        <w:t> </w:t>
      </w:r>
      <w:r>
        <w:rPr>
          <w:vertAlign w:val="baseline"/>
        </w:rPr>
        <w:t>angka</w:t>
      </w:r>
      <w:r>
        <w:rPr>
          <w:spacing w:val="-4"/>
          <w:vertAlign w:val="baseline"/>
        </w:rPr>
        <w:t> </w:t>
      </w:r>
      <w:r>
        <w:rPr>
          <w:vertAlign w:val="baseline"/>
        </w:rPr>
        <w:t>104.0200</w:t>
      </w:r>
      <w:r>
        <w:rPr>
          <w:spacing w:val="-3"/>
          <w:vertAlign w:val="baseline"/>
        </w:rPr>
        <w:t> </w:t>
      </w:r>
      <w:r>
        <w:rPr>
          <w:vertAlign w:val="baseline"/>
        </w:rPr>
        <w:t>pada</w:t>
      </w:r>
      <w:r>
        <w:rPr>
          <w:spacing w:val="-4"/>
          <w:vertAlign w:val="baseline"/>
        </w:rPr>
        <w:t> </w:t>
      </w:r>
      <w:r>
        <w:rPr>
          <w:vertAlign w:val="baseline"/>
        </w:rPr>
        <w:t>bulan Mei 2020, dan standar deviasi yang menunjukkan tingkat penyimpangan baku sebanyak 12,09113.</w:t>
      </w:r>
    </w:p>
    <w:p>
      <w:pPr>
        <w:pStyle w:val="BodyText"/>
        <w:spacing w:after="0" w:line="360" w:lineRule="auto"/>
        <w:jc w:val="both"/>
        <w:sectPr>
          <w:pgSz w:w="11910" w:h="16840"/>
          <w:pgMar w:header="0" w:footer="1000" w:top="1360" w:bottom="1200" w:left="1417" w:right="1275"/>
        </w:sectPr>
      </w:pPr>
    </w:p>
    <w:p>
      <w:pPr>
        <w:pStyle w:val="Heading2"/>
        <w:numPr>
          <w:ilvl w:val="2"/>
          <w:numId w:val="24"/>
        </w:numPr>
        <w:tabs>
          <w:tab w:pos="1463" w:val="left" w:leader="none"/>
        </w:tabs>
        <w:spacing w:line="240" w:lineRule="auto" w:before="60" w:after="0"/>
        <w:ind w:left="1463" w:right="0" w:hanging="732"/>
        <w:jc w:val="left"/>
      </w:pPr>
      <w:bookmarkStart w:name="_bookmark148" w:id="149"/>
      <w:bookmarkEnd w:id="149"/>
      <w:r>
        <w:rPr>
          <w:b w:val="0"/>
        </w:rPr>
      </w:r>
      <w:r>
        <w:rPr/>
        <w:t>Uji</w:t>
      </w:r>
      <w:r>
        <w:rPr>
          <w:spacing w:val="-2"/>
        </w:rPr>
        <w:t> </w:t>
      </w:r>
      <w:r>
        <w:rPr/>
        <w:t>Asumsi</w:t>
      </w:r>
      <w:r>
        <w:rPr>
          <w:spacing w:val="-1"/>
        </w:rPr>
        <w:t> </w:t>
      </w:r>
      <w:r>
        <w:rPr>
          <w:spacing w:val="-2"/>
        </w:rPr>
        <w:t>Klasik</w:t>
      </w:r>
    </w:p>
    <w:p>
      <w:pPr>
        <w:pStyle w:val="BodyText"/>
        <w:spacing w:before="22"/>
        <w:rPr>
          <w:b/>
        </w:rPr>
      </w:pPr>
    </w:p>
    <w:p>
      <w:pPr>
        <w:pStyle w:val="BodyText"/>
        <w:spacing w:line="360" w:lineRule="auto"/>
        <w:ind w:left="1463" w:right="159" w:firstLine="403"/>
        <w:jc w:val="both"/>
      </w:pPr>
      <w:r>
        <w:rPr/>
        <w:t>Penggunaan uji asumsi klasik ialah untuk memastikan persamaan regresi yang digunakan sesuai dan sah. Selain itu dalam pengujian hipotesis pun memerlukan</w:t>
      </w:r>
      <w:r>
        <w:rPr>
          <w:spacing w:val="-15"/>
        </w:rPr>
        <w:t> </w:t>
      </w:r>
      <w:r>
        <w:rPr/>
        <w:t>serangkaian</w:t>
      </w:r>
      <w:r>
        <w:rPr>
          <w:spacing w:val="-15"/>
        </w:rPr>
        <w:t> </w:t>
      </w:r>
      <w:r>
        <w:rPr/>
        <w:t>uji</w:t>
      </w:r>
      <w:r>
        <w:rPr>
          <w:spacing w:val="-15"/>
        </w:rPr>
        <w:t> </w:t>
      </w:r>
      <w:r>
        <w:rPr/>
        <w:t>asumsi</w:t>
      </w:r>
      <w:r>
        <w:rPr>
          <w:spacing w:val="-15"/>
        </w:rPr>
        <w:t> </w:t>
      </w:r>
      <w:r>
        <w:rPr/>
        <w:t>klasik.</w:t>
      </w:r>
      <w:r>
        <w:rPr>
          <w:spacing w:val="-15"/>
        </w:rPr>
        <w:t> </w:t>
      </w:r>
      <w:hyperlink w:history="true" w:anchor="_bookmark149">
        <w:r>
          <w:rPr>
            <w:vertAlign w:val="superscript"/>
          </w:rPr>
          <w:t>87</w:t>
        </w:r>
      </w:hyperlink>
      <w:r>
        <w:rPr>
          <w:spacing w:val="-15"/>
          <w:vertAlign w:val="baseline"/>
        </w:rPr>
        <w:t> </w:t>
      </w:r>
      <w:r>
        <w:rPr>
          <w:vertAlign w:val="baseline"/>
        </w:rPr>
        <w:t>Tujuan</w:t>
      </w:r>
      <w:r>
        <w:rPr>
          <w:spacing w:val="-15"/>
          <w:vertAlign w:val="baseline"/>
        </w:rPr>
        <w:t> </w:t>
      </w:r>
      <w:r>
        <w:rPr>
          <w:vertAlign w:val="baseline"/>
        </w:rPr>
        <w:t>dari</w:t>
      </w:r>
      <w:r>
        <w:rPr>
          <w:spacing w:val="-15"/>
          <w:vertAlign w:val="baseline"/>
        </w:rPr>
        <w:t> </w:t>
      </w:r>
      <w:r>
        <w:rPr>
          <w:vertAlign w:val="baseline"/>
        </w:rPr>
        <w:t>uji</w:t>
      </w:r>
      <w:r>
        <w:rPr>
          <w:spacing w:val="-15"/>
          <w:vertAlign w:val="baseline"/>
        </w:rPr>
        <w:t> </w:t>
      </w:r>
      <w:r>
        <w:rPr>
          <w:vertAlign w:val="baseline"/>
        </w:rPr>
        <w:t>asumsi</w:t>
      </w:r>
      <w:r>
        <w:rPr>
          <w:spacing w:val="-15"/>
          <w:vertAlign w:val="baseline"/>
        </w:rPr>
        <w:t> </w:t>
      </w:r>
      <w:r>
        <w:rPr>
          <w:vertAlign w:val="baseline"/>
        </w:rPr>
        <w:t>klasik</w:t>
      </w:r>
      <w:r>
        <w:rPr>
          <w:spacing w:val="-15"/>
          <w:vertAlign w:val="baseline"/>
        </w:rPr>
        <w:t> </w:t>
      </w:r>
      <w:r>
        <w:rPr>
          <w:vertAlign w:val="baseline"/>
        </w:rPr>
        <w:t>ialah untuk memverifikasi bahwa model regresi yang dibuat dapat menggambarkan hubungan antara variabel-variabel yang dianalisis dengan tepat karena uji asumsi klasik membantu dalam menemukan dan menyelesaikan masalah yang mungkin terjadi sehingga mempengaruhi temuan analisis</w:t>
      </w:r>
      <w:hyperlink w:history="true" w:anchor="_bookmark150">
        <w:r>
          <w:rPr>
            <w:vertAlign w:val="baseline"/>
          </w:rPr>
          <w:t>.</w:t>
        </w:r>
        <w:r>
          <w:rPr>
            <w:vertAlign w:val="superscript"/>
          </w:rPr>
          <w:t>88</w:t>
        </w:r>
      </w:hyperlink>
      <w:r>
        <w:rPr>
          <w:vertAlign w:val="baseline"/>
        </w:rPr>
        <w:t> Berikut ini merupakan beberapa uji asumsi klasik yang dapat digunakan untuk mengevaluasi keabsahan data pada analisis regresi linier berganda:</w:t>
      </w:r>
    </w:p>
    <w:p>
      <w:pPr>
        <w:pStyle w:val="Heading2"/>
        <w:numPr>
          <w:ilvl w:val="3"/>
          <w:numId w:val="24"/>
        </w:numPr>
        <w:tabs>
          <w:tab w:pos="1866" w:val="left" w:leader="none"/>
        </w:tabs>
        <w:spacing w:line="240" w:lineRule="auto" w:before="3" w:after="0"/>
        <w:ind w:left="1866" w:right="0" w:hanging="360"/>
        <w:jc w:val="both"/>
      </w:pPr>
      <w:r>
        <w:rPr/>
        <w:t>Uji</w:t>
      </w:r>
      <w:r>
        <w:rPr>
          <w:spacing w:val="-2"/>
        </w:rPr>
        <w:t> Normalitas</w:t>
      </w:r>
    </w:p>
    <w:p>
      <w:pPr>
        <w:pStyle w:val="BodyText"/>
        <w:spacing w:line="360" w:lineRule="auto" w:before="136"/>
        <w:ind w:left="1866" w:right="160" w:firstLine="316"/>
        <w:jc w:val="both"/>
      </w:pPr>
      <w:r>
        <w:rPr/>
        <w:t>Salah</w:t>
      </w:r>
      <w:r>
        <w:rPr>
          <w:spacing w:val="-15"/>
        </w:rPr>
        <w:t> </w:t>
      </w:r>
      <w:r>
        <w:rPr/>
        <w:t>satu</w:t>
      </w:r>
      <w:r>
        <w:rPr>
          <w:spacing w:val="-15"/>
        </w:rPr>
        <w:t> </w:t>
      </w:r>
      <w:r>
        <w:rPr/>
        <w:t>uji</w:t>
      </w:r>
      <w:r>
        <w:rPr>
          <w:spacing w:val="-15"/>
        </w:rPr>
        <w:t> </w:t>
      </w:r>
      <w:r>
        <w:rPr/>
        <w:t>statistik</w:t>
      </w:r>
      <w:r>
        <w:rPr>
          <w:spacing w:val="-15"/>
        </w:rPr>
        <w:t> </w:t>
      </w:r>
      <w:r>
        <w:rPr/>
        <w:t>yang</w:t>
      </w:r>
      <w:r>
        <w:rPr>
          <w:spacing w:val="-15"/>
        </w:rPr>
        <w:t> </w:t>
      </w:r>
      <w:r>
        <w:rPr/>
        <w:t>digunakan</w:t>
      </w:r>
      <w:r>
        <w:rPr>
          <w:spacing w:val="-15"/>
        </w:rPr>
        <w:t> </w:t>
      </w:r>
      <w:r>
        <w:rPr/>
        <w:t>untuk</w:t>
      </w:r>
      <w:r>
        <w:rPr>
          <w:spacing w:val="-15"/>
        </w:rPr>
        <w:t> </w:t>
      </w:r>
      <w:r>
        <w:rPr/>
        <w:t>memastikan</w:t>
      </w:r>
      <w:r>
        <w:rPr>
          <w:spacing w:val="-15"/>
        </w:rPr>
        <w:t> </w:t>
      </w:r>
      <w:r>
        <w:rPr/>
        <w:t>apakah</w:t>
      </w:r>
      <w:r>
        <w:rPr>
          <w:spacing w:val="-15"/>
        </w:rPr>
        <w:t> </w:t>
      </w:r>
      <w:r>
        <w:rPr/>
        <w:t>sebuah data berasal dari populasi yang berdistribusi normal atau tidak adalah uji normalitas.</w:t>
      </w:r>
      <w:hyperlink w:history="true" w:anchor="_bookmark151">
        <w:r>
          <w:rPr>
            <w:vertAlign w:val="superscript"/>
          </w:rPr>
          <w:t>89</w:t>
        </w:r>
      </w:hyperlink>
      <w:r>
        <w:rPr>
          <w:spacing w:val="-15"/>
          <w:vertAlign w:val="baseline"/>
        </w:rPr>
        <w:t> </w:t>
      </w:r>
      <w:r>
        <w:rPr>
          <w:vertAlign w:val="baseline"/>
        </w:rPr>
        <w:t>Selanjutnya,</w:t>
      </w:r>
      <w:r>
        <w:rPr>
          <w:spacing w:val="-15"/>
          <w:vertAlign w:val="baseline"/>
        </w:rPr>
        <w:t> </w:t>
      </w:r>
      <w:r>
        <w:rPr>
          <w:vertAlign w:val="baseline"/>
        </w:rPr>
        <w:t>pengujian</w:t>
      </w:r>
      <w:r>
        <w:rPr>
          <w:spacing w:val="-15"/>
          <w:vertAlign w:val="baseline"/>
        </w:rPr>
        <w:t> </w:t>
      </w:r>
      <w:r>
        <w:rPr>
          <w:vertAlign w:val="baseline"/>
        </w:rPr>
        <w:t>normalitas</w:t>
      </w:r>
      <w:r>
        <w:rPr>
          <w:spacing w:val="-15"/>
          <w:vertAlign w:val="baseline"/>
        </w:rPr>
        <w:t> </w:t>
      </w:r>
      <w:r>
        <w:rPr>
          <w:vertAlign w:val="baseline"/>
        </w:rPr>
        <w:t>dilakukan</w:t>
      </w:r>
      <w:r>
        <w:rPr>
          <w:spacing w:val="-15"/>
          <w:vertAlign w:val="baseline"/>
        </w:rPr>
        <w:t> </w:t>
      </w:r>
      <w:r>
        <w:rPr>
          <w:vertAlign w:val="baseline"/>
        </w:rPr>
        <w:t>untuk</w:t>
      </w:r>
      <w:r>
        <w:rPr>
          <w:spacing w:val="-15"/>
          <w:vertAlign w:val="baseline"/>
        </w:rPr>
        <w:t> </w:t>
      </w:r>
      <w:r>
        <w:rPr>
          <w:vertAlign w:val="baseline"/>
        </w:rPr>
        <w:t>membantu peneliti memilih jenis analisis statistik yang akan digunakan.</w:t>
      </w:r>
      <w:hyperlink w:history="true" w:anchor="_bookmark152">
        <w:r>
          <w:rPr>
            <w:vertAlign w:val="superscript"/>
          </w:rPr>
          <w:t>90</w:t>
        </w:r>
      </w:hyperlink>
      <w:r>
        <w:rPr>
          <w:vertAlign w:val="baseline"/>
        </w:rPr>
        <w:t> Data penelitian dianggap terdistribusi normal jika temuan uji profitabilitas menunjukkan nilai signifikan &gt; 0,05. Sebaliknya, data penelitian tidak memenuhi standar normalitas jika hasil pengujian menunjukkan nilai signifikansi &lt; 0,05. Dibawah ini merupakan hasil uji normalitas yang </w:t>
      </w:r>
      <w:r>
        <w:rPr>
          <w:spacing w:val="-2"/>
          <w:vertAlign w:val="baseline"/>
        </w:rPr>
        <w:t>didapatkan: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1"/>
        <w:rPr>
          <w:sz w:val="20"/>
        </w:rPr>
      </w:pPr>
      <w:r>
        <w:rPr>
          <w:sz w:val="20"/>
        </w:rPr>
        <mc:AlternateContent>
          <mc:Choice Requires="wps">
            <w:drawing>
              <wp:anchor distT="0" distB="0" distL="0" distR="0" allowOverlap="1" layoutInCell="1" locked="0" behindDoc="1" simplePos="0" relativeHeight="487615488">
                <wp:simplePos x="0" y="0"/>
                <wp:positionH relativeFrom="page">
                  <wp:posOffset>914704</wp:posOffset>
                </wp:positionH>
                <wp:positionV relativeFrom="paragraph">
                  <wp:posOffset>219428</wp:posOffset>
                </wp:positionV>
                <wp:extent cx="1829435" cy="9525"/>
                <wp:effectExtent l="0" t="0" r="0" b="0"/>
                <wp:wrapTopAndBottom/>
                <wp:docPr id="302" name="Graphic 302"/>
                <wp:cNvGraphicFramePr>
                  <a:graphicFrameLocks/>
                </wp:cNvGraphicFramePr>
                <a:graphic>
                  <a:graphicData uri="http://schemas.microsoft.com/office/word/2010/wordprocessingShape">
                    <wps:wsp>
                      <wps:cNvPr id="302" name="Graphic 302"/>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7.277822pt;width:144.020pt;height:.72003pt;mso-position-horizontal-relative:page;mso-position-vertical-relative:paragraph;z-index:-15700992;mso-wrap-distance-left:0;mso-wrap-distance-right:0" id="docshape274" filled="true" fillcolor="#000000" stroked="false">
                <v:fill type="solid"/>
                <w10:wrap type="topAndBottom"/>
              </v:rect>
            </w:pict>
          </mc:Fallback>
        </mc:AlternateContent>
      </w:r>
    </w:p>
    <w:p>
      <w:pPr>
        <w:spacing w:before="101"/>
        <w:ind w:left="743" w:right="0" w:firstLine="0"/>
        <w:jc w:val="left"/>
        <w:rPr>
          <w:sz w:val="20"/>
        </w:rPr>
      </w:pPr>
      <w:bookmarkStart w:name="_bookmark149" w:id="150"/>
      <w:bookmarkEnd w:id="150"/>
      <w:r>
        <w:rPr/>
      </w:r>
      <w:r>
        <w:rPr>
          <w:sz w:val="20"/>
          <w:vertAlign w:val="superscript"/>
        </w:rPr>
        <w:t>87</w:t>
      </w:r>
      <w:r>
        <w:rPr>
          <w:spacing w:val="71"/>
          <w:sz w:val="20"/>
          <w:vertAlign w:val="baseline"/>
        </w:rPr>
        <w:t> </w:t>
      </w:r>
      <w:r>
        <w:rPr>
          <w:sz w:val="20"/>
          <w:vertAlign w:val="baseline"/>
        </w:rPr>
        <w:t>Siti</w:t>
      </w:r>
      <w:r>
        <w:rPr>
          <w:spacing w:val="71"/>
          <w:sz w:val="20"/>
          <w:vertAlign w:val="baseline"/>
        </w:rPr>
        <w:t> </w:t>
      </w:r>
      <w:r>
        <w:rPr>
          <w:sz w:val="20"/>
          <w:vertAlign w:val="baseline"/>
        </w:rPr>
        <w:t>M</w:t>
      </w:r>
      <w:r>
        <w:rPr>
          <w:spacing w:val="71"/>
          <w:sz w:val="20"/>
          <w:vertAlign w:val="baseline"/>
        </w:rPr>
        <w:t> </w:t>
      </w:r>
      <w:r>
        <w:rPr>
          <w:sz w:val="20"/>
          <w:vertAlign w:val="baseline"/>
        </w:rPr>
        <w:t>Sholihah</w:t>
      </w:r>
      <w:r>
        <w:rPr>
          <w:spacing w:val="73"/>
          <w:sz w:val="20"/>
          <w:vertAlign w:val="baseline"/>
        </w:rPr>
        <w:t> </w:t>
      </w:r>
      <w:r>
        <w:rPr>
          <w:sz w:val="20"/>
          <w:vertAlign w:val="baseline"/>
        </w:rPr>
        <w:t>and</w:t>
      </w:r>
      <w:r>
        <w:rPr>
          <w:spacing w:val="72"/>
          <w:sz w:val="20"/>
          <w:vertAlign w:val="baseline"/>
        </w:rPr>
        <w:t> </w:t>
      </w:r>
      <w:r>
        <w:rPr>
          <w:sz w:val="20"/>
          <w:vertAlign w:val="baseline"/>
        </w:rPr>
        <w:t>others,</w:t>
      </w:r>
      <w:r>
        <w:rPr>
          <w:spacing w:val="72"/>
          <w:sz w:val="20"/>
          <w:vertAlign w:val="baseline"/>
        </w:rPr>
        <w:t> </w:t>
      </w:r>
      <w:r>
        <w:rPr>
          <w:sz w:val="20"/>
          <w:vertAlign w:val="baseline"/>
        </w:rPr>
        <w:t>‘KONSEP</w:t>
      </w:r>
      <w:r>
        <w:rPr>
          <w:spacing w:val="70"/>
          <w:sz w:val="20"/>
          <w:vertAlign w:val="baseline"/>
        </w:rPr>
        <w:t> </w:t>
      </w:r>
      <w:r>
        <w:rPr>
          <w:sz w:val="20"/>
          <w:vertAlign w:val="baseline"/>
        </w:rPr>
        <w:t>UJI</w:t>
      </w:r>
      <w:r>
        <w:rPr>
          <w:spacing w:val="72"/>
          <w:sz w:val="20"/>
          <w:vertAlign w:val="baseline"/>
        </w:rPr>
        <w:t> </w:t>
      </w:r>
      <w:r>
        <w:rPr>
          <w:sz w:val="20"/>
          <w:vertAlign w:val="baseline"/>
        </w:rPr>
        <w:t>ASUMSI</w:t>
      </w:r>
      <w:r>
        <w:rPr>
          <w:spacing w:val="72"/>
          <w:sz w:val="20"/>
          <w:vertAlign w:val="baseline"/>
        </w:rPr>
        <w:t> </w:t>
      </w:r>
      <w:r>
        <w:rPr>
          <w:sz w:val="20"/>
          <w:vertAlign w:val="baseline"/>
        </w:rPr>
        <w:t>KLASIK</w:t>
      </w:r>
      <w:r>
        <w:rPr>
          <w:spacing w:val="71"/>
          <w:sz w:val="20"/>
          <w:vertAlign w:val="baseline"/>
        </w:rPr>
        <w:t> </w:t>
      </w:r>
      <w:r>
        <w:rPr>
          <w:sz w:val="20"/>
          <w:vertAlign w:val="baseline"/>
        </w:rPr>
        <w:t>PADA</w:t>
      </w:r>
      <w:r>
        <w:rPr>
          <w:spacing w:val="74"/>
          <w:sz w:val="20"/>
          <w:vertAlign w:val="baseline"/>
        </w:rPr>
        <w:t> </w:t>
      </w:r>
      <w:r>
        <w:rPr>
          <w:sz w:val="20"/>
          <w:vertAlign w:val="baseline"/>
        </w:rPr>
        <w:t>REGRESI</w:t>
      </w:r>
      <w:r>
        <w:rPr>
          <w:spacing w:val="71"/>
          <w:sz w:val="20"/>
          <w:vertAlign w:val="baseline"/>
        </w:rPr>
        <w:t> </w:t>
      </w:r>
      <w:r>
        <w:rPr>
          <w:spacing w:val="-2"/>
          <w:sz w:val="20"/>
          <w:vertAlign w:val="baseline"/>
        </w:rPr>
        <w:t>LINIER</w:t>
      </w:r>
    </w:p>
    <w:p>
      <w:pPr>
        <w:tabs>
          <w:tab w:pos="1768" w:val="left" w:leader="none"/>
          <w:tab w:pos="2809" w:val="left" w:leader="none"/>
          <w:tab w:pos="3725" w:val="left" w:leader="none"/>
          <w:tab w:pos="5044" w:val="left" w:leader="none"/>
          <w:tab w:pos="6482" w:val="left" w:leader="none"/>
          <w:tab w:pos="7249" w:val="left" w:leader="none"/>
          <w:tab w:pos="8349" w:val="left" w:leader="none"/>
        </w:tabs>
        <w:spacing w:before="0"/>
        <w:ind w:left="23" w:right="0" w:firstLine="0"/>
        <w:jc w:val="left"/>
        <w:rPr>
          <w:sz w:val="20"/>
        </w:rPr>
      </w:pPr>
      <w:r>
        <w:rPr>
          <w:spacing w:val="-2"/>
          <w:sz w:val="20"/>
        </w:rPr>
        <w:t>BERGANDA’,</w:t>
      </w:r>
      <w:r>
        <w:rPr>
          <w:sz w:val="20"/>
        </w:rPr>
        <w:tab/>
      </w:r>
      <w:r>
        <w:rPr>
          <w:i/>
          <w:spacing w:val="-2"/>
          <w:sz w:val="20"/>
        </w:rPr>
        <w:t>Jurnal</w:t>
      </w:r>
      <w:r>
        <w:rPr>
          <w:i/>
          <w:sz w:val="20"/>
        </w:rPr>
        <w:tab/>
      </w:r>
      <w:r>
        <w:rPr>
          <w:i/>
          <w:spacing w:val="-4"/>
          <w:sz w:val="20"/>
        </w:rPr>
        <w:t>Riset</w:t>
      </w:r>
      <w:r>
        <w:rPr>
          <w:i/>
          <w:sz w:val="20"/>
        </w:rPr>
        <w:tab/>
      </w:r>
      <w:r>
        <w:rPr>
          <w:i/>
          <w:spacing w:val="-2"/>
          <w:sz w:val="20"/>
        </w:rPr>
        <w:t>Akuntansi</w:t>
      </w:r>
      <w:r>
        <w:rPr>
          <w:i/>
          <w:sz w:val="20"/>
        </w:rPr>
        <w:tab/>
      </w:r>
      <w:r>
        <w:rPr>
          <w:i/>
          <w:spacing w:val="-2"/>
          <w:sz w:val="20"/>
        </w:rPr>
        <w:t>Soedirman</w:t>
      </w:r>
      <w:r>
        <w:rPr>
          <w:spacing w:val="-2"/>
          <w:sz w:val="20"/>
        </w:rPr>
        <w:t>,</w:t>
      </w:r>
      <w:r>
        <w:rPr>
          <w:sz w:val="20"/>
        </w:rPr>
        <w:tab/>
      </w:r>
      <w:r>
        <w:rPr>
          <w:spacing w:val="-5"/>
          <w:sz w:val="20"/>
        </w:rPr>
        <w:t>2.2</w:t>
      </w:r>
      <w:r>
        <w:rPr>
          <w:sz w:val="20"/>
        </w:rPr>
        <w:tab/>
      </w:r>
      <w:r>
        <w:rPr>
          <w:spacing w:val="-2"/>
          <w:sz w:val="20"/>
        </w:rPr>
        <w:t>(2023),</w:t>
      </w:r>
      <w:r>
        <w:rPr>
          <w:sz w:val="20"/>
        </w:rPr>
        <w:tab/>
      </w:r>
      <w:r>
        <w:rPr>
          <w:spacing w:val="-2"/>
          <w:sz w:val="20"/>
        </w:rPr>
        <w:t>102–110</w:t>
      </w:r>
    </w:p>
    <w:p>
      <w:pPr>
        <w:spacing w:before="1"/>
        <w:ind w:left="23" w:right="0" w:firstLine="0"/>
        <w:jc w:val="left"/>
        <w:rPr>
          <w:sz w:val="20"/>
        </w:rPr>
      </w:pPr>
      <w:r>
        <w:rPr>
          <w:spacing w:val="-2"/>
          <w:sz w:val="20"/>
        </w:rPr>
        <w:t>&lt;https://doi.org/10.32424/1.jras.2023.2.2.10792&gt;.</w:t>
      </w:r>
    </w:p>
    <w:p>
      <w:pPr>
        <w:spacing w:before="0"/>
        <w:ind w:left="23" w:right="0" w:firstLine="719"/>
        <w:jc w:val="left"/>
        <w:rPr>
          <w:sz w:val="20"/>
        </w:rPr>
      </w:pPr>
      <w:bookmarkStart w:name="_bookmark150" w:id="151"/>
      <w:bookmarkEnd w:id="151"/>
      <w:r>
        <w:rPr/>
      </w:r>
      <w:r>
        <w:rPr>
          <w:sz w:val="20"/>
          <w:vertAlign w:val="superscript"/>
        </w:rPr>
        <w:t>88</w:t>
      </w:r>
      <w:r>
        <w:rPr>
          <w:spacing w:val="-13"/>
          <w:sz w:val="20"/>
          <w:vertAlign w:val="baseline"/>
        </w:rPr>
        <w:t> </w:t>
      </w:r>
      <w:r>
        <w:rPr>
          <w:sz w:val="20"/>
          <w:vertAlign w:val="baseline"/>
        </w:rPr>
        <w:t>Risda</w:t>
      </w:r>
      <w:r>
        <w:rPr>
          <w:spacing w:val="-12"/>
          <w:sz w:val="20"/>
          <w:vertAlign w:val="baseline"/>
        </w:rPr>
        <w:t> </w:t>
      </w:r>
      <w:r>
        <w:rPr>
          <w:sz w:val="20"/>
          <w:vertAlign w:val="baseline"/>
        </w:rPr>
        <w:t>Astridawati</w:t>
      </w:r>
      <w:r>
        <w:rPr>
          <w:spacing w:val="-13"/>
          <w:sz w:val="20"/>
          <w:vertAlign w:val="baseline"/>
        </w:rPr>
        <w:t> </w:t>
      </w:r>
      <w:r>
        <w:rPr>
          <w:sz w:val="20"/>
          <w:vertAlign w:val="baseline"/>
        </w:rPr>
        <w:t>Silalahi</w:t>
      </w:r>
      <w:r>
        <w:rPr>
          <w:spacing w:val="-12"/>
          <w:sz w:val="20"/>
          <w:vertAlign w:val="baseline"/>
        </w:rPr>
        <w:t> </w:t>
      </w:r>
      <w:r>
        <w:rPr>
          <w:sz w:val="20"/>
          <w:vertAlign w:val="baseline"/>
        </w:rPr>
        <w:t>and</w:t>
      </w:r>
      <w:r>
        <w:rPr>
          <w:spacing w:val="-13"/>
          <w:sz w:val="20"/>
          <w:vertAlign w:val="baseline"/>
        </w:rPr>
        <w:t> </w:t>
      </w:r>
      <w:r>
        <w:rPr>
          <w:sz w:val="20"/>
          <w:vertAlign w:val="baseline"/>
        </w:rPr>
        <w:t>others,</w:t>
      </w:r>
      <w:r>
        <w:rPr>
          <w:spacing w:val="-12"/>
          <w:sz w:val="20"/>
          <w:vertAlign w:val="baseline"/>
        </w:rPr>
        <w:t> </w:t>
      </w:r>
      <w:r>
        <w:rPr>
          <w:sz w:val="20"/>
          <w:vertAlign w:val="baseline"/>
        </w:rPr>
        <w:t>‘HASIL</w:t>
      </w:r>
      <w:r>
        <w:rPr>
          <w:spacing w:val="-12"/>
          <w:sz w:val="20"/>
          <w:vertAlign w:val="baseline"/>
        </w:rPr>
        <w:t> </w:t>
      </w:r>
      <w:r>
        <w:rPr>
          <w:sz w:val="20"/>
          <w:vertAlign w:val="baseline"/>
        </w:rPr>
        <w:t>PERHITUNGAN</w:t>
      </w:r>
      <w:r>
        <w:rPr>
          <w:spacing w:val="-12"/>
          <w:sz w:val="20"/>
          <w:vertAlign w:val="baseline"/>
        </w:rPr>
        <w:t> </w:t>
      </w:r>
      <w:r>
        <w:rPr>
          <w:sz w:val="20"/>
          <w:vertAlign w:val="baseline"/>
        </w:rPr>
        <w:t>ASUMSI</w:t>
      </w:r>
      <w:r>
        <w:rPr>
          <w:spacing w:val="-13"/>
          <w:sz w:val="20"/>
          <w:vertAlign w:val="baseline"/>
        </w:rPr>
        <w:t> </w:t>
      </w:r>
      <w:r>
        <w:rPr>
          <w:sz w:val="20"/>
          <w:vertAlign w:val="baseline"/>
        </w:rPr>
        <w:t>KLASIK</w:t>
      </w:r>
      <w:r>
        <w:rPr>
          <w:spacing w:val="-12"/>
          <w:sz w:val="20"/>
          <w:vertAlign w:val="baseline"/>
        </w:rPr>
        <w:t> </w:t>
      </w:r>
      <w:r>
        <w:rPr>
          <w:sz w:val="20"/>
          <w:vertAlign w:val="baseline"/>
        </w:rPr>
        <w:t>:</w:t>
      </w:r>
      <w:r>
        <w:rPr>
          <w:spacing w:val="-13"/>
          <w:sz w:val="20"/>
          <w:vertAlign w:val="baseline"/>
        </w:rPr>
        <w:t> </w:t>
      </w:r>
      <w:r>
        <w:rPr>
          <w:sz w:val="20"/>
          <w:vertAlign w:val="baseline"/>
        </w:rPr>
        <w:t>TENTANG</w:t>
      </w:r>
      <w:r>
        <w:rPr>
          <w:spacing w:val="-12"/>
          <w:sz w:val="20"/>
          <w:vertAlign w:val="baseline"/>
        </w:rPr>
        <w:t> </w:t>
      </w:r>
      <w:r>
        <w:rPr>
          <w:sz w:val="20"/>
          <w:vertAlign w:val="baseline"/>
        </w:rPr>
        <w:t>UJI AUTOKORELASI, NORMALITAS, DAN HETEROKEDASTISITAS’, 8.12 (2024), 218–25.</w:t>
      </w:r>
    </w:p>
    <w:p>
      <w:pPr>
        <w:spacing w:before="0"/>
        <w:ind w:left="23" w:right="172" w:firstLine="719"/>
        <w:jc w:val="both"/>
        <w:rPr>
          <w:sz w:val="20"/>
        </w:rPr>
      </w:pPr>
      <w:bookmarkStart w:name="_bookmark151" w:id="152"/>
      <w:bookmarkEnd w:id="152"/>
      <w:r>
        <w:rPr/>
      </w:r>
      <w:r>
        <w:rPr>
          <w:sz w:val="20"/>
          <w:vertAlign w:val="superscript"/>
        </w:rPr>
        <w:t>89</w:t>
      </w:r>
      <w:r>
        <w:rPr>
          <w:sz w:val="20"/>
          <w:vertAlign w:val="baseline"/>
        </w:rPr>
        <w:t> Djuli Sjafei Purba and others, ‘Pelatihan Penggunaan Software SPSS Dalam Pengolahan Regressi Linear Berganda Untuk Mahasiswa Fakultas Ekonomi Universitas SimalungunDi Masa Pandemi Covid 19’,</w:t>
      </w:r>
      <w:r>
        <w:rPr>
          <w:spacing w:val="-1"/>
          <w:sz w:val="20"/>
          <w:vertAlign w:val="baseline"/>
        </w:rPr>
        <w:t> </w:t>
      </w:r>
      <w:r>
        <w:rPr>
          <w:sz w:val="20"/>
          <w:vertAlign w:val="baseline"/>
        </w:rPr>
        <w:t>5.2 (2021), 202–8.</w:t>
      </w:r>
    </w:p>
    <w:p>
      <w:pPr>
        <w:spacing w:before="0"/>
        <w:ind w:left="743" w:right="0" w:firstLine="0"/>
        <w:jc w:val="both"/>
        <w:rPr>
          <w:sz w:val="20"/>
        </w:rPr>
      </w:pPr>
      <w:bookmarkStart w:name="_bookmark152" w:id="153"/>
      <w:bookmarkEnd w:id="153"/>
      <w:r>
        <w:rPr/>
      </w:r>
      <w:r>
        <w:rPr>
          <w:sz w:val="20"/>
          <w:vertAlign w:val="superscript"/>
        </w:rPr>
        <w:t>90</w:t>
      </w:r>
      <w:r>
        <w:rPr>
          <w:spacing w:val="-6"/>
          <w:sz w:val="20"/>
          <w:vertAlign w:val="baseline"/>
        </w:rPr>
        <w:t> </w:t>
      </w:r>
      <w:r>
        <w:rPr>
          <w:sz w:val="20"/>
          <w:vertAlign w:val="baseline"/>
        </w:rPr>
        <w:t>I</w:t>
      </w:r>
      <w:r>
        <w:rPr>
          <w:spacing w:val="-5"/>
          <w:sz w:val="20"/>
          <w:vertAlign w:val="baseline"/>
        </w:rPr>
        <w:t> </w:t>
      </w:r>
      <w:r>
        <w:rPr>
          <w:sz w:val="20"/>
          <w:vertAlign w:val="baseline"/>
        </w:rPr>
        <w:t>Wayan</w:t>
      </w:r>
      <w:r>
        <w:rPr>
          <w:spacing w:val="-4"/>
          <w:sz w:val="20"/>
          <w:vertAlign w:val="baseline"/>
        </w:rPr>
        <w:t> </w:t>
      </w:r>
      <w:r>
        <w:rPr>
          <w:sz w:val="20"/>
          <w:vertAlign w:val="baseline"/>
        </w:rPr>
        <w:t>Widana</w:t>
      </w:r>
      <w:r>
        <w:rPr>
          <w:spacing w:val="-5"/>
          <w:sz w:val="20"/>
          <w:vertAlign w:val="baseline"/>
        </w:rPr>
        <w:t> </w:t>
      </w:r>
      <w:r>
        <w:rPr>
          <w:sz w:val="20"/>
          <w:vertAlign w:val="baseline"/>
        </w:rPr>
        <w:t>and</w:t>
      </w:r>
      <w:r>
        <w:rPr>
          <w:spacing w:val="-6"/>
          <w:sz w:val="20"/>
          <w:vertAlign w:val="baseline"/>
        </w:rPr>
        <w:t> </w:t>
      </w:r>
      <w:r>
        <w:rPr>
          <w:sz w:val="20"/>
          <w:vertAlign w:val="baseline"/>
        </w:rPr>
        <w:t>Putu</w:t>
      </w:r>
      <w:r>
        <w:rPr>
          <w:spacing w:val="-4"/>
          <w:sz w:val="20"/>
          <w:vertAlign w:val="baseline"/>
        </w:rPr>
        <w:t> </w:t>
      </w:r>
      <w:r>
        <w:rPr>
          <w:sz w:val="20"/>
          <w:vertAlign w:val="baseline"/>
        </w:rPr>
        <w:t>Lia</w:t>
      </w:r>
      <w:r>
        <w:rPr>
          <w:spacing w:val="-5"/>
          <w:sz w:val="20"/>
          <w:vertAlign w:val="baseline"/>
        </w:rPr>
        <w:t> </w:t>
      </w:r>
      <w:r>
        <w:rPr>
          <w:sz w:val="20"/>
          <w:vertAlign w:val="baseline"/>
        </w:rPr>
        <w:t>Muliani,</w:t>
      </w:r>
      <w:r>
        <w:rPr>
          <w:spacing w:val="-2"/>
          <w:sz w:val="20"/>
          <w:vertAlign w:val="baseline"/>
        </w:rPr>
        <w:t> </w:t>
      </w:r>
      <w:r>
        <w:rPr>
          <w:i/>
          <w:sz w:val="20"/>
          <w:vertAlign w:val="baseline"/>
        </w:rPr>
        <w:t>Uji</w:t>
      </w:r>
      <w:r>
        <w:rPr>
          <w:i/>
          <w:spacing w:val="-6"/>
          <w:sz w:val="20"/>
          <w:vertAlign w:val="baseline"/>
        </w:rPr>
        <w:t> </w:t>
      </w:r>
      <w:r>
        <w:rPr>
          <w:i/>
          <w:sz w:val="20"/>
          <w:vertAlign w:val="baseline"/>
        </w:rPr>
        <w:t>Persyaratan</w:t>
      </w:r>
      <w:r>
        <w:rPr>
          <w:i/>
          <w:spacing w:val="-4"/>
          <w:sz w:val="20"/>
          <w:vertAlign w:val="baseline"/>
        </w:rPr>
        <w:t> </w:t>
      </w:r>
      <w:r>
        <w:rPr>
          <w:i/>
          <w:sz w:val="20"/>
          <w:vertAlign w:val="baseline"/>
        </w:rPr>
        <w:t>Analisis</w:t>
      </w:r>
      <w:r>
        <w:rPr>
          <w:i/>
          <w:spacing w:val="-4"/>
          <w:sz w:val="20"/>
          <w:vertAlign w:val="baseline"/>
        </w:rPr>
        <w:t> </w:t>
      </w:r>
      <w:r>
        <w:rPr>
          <w:sz w:val="20"/>
          <w:vertAlign w:val="baseline"/>
        </w:rPr>
        <w:t>(Lumajang:</w:t>
      </w:r>
      <w:r>
        <w:rPr>
          <w:spacing w:val="-6"/>
          <w:sz w:val="20"/>
          <w:vertAlign w:val="baseline"/>
        </w:rPr>
        <w:t> </w:t>
      </w:r>
      <w:r>
        <w:rPr>
          <w:sz w:val="20"/>
          <w:vertAlign w:val="baseline"/>
        </w:rPr>
        <w:t>Klik</w:t>
      </w:r>
      <w:r>
        <w:rPr>
          <w:spacing w:val="-5"/>
          <w:sz w:val="20"/>
          <w:vertAlign w:val="baseline"/>
        </w:rPr>
        <w:t> </w:t>
      </w:r>
      <w:r>
        <w:rPr>
          <w:sz w:val="20"/>
          <w:vertAlign w:val="baseline"/>
        </w:rPr>
        <w:t>Media,</w:t>
      </w:r>
      <w:r>
        <w:rPr>
          <w:spacing w:val="-7"/>
          <w:sz w:val="20"/>
          <w:vertAlign w:val="baseline"/>
        </w:rPr>
        <w:t> </w:t>
      </w:r>
      <w:r>
        <w:rPr>
          <w:spacing w:val="-2"/>
          <w:sz w:val="20"/>
          <w:vertAlign w:val="baseline"/>
        </w:rPr>
        <w:t>2020).</w:t>
      </w:r>
    </w:p>
    <w:p>
      <w:pPr>
        <w:spacing w:after="0"/>
        <w:jc w:val="both"/>
        <w:rPr>
          <w:sz w:val="20"/>
        </w:rPr>
        <w:sectPr>
          <w:pgSz w:w="11910" w:h="16840"/>
          <w:pgMar w:header="0" w:footer="1000" w:top="1360" w:bottom="1200" w:left="1417" w:right="1275"/>
        </w:sectPr>
      </w:pPr>
    </w:p>
    <w:p>
      <w:pPr>
        <w:pStyle w:val="Heading2"/>
        <w:spacing w:line="499" w:lineRule="auto" w:before="55"/>
        <w:ind w:left="3477" w:right="3554" w:firstLine="446"/>
        <w:jc w:val="left"/>
      </w:pPr>
      <w:r>
        <w:rPr/>
        <w:t>Gambar 4.1 Hasil</w:t>
      </w:r>
      <w:r>
        <w:rPr>
          <w:spacing w:val="-15"/>
        </w:rPr>
        <w:t> </w:t>
      </w:r>
      <w:r>
        <w:rPr/>
        <w:t>Uji</w:t>
      </w:r>
      <w:r>
        <w:rPr>
          <w:spacing w:val="-15"/>
        </w:rPr>
        <w:t> </w:t>
      </w:r>
      <w:r>
        <w:rPr/>
        <w:t>Normalitas</w:t>
      </w:r>
    </w:p>
    <w:p>
      <w:pPr>
        <w:spacing w:line="145" w:lineRule="exact" w:before="0"/>
        <w:ind w:left="1866" w:right="0" w:firstLine="0"/>
        <w:jc w:val="left"/>
        <w:rPr>
          <w:rFonts w:ascii="Arial MT"/>
          <w:sz w:val="13"/>
        </w:rPr>
      </w:pPr>
      <w:r>
        <w:rPr>
          <w:rFonts w:ascii="Arial MT"/>
          <w:sz w:val="13"/>
        </w:rPr>
        <mc:AlternateContent>
          <mc:Choice Requires="wps">
            <w:drawing>
              <wp:anchor distT="0" distB="0" distL="0" distR="0" allowOverlap="1" layoutInCell="1" locked="0" behindDoc="0" simplePos="0" relativeHeight="15757312">
                <wp:simplePos x="0" y="0"/>
                <wp:positionH relativeFrom="page">
                  <wp:posOffset>2208269</wp:posOffset>
                </wp:positionH>
                <wp:positionV relativeFrom="paragraph">
                  <wp:posOffset>66989</wp:posOffset>
                </wp:positionV>
                <wp:extent cx="2988945" cy="1819910"/>
                <wp:effectExtent l="0" t="0" r="0" b="0"/>
                <wp:wrapNone/>
                <wp:docPr id="303" name="Group 303"/>
                <wp:cNvGraphicFramePr>
                  <a:graphicFrameLocks/>
                </wp:cNvGraphicFramePr>
                <a:graphic>
                  <a:graphicData uri="http://schemas.microsoft.com/office/word/2010/wordprocessingGroup">
                    <wpg:wgp>
                      <wpg:cNvPr id="303" name="Group 303"/>
                      <wpg:cNvGrpSpPr/>
                      <wpg:grpSpPr>
                        <a:xfrm>
                          <a:off x="0" y="0"/>
                          <a:ext cx="2988945" cy="1819910"/>
                          <a:chExt cx="2988945" cy="1819910"/>
                        </a:xfrm>
                      </wpg:grpSpPr>
                      <wps:wsp>
                        <wps:cNvPr id="304" name="Graphic 304"/>
                        <wps:cNvSpPr/>
                        <wps:spPr>
                          <a:xfrm>
                            <a:off x="36867" y="1897"/>
                            <a:ext cx="2950210" cy="1776730"/>
                          </a:xfrm>
                          <a:custGeom>
                            <a:avLst/>
                            <a:gdLst/>
                            <a:ahLst/>
                            <a:cxnLst/>
                            <a:rect l="l" t="t" r="r" b="b"/>
                            <a:pathLst>
                              <a:path w="2950210" h="1776730">
                                <a:moveTo>
                                  <a:pt x="0" y="0"/>
                                </a:moveTo>
                                <a:lnTo>
                                  <a:pt x="0" y="1776733"/>
                                </a:lnTo>
                              </a:path>
                              <a:path w="2950210" h="1776730">
                                <a:moveTo>
                                  <a:pt x="0" y="1776733"/>
                                </a:moveTo>
                                <a:lnTo>
                                  <a:pt x="2949741" y="1776733"/>
                                </a:lnTo>
                              </a:path>
                              <a:path w="2950210" h="1776730">
                                <a:moveTo>
                                  <a:pt x="2949741" y="1776733"/>
                                </a:moveTo>
                                <a:lnTo>
                                  <a:pt x="2949741" y="0"/>
                                </a:lnTo>
                              </a:path>
                              <a:path w="2950210" h="1776730">
                                <a:moveTo>
                                  <a:pt x="2949741" y="0"/>
                                </a:moveTo>
                                <a:lnTo>
                                  <a:pt x="0" y="0"/>
                                </a:lnTo>
                              </a:path>
                            </a:pathLst>
                          </a:custGeom>
                          <a:ln w="3794">
                            <a:solidFill>
                              <a:srgbClr val="000000"/>
                            </a:solidFill>
                            <a:prstDash val="solid"/>
                          </a:ln>
                        </wps:spPr>
                        <wps:bodyPr wrap="square" lIns="0" tIns="0" rIns="0" bIns="0" rtlCol="0">
                          <a:prstTxWarp prst="textNoShape">
                            <a:avLst/>
                          </a:prstTxWarp>
                          <a:noAutofit/>
                        </wps:bodyPr>
                      </wps:wsp>
                      <wps:wsp>
                        <wps:cNvPr id="305" name="Graphic 305"/>
                        <wps:cNvSpPr/>
                        <wps:spPr>
                          <a:xfrm>
                            <a:off x="0" y="3765"/>
                            <a:ext cx="34290" cy="1773555"/>
                          </a:xfrm>
                          <a:custGeom>
                            <a:avLst/>
                            <a:gdLst/>
                            <a:ahLst/>
                            <a:cxnLst/>
                            <a:rect l="l" t="t" r="r" b="b"/>
                            <a:pathLst>
                              <a:path w="34290" h="1773555">
                                <a:moveTo>
                                  <a:pt x="33888" y="1772963"/>
                                </a:moveTo>
                                <a:lnTo>
                                  <a:pt x="0" y="1772963"/>
                                </a:lnTo>
                              </a:path>
                              <a:path w="34290" h="1773555">
                                <a:moveTo>
                                  <a:pt x="33888" y="1519182"/>
                                </a:moveTo>
                                <a:lnTo>
                                  <a:pt x="0" y="1519182"/>
                                </a:lnTo>
                              </a:path>
                              <a:path w="34290" h="1773555">
                                <a:moveTo>
                                  <a:pt x="33888" y="1265939"/>
                                </a:moveTo>
                                <a:lnTo>
                                  <a:pt x="0" y="1265939"/>
                                </a:lnTo>
                              </a:path>
                              <a:path w="34290" h="1773555">
                                <a:moveTo>
                                  <a:pt x="33888" y="1012971"/>
                                </a:moveTo>
                                <a:lnTo>
                                  <a:pt x="0" y="1012971"/>
                                </a:lnTo>
                              </a:path>
                              <a:path w="34290" h="1773555">
                                <a:moveTo>
                                  <a:pt x="33888" y="759201"/>
                                </a:moveTo>
                                <a:lnTo>
                                  <a:pt x="0" y="759201"/>
                                </a:lnTo>
                              </a:path>
                              <a:path w="34290" h="1773555">
                                <a:moveTo>
                                  <a:pt x="33888" y="506244"/>
                                </a:moveTo>
                                <a:lnTo>
                                  <a:pt x="0" y="506244"/>
                                </a:lnTo>
                              </a:path>
                              <a:path w="34290" h="1773555">
                                <a:moveTo>
                                  <a:pt x="33888" y="252957"/>
                                </a:moveTo>
                                <a:lnTo>
                                  <a:pt x="0" y="252957"/>
                                </a:lnTo>
                              </a:path>
                              <a:path w="34290" h="1773555">
                                <a:moveTo>
                                  <a:pt x="33888" y="0"/>
                                </a:moveTo>
                                <a:lnTo>
                                  <a:pt x="0" y="0"/>
                                </a:lnTo>
                              </a:path>
                            </a:pathLst>
                          </a:custGeom>
                          <a:ln w="2710">
                            <a:solidFill>
                              <a:srgbClr val="000000"/>
                            </a:solidFill>
                            <a:prstDash val="solid"/>
                          </a:ln>
                        </wps:spPr>
                        <wps:bodyPr wrap="square" lIns="0" tIns="0" rIns="0" bIns="0" rtlCol="0">
                          <a:prstTxWarp prst="textNoShape">
                            <a:avLst/>
                          </a:prstTxWarp>
                          <a:noAutofit/>
                        </wps:bodyPr>
                      </wps:wsp>
                      <wps:wsp>
                        <wps:cNvPr id="306" name="Graphic 306"/>
                        <wps:cNvSpPr/>
                        <wps:spPr>
                          <a:xfrm>
                            <a:off x="66963" y="1781618"/>
                            <a:ext cx="2889885" cy="38100"/>
                          </a:xfrm>
                          <a:custGeom>
                            <a:avLst/>
                            <a:gdLst/>
                            <a:ahLst/>
                            <a:cxnLst/>
                            <a:rect l="l" t="t" r="r" b="b"/>
                            <a:pathLst>
                              <a:path w="2889885" h="38100">
                                <a:moveTo>
                                  <a:pt x="0" y="0"/>
                                </a:moveTo>
                                <a:lnTo>
                                  <a:pt x="0" y="37726"/>
                                </a:lnTo>
                              </a:path>
                              <a:path w="2889885" h="38100">
                                <a:moveTo>
                                  <a:pt x="130925" y="0"/>
                                </a:moveTo>
                                <a:lnTo>
                                  <a:pt x="130925" y="19812"/>
                                </a:lnTo>
                              </a:path>
                              <a:path w="2889885" h="38100">
                                <a:moveTo>
                                  <a:pt x="262675" y="0"/>
                                </a:moveTo>
                                <a:lnTo>
                                  <a:pt x="262675" y="19812"/>
                                </a:lnTo>
                              </a:path>
                              <a:path w="2889885" h="38100">
                                <a:moveTo>
                                  <a:pt x="393347" y="0"/>
                                </a:moveTo>
                                <a:lnTo>
                                  <a:pt x="393347" y="19812"/>
                                </a:lnTo>
                              </a:path>
                              <a:path w="2889885" h="38100">
                                <a:moveTo>
                                  <a:pt x="525086" y="0"/>
                                </a:moveTo>
                                <a:lnTo>
                                  <a:pt x="525086" y="37726"/>
                                </a:lnTo>
                              </a:path>
                              <a:path w="2889885" h="38100">
                                <a:moveTo>
                                  <a:pt x="656023" y="0"/>
                                </a:moveTo>
                                <a:lnTo>
                                  <a:pt x="656023" y="19812"/>
                                </a:lnTo>
                              </a:path>
                              <a:path w="2889885" h="38100">
                                <a:moveTo>
                                  <a:pt x="787773" y="0"/>
                                </a:moveTo>
                                <a:lnTo>
                                  <a:pt x="787773" y="19812"/>
                                </a:lnTo>
                              </a:path>
                              <a:path w="2889885" h="38100">
                                <a:moveTo>
                                  <a:pt x="918665" y="0"/>
                                </a:moveTo>
                                <a:lnTo>
                                  <a:pt x="918665" y="19812"/>
                                </a:lnTo>
                              </a:path>
                              <a:path w="2889885" h="38100">
                                <a:moveTo>
                                  <a:pt x="1050459" y="0"/>
                                </a:moveTo>
                                <a:lnTo>
                                  <a:pt x="1050459" y="37726"/>
                                </a:lnTo>
                              </a:path>
                              <a:path w="2889885" h="38100">
                                <a:moveTo>
                                  <a:pt x="1181154" y="0"/>
                                </a:moveTo>
                                <a:lnTo>
                                  <a:pt x="1181154" y="19812"/>
                                </a:lnTo>
                              </a:path>
                              <a:path w="2889885" h="38100">
                                <a:moveTo>
                                  <a:pt x="1312837" y="0"/>
                                </a:moveTo>
                                <a:lnTo>
                                  <a:pt x="1312837" y="19812"/>
                                </a:lnTo>
                              </a:path>
                              <a:path w="2889885" h="38100">
                                <a:moveTo>
                                  <a:pt x="1444631" y="0"/>
                                </a:moveTo>
                                <a:lnTo>
                                  <a:pt x="1444631" y="19812"/>
                                </a:lnTo>
                              </a:path>
                              <a:path w="2889885" h="38100">
                                <a:moveTo>
                                  <a:pt x="1575546" y="0"/>
                                </a:moveTo>
                                <a:lnTo>
                                  <a:pt x="1575546" y="37726"/>
                                </a:lnTo>
                              </a:path>
                              <a:path w="2889885" h="38100">
                                <a:moveTo>
                                  <a:pt x="1707340" y="0"/>
                                </a:moveTo>
                                <a:lnTo>
                                  <a:pt x="1707340" y="19812"/>
                                </a:lnTo>
                              </a:path>
                              <a:path w="2889885" h="38100">
                                <a:moveTo>
                                  <a:pt x="1838254" y="0"/>
                                </a:moveTo>
                                <a:lnTo>
                                  <a:pt x="1838254" y="19812"/>
                                </a:lnTo>
                              </a:path>
                              <a:path w="2889885" h="38100">
                                <a:moveTo>
                                  <a:pt x="1969938" y="0"/>
                                </a:moveTo>
                                <a:lnTo>
                                  <a:pt x="1969938" y="19812"/>
                                </a:lnTo>
                              </a:path>
                              <a:path w="2889885" h="38100">
                                <a:moveTo>
                                  <a:pt x="2100962" y="0"/>
                                </a:moveTo>
                                <a:lnTo>
                                  <a:pt x="2100962" y="37726"/>
                                </a:lnTo>
                              </a:path>
                              <a:path w="2889885" h="38100">
                                <a:moveTo>
                                  <a:pt x="2232646" y="0"/>
                                </a:moveTo>
                                <a:lnTo>
                                  <a:pt x="2232646" y="19812"/>
                                </a:lnTo>
                              </a:path>
                              <a:path w="2889885" h="38100">
                                <a:moveTo>
                                  <a:pt x="2363341" y="0"/>
                                </a:moveTo>
                                <a:lnTo>
                                  <a:pt x="2363341" y="19812"/>
                                </a:lnTo>
                              </a:path>
                              <a:path w="2889885" h="38100">
                                <a:moveTo>
                                  <a:pt x="2495135" y="0"/>
                                </a:moveTo>
                                <a:lnTo>
                                  <a:pt x="2495135" y="19812"/>
                                </a:lnTo>
                              </a:path>
                              <a:path w="2889885" h="38100">
                                <a:moveTo>
                                  <a:pt x="2626049" y="0"/>
                                </a:moveTo>
                                <a:lnTo>
                                  <a:pt x="2626049" y="37726"/>
                                </a:lnTo>
                              </a:path>
                              <a:path w="2889885" h="38100">
                                <a:moveTo>
                                  <a:pt x="2757733" y="0"/>
                                </a:moveTo>
                                <a:lnTo>
                                  <a:pt x="2757733" y="19812"/>
                                </a:lnTo>
                              </a:path>
                              <a:path w="2889885" h="38100">
                                <a:moveTo>
                                  <a:pt x="2889527" y="0"/>
                                </a:moveTo>
                                <a:lnTo>
                                  <a:pt x="2889527" y="19812"/>
                                </a:lnTo>
                              </a:path>
                            </a:pathLst>
                          </a:custGeom>
                          <a:ln w="2710">
                            <a:solidFill>
                              <a:srgbClr val="000000"/>
                            </a:solidFill>
                            <a:prstDash val="solid"/>
                          </a:ln>
                        </wps:spPr>
                        <wps:bodyPr wrap="square" lIns="0" tIns="0" rIns="0" bIns="0" rtlCol="0">
                          <a:prstTxWarp prst="textNoShape">
                            <a:avLst/>
                          </a:prstTxWarp>
                          <a:noAutofit/>
                        </wps:bodyPr>
                      </wps:wsp>
                      <wps:wsp>
                        <wps:cNvPr id="307" name="Graphic 307"/>
                        <wps:cNvSpPr/>
                        <wps:spPr>
                          <a:xfrm>
                            <a:off x="66963" y="1649426"/>
                            <a:ext cx="131445" cy="123189"/>
                          </a:xfrm>
                          <a:custGeom>
                            <a:avLst/>
                            <a:gdLst/>
                            <a:ahLst/>
                            <a:cxnLst/>
                            <a:rect l="l" t="t" r="r" b="b"/>
                            <a:pathLst>
                              <a:path w="131445" h="123189">
                                <a:moveTo>
                                  <a:pt x="130936" y="0"/>
                                </a:moveTo>
                                <a:lnTo>
                                  <a:pt x="0" y="0"/>
                                </a:lnTo>
                                <a:lnTo>
                                  <a:pt x="0" y="122720"/>
                                </a:lnTo>
                                <a:lnTo>
                                  <a:pt x="130936" y="122720"/>
                                </a:lnTo>
                                <a:lnTo>
                                  <a:pt x="130936" y="0"/>
                                </a:lnTo>
                                <a:close/>
                              </a:path>
                            </a:pathLst>
                          </a:custGeom>
                          <a:solidFill>
                            <a:srgbClr val="93BDFF"/>
                          </a:solidFill>
                        </wps:spPr>
                        <wps:bodyPr wrap="square" lIns="0" tIns="0" rIns="0" bIns="0" rtlCol="0">
                          <a:prstTxWarp prst="textNoShape">
                            <a:avLst/>
                          </a:prstTxWarp>
                          <a:noAutofit/>
                        </wps:bodyPr>
                      </wps:wsp>
                      <wps:wsp>
                        <wps:cNvPr id="308" name="Graphic 308"/>
                        <wps:cNvSpPr/>
                        <wps:spPr>
                          <a:xfrm>
                            <a:off x="66963" y="1649426"/>
                            <a:ext cx="131445" cy="123189"/>
                          </a:xfrm>
                          <a:custGeom>
                            <a:avLst/>
                            <a:gdLst/>
                            <a:ahLst/>
                            <a:cxnLst/>
                            <a:rect l="l" t="t" r="r" b="b"/>
                            <a:pathLst>
                              <a:path w="131445" h="123189">
                                <a:moveTo>
                                  <a:pt x="130936" y="122720"/>
                                </a:moveTo>
                                <a:lnTo>
                                  <a:pt x="130936" y="0"/>
                                </a:lnTo>
                                <a:lnTo>
                                  <a:pt x="0" y="0"/>
                                </a:lnTo>
                                <a:lnTo>
                                  <a:pt x="0" y="122720"/>
                                </a:lnTo>
                              </a:path>
                            </a:pathLst>
                          </a:custGeom>
                          <a:ln w="2710">
                            <a:solidFill>
                              <a:srgbClr val="000000"/>
                            </a:solidFill>
                            <a:prstDash val="solid"/>
                          </a:ln>
                        </wps:spPr>
                        <wps:bodyPr wrap="square" lIns="0" tIns="0" rIns="0" bIns="0" rtlCol="0">
                          <a:prstTxWarp prst="textNoShape">
                            <a:avLst/>
                          </a:prstTxWarp>
                          <a:noAutofit/>
                        </wps:bodyPr>
                      </wps:wsp>
                      <wps:wsp>
                        <wps:cNvPr id="309" name="Graphic 309"/>
                        <wps:cNvSpPr/>
                        <wps:spPr>
                          <a:xfrm>
                            <a:off x="1117422" y="1649426"/>
                            <a:ext cx="130810" cy="123189"/>
                          </a:xfrm>
                          <a:custGeom>
                            <a:avLst/>
                            <a:gdLst/>
                            <a:ahLst/>
                            <a:cxnLst/>
                            <a:rect l="l" t="t" r="r" b="b"/>
                            <a:pathLst>
                              <a:path w="130810" h="123189">
                                <a:moveTo>
                                  <a:pt x="130661" y="0"/>
                                </a:moveTo>
                                <a:lnTo>
                                  <a:pt x="0" y="0"/>
                                </a:lnTo>
                                <a:lnTo>
                                  <a:pt x="0" y="122720"/>
                                </a:lnTo>
                                <a:lnTo>
                                  <a:pt x="130661" y="122720"/>
                                </a:lnTo>
                                <a:lnTo>
                                  <a:pt x="130661" y="0"/>
                                </a:lnTo>
                                <a:close/>
                              </a:path>
                            </a:pathLst>
                          </a:custGeom>
                          <a:solidFill>
                            <a:srgbClr val="93BDFF"/>
                          </a:solidFill>
                        </wps:spPr>
                        <wps:bodyPr wrap="square" lIns="0" tIns="0" rIns="0" bIns="0" rtlCol="0">
                          <a:prstTxWarp prst="textNoShape">
                            <a:avLst/>
                          </a:prstTxWarp>
                          <a:noAutofit/>
                        </wps:bodyPr>
                      </wps:wsp>
                      <wps:wsp>
                        <wps:cNvPr id="310" name="Graphic 310"/>
                        <wps:cNvSpPr/>
                        <wps:spPr>
                          <a:xfrm>
                            <a:off x="1117422" y="1649426"/>
                            <a:ext cx="130810" cy="123189"/>
                          </a:xfrm>
                          <a:custGeom>
                            <a:avLst/>
                            <a:gdLst/>
                            <a:ahLst/>
                            <a:cxnLst/>
                            <a:rect l="l" t="t" r="r" b="b"/>
                            <a:pathLst>
                              <a:path w="130810" h="123189">
                                <a:moveTo>
                                  <a:pt x="130661" y="122720"/>
                                </a:moveTo>
                                <a:lnTo>
                                  <a:pt x="130661" y="0"/>
                                </a:lnTo>
                                <a:lnTo>
                                  <a:pt x="0" y="0"/>
                                </a:lnTo>
                                <a:lnTo>
                                  <a:pt x="0" y="122720"/>
                                </a:lnTo>
                              </a:path>
                            </a:pathLst>
                          </a:custGeom>
                          <a:ln w="2710">
                            <a:solidFill>
                              <a:srgbClr val="000000"/>
                            </a:solidFill>
                            <a:prstDash val="solid"/>
                          </a:ln>
                        </wps:spPr>
                        <wps:bodyPr wrap="square" lIns="0" tIns="0" rIns="0" bIns="0" rtlCol="0">
                          <a:prstTxWarp prst="textNoShape">
                            <a:avLst/>
                          </a:prstTxWarp>
                          <a:noAutofit/>
                        </wps:bodyPr>
                      </wps:wsp>
                      <wps:wsp>
                        <wps:cNvPr id="311" name="Graphic 311"/>
                        <wps:cNvSpPr/>
                        <wps:spPr>
                          <a:xfrm>
                            <a:off x="1511594" y="1522947"/>
                            <a:ext cx="131445" cy="249554"/>
                          </a:xfrm>
                          <a:custGeom>
                            <a:avLst/>
                            <a:gdLst/>
                            <a:ahLst/>
                            <a:cxnLst/>
                            <a:rect l="l" t="t" r="r" b="b"/>
                            <a:pathLst>
                              <a:path w="131445" h="249554">
                                <a:moveTo>
                                  <a:pt x="130936" y="0"/>
                                </a:moveTo>
                                <a:lnTo>
                                  <a:pt x="0" y="0"/>
                                </a:lnTo>
                                <a:lnTo>
                                  <a:pt x="0" y="249199"/>
                                </a:lnTo>
                                <a:lnTo>
                                  <a:pt x="130936" y="249199"/>
                                </a:lnTo>
                                <a:lnTo>
                                  <a:pt x="130936" y="0"/>
                                </a:lnTo>
                                <a:close/>
                              </a:path>
                            </a:pathLst>
                          </a:custGeom>
                          <a:solidFill>
                            <a:srgbClr val="93BDFF"/>
                          </a:solidFill>
                        </wps:spPr>
                        <wps:bodyPr wrap="square" lIns="0" tIns="0" rIns="0" bIns="0" rtlCol="0">
                          <a:prstTxWarp prst="textNoShape">
                            <a:avLst/>
                          </a:prstTxWarp>
                          <a:noAutofit/>
                        </wps:bodyPr>
                      </wps:wsp>
                      <wps:wsp>
                        <wps:cNvPr id="312" name="Graphic 312"/>
                        <wps:cNvSpPr/>
                        <wps:spPr>
                          <a:xfrm>
                            <a:off x="1511594" y="1522947"/>
                            <a:ext cx="131445" cy="249554"/>
                          </a:xfrm>
                          <a:custGeom>
                            <a:avLst/>
                            <a:gdLst/>
                            <a:ahLst/>
                            <a:cxnLst/>
                            <a:rect l="l" t="t" r="r" b="b"/>
                            <a:pathLst>
                              <a:path w="131445" h="249554">
                                <a:moveTo>
                                  <a:pt x="130936" y="249199"/>
                                </a:moveTo>
                                <a:lnTo>
                                  <a:pt x="130936" y="0"/>
                                </a:lnTo>
                                <a:lnTo>
                                  <a:pt x="0" y="0"/>
                                </a:lnTo>
                                <a:lnTo>
                                  <a:pt x="0" y="249199"/>
                                </a:lnTo>
                              </a:path>
                            </a:pathLst>
                          </a:custGeom>
                          <a:ln w="2710">
                            <a:solidFill>
                              <a:srgbClr val="000000"/>
                            </a:solidFill>
                            <a:prstDash val="solid"/>
                          </a:ln>
                        </wps:spPr>
                        <wps:bodyPr wrap="square" lIns="0" tIns="0" rIns="0" bIns="0" rtlCol="0">
                          <a:prstTxWarp prst="textNoShape">
                            <a:avLst/>
                          </a:prstTxWarp>
                          <a:noAutofit/>
                        </wps:bodyPr>
                      </wps:wsp>
                      <wps:wsp>
                        <wps:cNvPr id="313" name="Graphic 313"/>
                        <wps:cNvSpPr/>
                        <wps:spPr>
                          <a:xfrm>
                            <a:off x="1774302" y="1269704"/>
                            <a:ext cx="131445" cy="502920"/>
                          </a:xfrm>
                          <a:custGeom>
                            <a:avLst/>
                            <a:gdLst/>
                            <a:ahLst/>
                            <a:cxnLst/>
                            <a:rect l="l" t="t" r="r" b="b"/>
                            <a:pathLst>
                              <a:path w="131445" h="502920">
                                <a:moveTo>
                                  <a:pt x="130936" y="0"/>
                                </a:moveTo>
                                <a:lnTo>
                                  <a:pt x="0" y="0"/>
                                </a:lnTo>
                                <a:lnTo>
                                  <a:pt x="0" y="502441"/>
                                </a:lnTo>
                                <a:lnTo>
                                  <a:pt x="130936" y="502441"/>
                                </a:lnTo>
                                <a:lnTo>
                                  <a:pt x="130936" y="0"/>
                                </a:lnTo>
                                <a:close/>
                              </a:path>
                            </a:pathLst>
                          </a:custGeom>
                          <a:solidFill>
                            <a:srgbClr val="93BDFF"/>
                          </a:solidFill>
                        </wps:spPr>
                        <wps:bodyPr wrap="square" lIns="0" tIns="0" rIns="0" bIns="0" rtlCol="0">
                          <a:prstTxWarp prst="textNoShape">
                            <a:avLst/>
                          </a:prstTxWarp>
                          <a:noAutofit/>
                        </wps:bodyPr>
                      </wps:wsp>
                      <wps:wsp>
                        <wps:cNvPr id="314" name="Graphic 314"/>
                        <wps:cNvSpPr/>
                        <wps:spPr>
                          <a:xfrm>
                            <a:off x="1774302" y="1269704"/>
                            <a:ext cx="131445" cy="502920"/>
                          </a:xfrm>
                          <a:custGeom>
                            <a:avLst/>
                            <a:gdLst/>
                            <a:ahLst/>
                            <a:cxnLst/>
                            <a:rect l="l" t="t" r="r" b="b"/>
                            <a:pathLst>
                              <a:path w="131445" h="502920">
                                <a:moveTo>
                                  <a:pt x="130936" y="502441"/>
                                </a:moveTo>
                                <a:lnTo>
                                  <a:pt x="130936" y="0"/>
                                </a:lnTo>
                                <a:lnTo>
                                  <a:pt x="0" y="0"/>
                                </a:lnTo>
                                <a:lnTo>
                                  <a:pt x="0" y="502441"/>
                                </a:lnTo>
                              </a:path>
                            </a:pathLst>
                          </a:custGeom>
                          <a:ln w="2710">
                            <a:solidFill>
                              <a:srgbClr val="000000"/>
                            </a:solidFill>
                            <a:prstDash val="solid"/>
                          </a:ln>
                        </wps:spPr>
                        <wps:bodyPr wrap="square" lIns="0" tIns="0" rIns="0" bIns="0" rtlCol="0">
                          <a:prstTxWarp prst="textNoShape">
                            <a:avLst/>
                          </a:prstTxWarp>
                          <a:noAutofit/>
                        </wps:bodyPr>
                      </wps:wsp>
                      <wps:wsp>
                        <wps:cNvPr id="315" name="Graphic 315"/>
                        <wps:cNvSpPr/>
                        <wps:spPr>
                          <a:xfrm>
                            <a:off x="1905217" y="890247"/>
                            <a:ext cx="132080" cy="882015"/>
                          </a:xfrm>
                          <a:custGeom>
                            <a:avLst/>
                            <a:gdLst/>
                            <a:ahLst/>
                            <a:cxnLst/>
                            <a:rect l="l" t="t" r="r" b="b"/>
                            <a:pathLst>
                              <a:path w="132080" h="882015">
                                <a:moveTo>
                                  <a:pt x="131749" y="0"/>
                                </a:moveTo>
                                <a:lnTo>
                                  <a:pt x="0" y="0"/>
                                </a:lnTo>
                                <a:lnTo>
                                  <a:pt x="0" y="881899"/>
                                </a:lnTo>
                                <a:lnTo>
                                  <a:pt x="131749" y="881899"/>
                                </a:lnTo>
                                <a:lnTo>
                                  <a:pt x="131749" y="0"/>
                                </a:lnTo>
                                <a:close/>
                              </a:path>
                            </a:pathLst>
                          </a:custGeom>
                          <a:solidFill>
                            <a:srgbClr val="93BDFF"/>
                          </a:solidFill>
                        </wps:spPr>
                        <wps:bodyPr wrap="square" lIns="0" tIns="0" rIns="0" bIns="0" rtlCol="0">
                          <a:prstTxWarp prst="textNoShape">
                            <a:avLst/>
                          </a:prstTxWarp>
                          <a:noAutofit/>
                        </wps:bodyPr>
                      </wps:wsp>
                      <wps:wsp>
                        <wps:cNvPr id="316" name="Graphic 316"/>
                        <wps:cNvSpPr/>
                        <wps:spPr>
                          <a:xfrm>
                            <a:off x="1905217" y="890247"/>
                            <a:ext cx="132080" cy="882015"/>
                          </a:xfrm>
                          <a:custGeom>
                            <a:avLst/>
                            <a:gdLst/>
                            <a:ahLst/>
                            <a:cxnLst/>
                            <a:rect l="l" t="t" r="r" b="b"/>
                            <a:pathLst>
                              <a:path w="132080" h="882015">
                                <a:moveTo>
                                  <a:pt x="131749" y="881899"/>
                                </a:moveTo>
                                <a:lnTo>
                                  <a:pt x="131749" y="0"/>
                                </a:lnTo>
                                <a:lnTo>
                                  <a:pt x="0" y="0"/>
                                </a:lnTo>
                                <a:lnTo>
                                  <a:pt x="0" y="881899"/>
                                </a:lnTo>
                              </a:path>
                            </a:pathLst>
                          </a:custGeom>
                          <a:ln w="2710">
                            <a:solidFill>
                              <a:srgbClr val="000000"/>
                            </a:solidFill>
                            <a:prstDash val="solid"/>
                          </a:ln>
                        </wps:spPr>
                        <wps:bodyPr wrap="square" lIns="0" tIns="0" rIns="0" bIns="0" rtlCol="0">
                          <a:prstTxWarp prst="textNoShape">
                            <a:avLst/>
                          </a:prstTxWarp>
                          <a:noAutofit/>
                        </wps:bodyPr>
                      </wps:wsp>
                      <wps:wsp>
                        <wps:cNvPr id="317" name="Graphic 317"/>
                        <wps:cNvSpPr/>
                        <wps:spPr>
                          <a:xfrm>
                            <a:off x="2036901" y="130199"/>
                            <a:ext cx="131445" cy="1642110"/>
                          </a:xfrm>
                          <a:custGeom>
                            <a:avLst/>
                            <a:gdLst/>
                            <a:ahLst/>
                            <a:cxnLst/>
                            <a:rect l="l" t="t" r="r" b="b"/>
                            <a:pathLst>
                              <a:path w="131445" h="1642110">
                                <a:moveTo>
                                  <a:pt x="130936" y="0"/>
                                </a:moveTo>
                                <a:lnTo>
                                  <a:pt x="0" y="0"/>
                                </a:lnTo>
                                <a:lnTo>
                                  <a:pt x="0" y="1641946"/>
                                </a:lnTo>
                                <a:lnTo>
                                  <a:pt x="130936" y="1641946"/>
                                </a:lnTo>
                                <a:lnTo>
                                  <a:pt x="130936" y="0"/>
                                </a:lnTo>
                                <a:close/>
                              </a:path>
                            </a:pathLst>
                          </a:custGeom>
                          <a:solidFill>
                            <a:srgbClr val="93BDFF"/>
                          </a:solidFill>
                        </wps:spPr>
                        <wps:bodyPr wrap="square" lIns="0" tIns="0" rIns="0" bIns="0" rtlCol="0">
                          <a:prstTxWarp prst="textNoShape">
                            <a:avLst/>
                          </a:prstTxWarp>
                          <a:noAutofit/>
                        </wps:bodyPr>
                      </wps:wsp>
                      <wps:wsp>
                        <wps:cNvPr id="318" name="Graphic 318"/>
                        <wps:cNvSpPr/>
                        <wps:spPr>
                          <a:xfrm>
                            <a:off x="2036901" y="130199"/>
                            <a:ext cx="131445" cy="1642110"/>
                          </a:xfrm>
                          <a:custGeom>
                            <a:avLst/>
                            <a:gdLst/>
                            <a:ahLst/>
                            <a:cxnLst/>
                            <a:rect l="l" t="t" r="r" b="b"/>
                            <a:pathLst>
                              <a:path w="131445" h="1642110">
                                <a:moveTo>
                                  <a:pt x="130936" y="1641946"/>
                                </a:moveTo>
                                <a:lnTo>
                                  <a:pt x="130936" y="0"/>
                                </a:lnTo>
                                <a:lnTo>
                                  <a:pt x="0" y="0"/>
                                </a:lnTo>
                                <a:lnTo>
                                  <a:pt x="0" y="1641946"/>
                                </a:lnTo>
                              </a:path>
                            </a:pathLst>
                          </a:custGeom>
                          <a:ln w="2710">
                            <a:solidFill>
                              <a:srgbClr val="000000"/>
                            </a:solidFill>
                            <a:prstDash val="solid"/>
                          </a:ln>
                        </wps:spPr>
                        <wps:bodyPr wrap="square" lIns="0" tIns="0" rIns="0" bIns="0" rtlCol="0">
                          <a:prstTxWarp prst="textNoShape">
                            <a:avLst/>
                          </a:prstTxWarp>
                          <a:noAutofit/>
                        </wps:bodyPr>
                      </wps:wsp>
                      <wps:wsp>
                        <wps:cNvPr id="319" name="Graphic 319"/>
                        <wps:cNvSpPr/>
                        <wps:spPr>
                          <a:xfrm>
                            <a:off x="2167925" y="383266"/>
                            <a:ext cx="132080" cy="1389380"/>
                          </a:xfrm>
                          <a:custGeom>
                            <a:avLst/>
                            <a:gdLst/>
                            <a:ahLst/>
                            <a:cxnLst/>
                            <a:rect l="l" t="t" r="r" b="b"/>
                            <a:pathLst>
                              <a:path w="132080" h="1389380">
                                <a:moveTo>
                                  <a:pt x="131749" y="0"/>
                                </a:moveTo>
                                <a:lnTo>
                                  <a:pt x="0" y="0"/>
                                </a:lnTo>
                                <a:lnTo>
                                  <a:pt x="0" y="1388879"/>
                                </a:lnTo>
                                <a:lnTo>
                                  <a:pt x="131749" y="1388879"/>
                                </a:lnTo>
                                <a:lnTo>
                                  <a:pt x="131749" y="0"/>
                                </a:lnTo>
                                <a:close/>
                              </a:path>
                            </a:pathLst>
                          </a:custGeom>
                          <a:solidFill>
                            <a:srgbClr val="93BDFF"/>
                          </a:solidFill>
                        </wps:spPr>
                        <wps:bodyPr wrap="square" lIns="0" tIns="0" rIns="0" bIns="0" rtlCol="0">
                          <a:prstTxWarp prst="textNoShape">
                            <a:avLst/>
                          </a:prstTxWarp>
                          <a:noAutofit/>
                        </wps:bodyPr>
                      </wps:wsp>
                      <wps:wsp>
                        <wps:cNvPr id="320" name="Graphic 320"/>
                        <wps:cNvSpPr/>
                        <wps:spPr>
                          <a:xfrm>
                            <a:off x="2167925" y="383266"/>
                            <a:ext cx="132080" cy="1389380"/>
                          </a:xfrm>
                          <a:custGeom>
                            <a:avLst/>
                            <a:gdLst/>
                            <a:ahLst/>
                            <a:cxnLst/>
                            <a:rect l="l" t="t" r="r" b="b"/>
                            <a:pathLst>
                              <a:path w="132080" h="1389380">
                                <a:moveTo>
                                  <a:pt x="131749" y="1388879"/>
                                </a:moveTo>
                                <a:lnTo>
                                  <a:pt x="131749" y="0"/>
                                </a:lnTo>
                                <a:lnTo>
                                  <a:pt x="0" y="0"/>
                                </a:lnTo>
                                <a:lnTo>
                                  <a:pt x="0" y="1388879"/>
                                </a:lnTo>
                              </a:path>
                            </a:pathLst>
                          </a:custGeom>
                          <a:ln w="2710">
                            <a:solidFill>
                              <a:srgbClr val="000000"/>
                            </a:solidFill>
                            <a:prstDash val="solid"/>
                          </a:ln>
                        </wps:spPr>
                        <wps:bodyPr wrap="square" lIns="0" tIns="0" rIns="0" bIns="0" rtlCol="0">
                          <a:prstTxWarp prst="textNoShape">
                            <a:avLst/>
                          </a:prstTxWarp>
                          <a:noAutofit/>
                        </wps:bodyPr>
                      </wps:wsp>
                      <wps:wsp>
                        <wps:cNvPr id="321" name="Graphic 321"/>
                        <wps:cNvSpPr/>
                        <wps:spPr>
                          <a:xfrm>
                            <a:off x="2299609" y="636443"/>
                            <a:ext cx="130810" cy="1136015"/>
                          </a:xfrm>
                          <a:custGeom>
                            <a:avLst/>
                            <a:gdLst/>
                            <a:ahLst/>
                            <a:cxnLst/>
                            <a:rect l="l" t="t" r="r" b="b"/>
                            <a:pathLst>
                              <a:path w="130810" h="1136015">
                                <a:moveTo>
                                  <a:pt x="130661" y="0"/>
                                </a:moveTo>
                                <a:lnTo>
                                  <a:pt x="0" y="0"/>
                                </a:lnTo>
                                <a:lnTo>
                                  <a:pt x="0" y="1135702"/>
                                </a:lnTo>
                                <a:lnTo>
                                  <a:pt x="130661" y="1135702"/>
                                </a:lnTo>
                                <a:lnTo>
                                  <a:pt x="130661" y="0"/>
                                </a:lnTo>
                                <a:close/>
                              </a:path>
                            </a:pathLst>
                          </a:custGeom>
                          <a:solidFill>
                            <a:srgbClr val="93BDFF"/>
                          </a:solidFill>
                        </wps:spPr>
                        <wps:bodyPr wrap="square" lIns="0" tIns="0" rIns="0" bIns="0" rtlCol="0">
                          <a:prstTxWarp prst="textNoShape">
                            <a:avLst/>
                          </a:prstTxWarp>
                          <a:noAutofit/>
                        </wps:bodyPr>
                      </wps:wsp>
                      <wps:wsp>
                        <wps:cNvPr id="322" name="Graphic 322"/>
                        <wps:cNvSpPr/>
                        <wps:spPr>
                          <a:xfrm>
                            <a:off x="2299609" y="636443"/>
                            <a:ext cx="130810" cy="1136015"/>
                          </a:xfrm>
                          <a:custGeom>
                            <a:avLst/>
                            <a:gdLst/>
                            <a:ahLst/>
                            <a:cxnLst/>
                            <a:rect l="l" t="t" r="r" b="b"/>
                            <a:pathLst>
                              <a:path w="130810" h="1136015">
                                <a:moveTo>
                                  <a:pt x="130661" y="1135702"/>
                                </a:moveTo>
                                <a:lnTo>
                                  <a:pt x="130661" y="0"/>
                                </a:lnTo>
                                <a:lnTo>
                                  <a:pt x="0" y="0"/>
                                </a:lnTo>
                                <a:lnTo>
                                  <a:pt x="0" y="1135702"/>
                                </a:lnTo>
                              </a:path>
                            </a:pathLst>
                          </a:custGeom>
                          <a:ln w="2710">
                            <a:solidFill>
                              <a:srgbClr val="000000"/>
                            </a:solidFill>
                            <a:prstDash val="solid"/>
                          </a:ln>
                        </wps:spPr>
                        <wps:bodyPr wrap="square" lIns="0" tIns="0" rIns="0" bIns="0" rtlCol="0">
                          <a:prstTxWarp prst="textNoShape">
                            <a:avLst/>
                          </a:prstTxWarp>
                          <a:noAutofit/>
                        </wps:bodyPr>
                      </wps:wsp>
                      <wps:wsp>
                        <wps:cNvPr id="323" name="Graphic 323"/>
                        <wps:cNvSpPr/>
                        <wps:spPr>
                          <a:xfrm>
                            <a:off x="2430304" y="1269704"/>
                            <a:ext cx="132080" cy="502920"/>
                          </a:xfrm>
                          <a:custGeom>
                            <a:avLst/>
                            <a:gdLst/>
                            <a:ahLst/>
                            <a:cxnLst/>
                            <a:rect l="l" t="t" r="r" b="b"/>
                            <a:pathLst>
                              <a:path w="132080" h="502920">
                                <a:moveTo>
                                  <a:pt x="131749" y="0"/>
                                </a:moveTo>
                                <a:lnTo>
                                  <a:pt x="0" y="0"/>
                                </a:lnTo>
                                <a:lnTo>
                                  <a:pt x="0" y="502441"/>
                                </a:lnTo>
                                <a:lnTo>
                                  <a:pt x="131749" y="502441"/>
                                </a:lnTo>
                                <a:lnTo>
                                  <a:pt x="131749" y="0"/>
                                </a:lnTo>
                                <a:close/>
                              </a:path>
                            </a:pathLst>
                          </a:custGeom>
                          <a:solidFill>
                            <a:srgbClr val="93BDFF"/>
                          </a:solidFill>
                        </wps:spPr>
                        <wps:bodyPr wrap="square" lIns="0" tIns="0" rIns="0" bIns="0" rtlCol="0">
                          <a:prstTxWarp prst="textNoShape">
                            <a:avLst/>
                          </a:prstTxWarp>
                          <a:noAutofit/>
                        </wps:bodyPr>
                      </wps:wsp>
                      <wps:wsp>
                        <wps:cNvPr id="324" name="Graphic 324"/>
                        <wps:cNvSpPr/>
                        <wps:spPr>
                          <a:xfrm>
                            <a:off x="2430304" y="1269704"/>
                            <a:ext cx="132080" cy="502920"/>
                          </a:xfrm>
                          <a:custGeom>
                            <a:avLst/>
                            <a:gdLst/>
                            <a:ahLst/>
                            <a:cxnLst/>
                            <a:rect l="l" t="t" r="r" b="b"/>
                            <a:pathLst>
                              <a:path w="132080" h="502920">
                                <a:moveTo>
                                  <a:pt x="131749" y="502441"/>
                                </a:moveTo>
                                <a:lnTo>
                                  <a:pt x="131749" y="0"/>
                                </a:lnTo>
                                <a:lnTo>
                                  <a:pt x="0" y="0"/>
                                </a:lnTo>
                                <a:lnTo>
                                  <a:pt x="0" y="502441"/>
                                </a:lnTo>
                              </a:path>
                            </a:pathLst>
                          </a:custGeom>
                          <a:ln w="2710">
                            <a:solidFill>
                              <a:srgbClr val="000000"/>
                            </a:solidFill>
                            <a:prstDash val="solid"/>
                          </a:ln>
                        </wps:spPr>
                        <wps:bodyPr wrap="square" lIns="0" tIns="0" rIns="0" bIns="0" rtlCol="0">
                          <a:prstTxWarp prst="textNoShape">
                            <a:avLst/>
                          </a:prstTxWarp>
                          <a:noAutofit/>
                        </wps:bodyPr>
                      </wps:wsp>
                      <wps:wsp>
                        <wps:cNvPr id="325" name="Graphic 325"/>
                        <wps:cNvSpPr/>
                        <wps:spPr>
                          <a:xfrm>
                            <a:off x="2562098" y="1016725"/>
                            <a:ext cx="131445" cy="755650"/>
                          </a:xfrm>
                          <a:custGeom>
                            <a:avLst/>
                            <a:gdLst/>
                            <a:ahLst/>
                            <a:cxnLst/>
                            <a:rect l="l" t="t" r="r" b="b"/>
                            <a:pathLst>
                              <a:path w="131445" h="755650">
                                <a:moveTo>
                                  <a:pt x="130936" y="0"/>
                                </a:moveTo>
                                <a:lnTo>
                                  <a:pt x="0" y="0"/>
                                </a:lnTo>
                                <a:lnTo>
                                  <a:pt x="0" y="755421"/>
                                </a:lnTo>
                                <a:lnTo>
                                  <a:pt x="130936" y="755421"/>
                                </a:lnTo>
                                <a:lnTo>
                                  <a:pt x="130936" y="0"/>
                                </a:lnTo>
                                <a:close/>
                              </a:path>
                            </a:pathLst>
                          </a:custGeom>
                          <a:solidFill>
                            <a:srgbClr val="93BDFF"/>
                          </a:solidFill>
                        </wps:spPr>
                        <wps:bodyPr wrap="square" lIns="0" tIns="0" rIns="0" bIns="0" rtlCol="0">
                          <a:prstTxWarp prst="textNoShape">
                            <a:avLst/>
                          </a:prstTxWarp>
                          <a:noAutofit/>
                        </wps:bodyPr>
                      </wps:wsp>
                      <wps:wsp>
                        <wps:cNvPr id="326" name="Graphic 326"/>
                        <wps:cNvSpPr/>
                        <wps:spPr>
                          <a:xfrm>
                            <a:off x="2562098" y="1016725"/>
                            <a:ext cx="131445" cy="755650"/>
                          </a:xfrm>
                          <a:custGeom>
                            <a:avLst/>
                            <a:gdLst/>
                            <a:ahLst/>
                            <a:cxnLst/>
                            <a:rect l="l" t="t" r="r" b="b"/>
                            <a:pathLst>
                              <a:path w="131445" h="755650">
                                <a:moveTo>
                                  <a:pt x="130936" y="755421"/>
                                </a:moveTo>
                                <a:lnTo>
                                  <a:pt x="130936" y="0"/>
                                </a:lnTo>
                                <a:lnTo>
                                  <a:pt x="0" y="0"/>
                                </a:lnTo>
                                <a:lnTo>
                                  <a:pt x="0" y="755421"/>
                                </a:lnTo>
                              </a:path>
                            </a:pathLst>
                          </a:custGeom>
                          <a:ln w="2710">
                            <a:solidFill>
                              <a:srgbClr val="000000"/>
                            </a:solidFill>
                            <a:prstDash val="solid"/>
                          </a:ln>
                        </wps:spPr>
                        <wps:bodyPr wrap="square" lIns="0" tIns="0" rIns="0" bIns="0" rtlCol="0">
                          <a:prstTxWarp prst="textNoShape">
                            <a:avLst/>
                          </a:prstTxWarp>
                          <a:noAutofit/>
                        </wps:bodyPr>
                      </wps:wsp>
                      <wps:wsp>
                        <wps:cNvPr id="327" name="Graphic 327"/>
                        <wps:cNvSpPr/>
                        <wps:spPr>
                          <a:xfrm>
                            <a:off x="2693012" y="1649426"/>
                            <a:ext cx="132080" cy="123189"/>
                          </a:xfrm>
                          <a:custGeom>
                            <a:avLst/>
                            <a:gdLst/>
                            <a:ahLst/>
                            <a:cxnLst/>
                            <a:rect l="l" t="t" r="r" b="b"/>
                            <a:pathLst>
                              <a:path w="132080" h="123189">
                                <a:moveTo>
                                  <a:pt x="131749" y="0"/>
                                </a:moveTo>
                                <a:lnTo>
                                  <a:pt x="0" y="0"/>
                                </a:lnTo>
                                <a:lnTo>
                                  <a:pt x="0" y="122720"/>
                                </a:lnTo>
                                <a:lnTo>
                                  <a:pt x="131749" y="122720"/>
                                </a:lnTo>
                                <a:lnTo>
                                  <a:pt x="131749" y="0"/>
                                </a:lnTo>
                                <a:close/>
                              </a:path>
                            </a:pathLst>
                          </a:custGeom>
                          <a:solidFill>
                            <a:srgbClr val="93BDFF"/>
                          </a:solidFill>
                        </wps:spPr>
                        <wps:bodyPr wrap="square" lIns="0" tIns="0" rIns="0" bIns="0" rtlCol="0">
                          <a:prstTxWarp prst="textNoShape">
                            <a:avLst/>
                          </a:prstTxWarp>
                          <a:noAutofit/>
                        </wps:bodyPr>
                      </wps:wsp>
                      <wps:wsp>
                        <wps:cNvPr id="328" name="Graphic 328"/>
                        <wps:cNvSpPr/>
                        <wps:spPr>
                          <a:xfrm>
                            <a:off x="2693012" y="1649426"/>
                            <a:ext cx="132080" cy="123189"/>
                          </a:xfrm>
                          <a:custGeom>
                            <a:avLst/>
                            <a:gdLst/>
                            <a:ahLst/>
                            <a:cxnLst/>
                            <a:rect l="l" t="t" r="r" b="b"/>
                            <a:pathLst>
                              <a:path w="132080" h="123189">
                                <a:moveTo>
                                  <a:pt x="131749" y="122720"/>
                                </a:moveTo>
                                <a:lnTo>
                                  <a:pt x="131749" y="0"/>
                                </a:lnTo>
                                <a:lnTo>
                                  <a:pt x="0" y="0"/>
                                </a:lnTo>
                                <a:lnTo>
                                  <a:pt x="0" y="122720"/>
                                </a:lnTo>
                              </a:path>
                            </a:pathLst>
                          </a:custGeom>
                          <a:ln w="2710">
                            <a:solidFill>
                              <a:srgbClr val="000000"/>
                            </a:solidFill>
                            <a:prstDash val="solid"/>
                          </a:ln>
                        </wps:spPr>
                        <wps:bodyPr wrap="square" lIns="0" tIns="0" rIns="0" bIns="0" rtlCol="0">
                          <a:prstTxWarp prst="textNoShape">
                            <a:avLst/>
                          </a:prstTxWarp>
                          <a:noAutofit/>
                        </wps:bodyPr>
                      </wps:wsp>
                      <wps:wsp>
                        <wps:cNvPr id="329" name="Graphic 329"/>
                        <wps:cNvSpPr/>
                        <wps:spPr>
                          <a:xfrm>
                            <a:off x="2824696" y="1649426"/>
                            <a:ext cx="132080" cy="123189"/>
                          </a:xfrm>
                          <a:custGeom>
                            <a:avLst/>
                            <a:gdLst/>
                            <a:ahLst/>
                            <a:cxnLst/>
                            <a:rect l="l" t="t" r="r" b="b"/>
                            <a:pathLst>
                              <a:path w="132080" h="123189">
                                <a:moveTo>
                                  <a:pt x="131749" y="0"/>
                                </a:moveTo>
                                <a:lnTo>
                                  <a:pt x="0" y="0"/>
                                </a:lnTo>
                                <a:lnTo>
                                  <a:pt x="0" y="122720"/>
                                </a:lnTo>
                                <a:lnTo>
                                  <a:pt x="131749" y="122720"/>
                                </a:lnTo>
                                <a:lnTo>
                                  <a:pt x="131749" y="0"/>
                                </a:lnTo>
                                <a:close/>
                              </a:path>
                            </a:pathLst>
                          </a:custGeom>
                          <a:solidFill>
                            <a:srgbClr val="93BDFF"/>
                          </a:solidFill>
                        </wps:spPr>
                        <wps:bodyPr wrap="square" lIns="0" tIns="0" rIns="0" bIns="0" rtlCol="0">
                          <a:prstTxWarp prst="textNoShape">
                            <a:avLst/>
                          </a:prstTxWarp>
                          <a:noAutofit/>
                        </wps:bodyPr>
                      </wps:wsp>
                      <wps:wsp>
                        <wps:cNvPr id="330" name="Graphic 330"/>
                        <wps:cNvSpPr/>
                        <wps:spPr>
                          <a:xfrm>
                            <a:off x="2824696" y="1649426"/>
                            <a:ext cx="132080" cy="123189"/>
                          </a:xfrm>
                          <a:custGeom>
                            <a:avLst/>
                            <a:gdLst/>
                            <a:ahLst/>
                            <a:cxnLst/>
                            <a:rect l="l" t="t" r="r" b="b"/>
                            <a:pathLst>
                              <a:path w="132080" h="123189">
                                <a:moveTo>
                                  <a:pt x="131749" y="122720"/>
                                </a:moveTo>
                                <a:lnTo>
                                  <a:pt x="131749" y="0"/>
                                </a:lnTo>
                                <a:lnTo>
                                  <a:pt x="0" y="0"/>
                                </a:lnTo>
                                <a:lnTo>
                                  <a:pt x="0" y="122720"/>
                                </a:lnTo>
                              </a:path>
                            </a:pathLst>
                          </a:custGeom>
                          <a:ln w="2710">
                            <a:solidFill>
                              <a:srgbClr val="000000"/>
                            </a:solidFill>
                            <a:prstDash val="solid"/>
                          </a:ln>
                        </wps:spPr>
                        <wps:bodyPr wrap="square" lIns="0" tIns="0" rIns="0" bIns="0" rtlCol="0">
                          <a:prstTxWarp prst="textNoShape">
                            <a:avLst/>
                          </a:prstTxWarp>
                          <a:noAutofit/>
                        </wps:bodyPr>
                      </wps:wsp>
                      <wps:wsp>
                        <wps:cNvPr id="331" name="Graphic 331"/>
                        <wps:cNvSpPr/>
                        <wps:spPr>
                          <a:xfrm>
                            <a:off x="36867" y="1897"/>
                            <a:ext cx="2950210" cy="1776730"/>
                          </a:xfrm>
                          <a:custGeom>
                            <a:avLst/>
                            <a:gdLst/>
                            <a:ahLst/>
                            <a:cxnLst/>
                            <a:rect l="l" t="t" r="r" b="b"/>
                            <a:pathLst>
                              <a:path w="2950210" h="1776730">
                                <a:moveTo>
                                  <a:pt x="0" y="0"/>
                                </a:moveTo>
                                <a:lnTo>
                                  <a:pt x="0" y="1776733"/>
                                </a:lnTo>
                              </a:path>
                              <a:path w="2950210" h="1776730">
                                <a:moveTo>
                                  <a:pt x="0" y="1776733"/>
                                </a:moveTo>
                                <a:lnTo>
                                  <a:pt x="2949741" y="1776733"/>
                                </a:lnTo>
                              </a:path>
                              <a:path w="2950210" h="1776730">
                                <a:moveTo>
                                  <a:pt x="2949741" y="1776733"/>
                                </a:moveTo>
                                <a:lnTo>
                                  <a:pt x="2949741" y="0"/>
                                </a:lnTo>
                              </a:path>
                              <a:path w="2950210" h="1776730">
                                <a:moveTo>
                                  <a:pt x="2949741" y="0"/>
                                </a:moveTo>
                                <a:lnTo>
                                  <a:pt x="0" y="0"/>
                                </a:lnTo>
                              </a:path>
                            </a:pathLst>
                          </a:custGeom>
                          <a:ln w="379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879486pt;margin-top:5.274767pt;width:235.35pt;height:143.3pt;mso-position-horizontal-relative:page;mso-position-vertical-relative:paragraph;z-index:15757312" id="docshapegroup275" coordorigin="3478,105" coordsize="4707,2866">
                <v:shape style="position:absolute;left:3535;top:108;width:4646;height:2798" id="docshape276" coordorigin="3536,108" coordsize="4646,2798" path="m3536,108l3536,2906m3536,2906l8181,2906m8181,2906l8181,108m8181,108l3536,108e" filled="false" stroked="true" strokeweight=".298789pt" strokecolor="#000000">
                  <v:path arrowok="t"/>
                  <v:stroke dashstyle="solid"/>
                </v:shape>
                <v:shape style="position:absolute;left:3477;top:111;width:54;height:2793" id="docshape277" coordorigin="3478,111" coordsize="54,2793" path="m3531,2903l3478,2903m3531,2504l3478,2504m3531,2105l3478,2105m3531,1707l3478,1707m3531,1307l3478,1307m3531,909l3478,909m3531,510l3478,510m3531,111l3478,111e" filled="false" stroked="true" strokeweight=".213419pt" strokecolor="#000000">
                  <v:path arrowok="t"/>
                  <v:stroke dashstyle="solid"/>
                </v:shape>
                <v:shape style="position:absolute;left:3583;top:2911;width:4551;height:60" id="docshape278" coordorigin="3583,2911" coordsize="4551,60" path="m3583,2911l3583,2971m3789,2911l3789,2942m3997,2911l3997,2942m4202,2911l4202,2942m4410,2911l4410,2971m4616,2911l4616,2942m4824,2911l4824,2942m5030,2911l5030,2942m5237,2911l5237,2971m5443,2911l5443,2942m5651,2911l5651,2942m5858,2911l5858,2942m6064,2911l6064,2971m6272,2911l6272,2942m6478,2911l6478,2942m6685,2911l6685,2942m6892,2911l6892,2971m7099,2911l7099,2942m7305,2911l7305,2942m7512,2911l7512,2942m7719,2911l7719,2971m7926,2911l7926,2942m8133,2911l8133,2942e" filled="false" stroked="true" strokeweight=".213419pt" strokecolor="#000000">
                  <v:path arrowok="t"/>
                  <v:stroke dashstyle="solid"/>
                </v:shape>
                <v:rect style="position:absolute;left:3583;top:2703;width:207;height:194" id="docshape279" filled="true" fillcolor="#93bdff" stroked="false">
                  <v:fill type="solid"/>
                </v:rect>
                <v:shape style="position:absolute;left:3583;top:2703;width:207;height:194" id="docshape280" coordorigin="3583,2703" coordsize="207,194" path="m3789,2896l3789,2703,3583,2703,3583,2896e" filled="false" stroked="true" strokeweight=".213417pt" strokecolor="#000000">
                  <v:path arrowok="t"/>
                  <v:stroke dashstyle="solid"/>
                </v:shape>
                <v:rect style="position:absolute;left:5237;top:2703;width:206;height:194" id="docshape281" filled="true" fillcolor="#93bdff" stroked="false">
                  <v:fill type="solid"/>
                </v:rect>
                <v:shape style="position:absolute;left:5237;top:2703;width:206;height:194" id="docshape282" coordorigin="5237,2703" coordsize="206,194" path="m5443,2896l5443,2703,5237,2703,5237,2896e" filled="false" stroked="true" strokeweight=".213417pt" strokecolor="#000000">
                  <v:path arrowok="t"/>
                  <v:stroke dashstyle="solid"/>
                </v:shape>
                <v:rect style="position:absolute;left:5858;top:2503;width:207;height:393" id="docshape283" filled="true" fillcolor="#93bdff" stroked="false">
                  <v:fill type="solid"/>
                </v:rect>
                <v:shape style="position:absolute;left:5858;top:2503;width:207;height:393" id="docshape284" coordorigin="5858,2504" coordsize="207,393" path="m6064,2896l6064,2504,5858,2504,5858,2896e" filled="false" stroked="true" strokeweight=".213438pt" strokecolor="#000000">
                  <v:path arrowok="t"/>
                  <v:stroke dashstyle="solid"/>
                </v:shape>
                <v:rect style="position:absolute;left:6271;top:2105;width:207;height:792" id="docshape285" filled="true" fillcolor="#93bdff" stroked="false">
                  <v:fill type="solid"/>
                </v:rect>
                <v:shape style="position:absolute;left:6271;top:2105;width:207;height:792" id="docshape286" coordorigin="6272,2105" coordsize="207,792" path="m6478,2896l6478,2105,6272,2105,6272,2896e" filled="false" stroked="true" strokeweight=".213448pt" strokecolor="#000000">
                  <v:path arrowok="t"/>
                  <v:stroke dashstyle="solid"/>
                </v:shape>
                <v:rect style="position:absolute;left:6477;top:1507;width:208;height:1389" id="docshape287" filled="true" fillcolor="#93bdff" stroked="false">
                  <v:fill type="solid"/>
                </v:rect>
                <v:shape style="position:absolute;left:6477;top:1507;width:208;height:1389" id="docshape288" coordorigin="6478,1507" coordsize="208,1389" path="m6685,2896l6685,1507,6478,1507,6478,2896e" filled="false" stroked="true" strokeweight=".213451pt" strokecolor="#000000">
                  <v:path arrowok="t"/>
                  <v:stroke dashstyle="solid"/>
                </v:shape>
                <v:rect style="position:absolute;left:6685;top:310;width:207;height:2586" id="docshape289" filled="true" fillcolor="#93bdff" stroked="false">
                  <v:fill type="solid"/>
                </v:rect>
                <v:shape style="position:absolute;left:6685;top:310;width:207;height:2586" id="docshape290" coordorigin="6685,311" coordsize="207,2586" path="m6892,2896l6892,311,6685,311,6685,2896e" filled="false" stroked="true" strokeweight=".213452pt" strokecolor="#000000">
                  <v:path arrowok="t"/>
                  <v:stroke dashstyle="solid"/>
                </v:shape>
                <v:rect style="position:absolute;left:6891;top:709;width:208;height:2188" id="docshape291" filled="true" fillcolor="#93bdff" stroked="false">
                  <v:fill type="solid"/>
                </v:rect>
                <v:shape style="position:absolute;left:6891;top:709;width:208;height:2188" id="docshape292" coordorigin="6892,709" coordsize="208,2188" path="m7099,2896l7099,709,6892,709,6892,2896e" filled="false" stroked="true" strokeweight=".213452pt" strokecolor="#000000">
                  <v:path arrowok="t"/>
                  <v:stroke dashstyle="solid"/>
                </v:shape>
                <v:rect style="position:absolute;left:7099;top:1107;width:206;height:1789" id="docshape293" filled="true" fillcolor="#93bdff" stroked="false">
                  <v:fill type="solid"/>
                </v:rect>
                <v:shape style="position:absolute;left:7099;top:1107;width:206;height:1789" id="docshape294" coordorigin="7099,1108" coordsize="206,1789" path="m7305,2896l7305,1108,7099,1108,7099,2896e" filled="false" stroked="true" strokeweight=".213451pt" strokecolor="#000000">
                  <v:path arrowok="t"/>
                  <v:stroke dashstyle="solid"/>
                </v:shape>
                <v:rect style="position:absolute;left:7304;top:2105;width:208;height:792" id="docshape295" filled="true" fillcolor="#93bdff" stroked="false">
                  <v:fill type="solid"/>
                </v:rect>
                <v:shape style="position:absolute;left:7304;top:2105;width:208;height:792" id="docshape296" coordorigin="7305,2105" coordsize="208,792" path="m7512,2896l7512,2105,7305,2105,7305,2896e" filled="false" stroked="true" strokeweight=".213448pt" strokecolor="#000000">
                  <v:path arrowok="t"/>
                  <v:stroke dashstyle="solid"/>
                </v:shape>
                <v:rect style="position:absolute;left:7512;top:1706;width:207;height:1190" id="docshape297" filled="true" fillcolor="#93bdff" stroked="false">
                  <v:fill type="solid"/>
                </v:rect>
                <v:shape style="position:absolute;left:7512;top:1706;width:207;height:1190" id="docshape298" coordorigin="7512,1707" coordsize="207,1190" path="m7719,2896l7719,1707,7512,1707,7512,2896e" filled="false" stroked="true" strokeweight=".21345pt" strokecolor="#000000">
                  <v:path arrowok="t"/>
                  <v:stroke dashstyle="solid"/>
                </v:shape>
                <v:rect style="position:absolute;left:7718;top:2703;width:208;height:194" id="docshape299" filled="true" fillcolor="#93bdff" stroked="false">
                  <v:fill type="solid"/>
                </v:rect>
                <v:shape style="position:absolute;left:7718;top:2703;width:208;height:194" id="docshape300" coordorigin="7719,2703" coordsize="208,194" path="m7926,2896l7926,2703,7719,2703,7719,2896e" filled="false" stroked="true" strokeweight=".213417pt" strokecolor="#000000">
                  <v:path arrowok="t"/>
                  <v:stroke dashstyle="solid"/>
                </v:shape>
                <v:rect style="position:absolute;left:7925;top:2703;width:208;height:194" id="docshape301" filled="true" fillcolor="#93bdff" stroked="false">
                  <v:fill type="solid"/>
                </v:rect>
                <v:shape style="position:absolute;left:7925;top:2703;width:208;height:194" id="docshape302" coordorigin="7926,2703" coordsize="208,194" path="m8133,2896l8133,2703,7926,2703,7926,2896e" filled="false" stroked="true" strokeweight=".213417pt" strokecolor="#000000">
                  <v:path arrowok="t"/>
                  <v:stroke dashstyle="solid"/>
                </v:shape>
                <v:shape style="position:absolute;left:3535;top:108;width:4646;height:2798" id="docshape303" coordorigin="3536,108" coordsize="4646,2798" path="m3536,108l3536,2906m3536,2906l8181,2906m8181,2906l8181,108m8181,108l3536,108e" filled="false" stroked="true" strokeweight=".298789pt" strokecolor="#000000">
                  <v:path arrowok="t"/>
                  <v:stroke dashstyle="solid"/>
                </v:shape>
                <w10:wrap type="none"/>
              </v:group>
            </w:pict>
          </mc:Fallback>
        </mc:AlternateContent>
      </w:r>
      <w:r>
        <w:rPr>
          <w:rFonts w:ascii="Arial MT"/>
          <w:sz w:val="13"/>
        </w:rPr>
        <mc:AlternateContent>
          <mc:Choice Requires="wps">
            <w:drawing>
              <wp:anchor distT="0" distB="0" distL="0" distR="0" allowOverlap="1" layoutInCell="1" locked="0" behindDoc="0" simplePos="0" relativeHeight="15757824">
                <wp:simplePos x="0" y="0"/>
                <wp:positionH relativeFrom="page">
                  <wp:posOffset>5338733</wp:posOffset>
                </wp:positionH>
                <wp:positionV relativeFrom="paragraph">
                  <wp:posOffset>68076</wp:posOffset>
                </wp:positionV>
                <wp:extent cx="1273810" cy="1852295"/>
                <wp:effectExtent l="0" t="0" r="0" b="0"/>
                <wp:wrapNone/>
                <wp:docPr id="332" name="Group 332"/>
                <wp:cNvGraphicFramePr>
                  <a:graphicFrameLocks/>
                </wp:cNvGraphicFramePr>
                <a:graphic>
                  <a:graphicData uri="http://schemas.microsoft.com/office/word/2010/wordprocessingGroup">
                    <wpg:wgp>
                      <wpg:cNvPr id="332" name="Group 332"/>
                      <wpg:cNvGrpSpPr/>
                      <wpg:grpSpPr>
                        <a:xfrm>
                          <a:off x="0" y="0"/>
                          <a:ext cx="1273810" cy="1852295"/>
                          <a:chExt cx="1273810" cy="1852295"/>
                        </a:xfrm>
                      </wpg:grpSpPr>
                      <wps:wsp>
                        <wps:cNvPr id="333" name="Graphic 333"/>
                        <wps:cNvSpPr/>
                        <wps:spPr>
                          <a:xfrm>
                            <a:off x="1897" y="1897"/>
                            <a:ext cx="1270000" cy="1848485"/>
                          </a:xfrm>
                          <a:custGeom>
                            <a:avLst/>
                            <a:gdLst/>
                            <a:ahLst/>
                            <a:cxnLst/>
                            <a:rect l="l" t="t" r="r" b="b"/>
                            <a:pathLst>
                              <a:path w="1270000" h="1848485">
                                <a:moveTo>
                                  <a:pt x="1269793" y="0"/>
                                </a:moveTo>
                                <a:lnTo>
                                  <a:pt x="0" y="0"/>
                                </a:lnTo>
                                <a:lnTo>
                                  <a:pt x="0" y="1848389"/>
                                </a:lnTo>
                                <a:lnTo>
                                  <a:pt x="1269793" y="1848389"/>
                                </a:lnTo>
                              </a:path>
                            </a:pathLst>
                          </a:custGeom>
                          <a:ln w="3794">
                            <a:solidFill>
                              <a:srgbClr val="000000"/>
                            </a:solidFill>
                            <a:prstDash val="solid"/>
                          </a:ln>
                        </wps:spPr>
                        <wps:bodyPr wrap="square" lIns="0" tIns="0" rIns="0" bIns="0" rtlCol="0">
                          <a:prstTxWarp prst="textNoShape">
                            <a:avLst/>
                          </a:prstTxWarp>
                          <a:noAutofit/>
                        </wps:bodyPr>
                      </wps:wsp>
                      <wps:wsp>
                        <wps:cNvPr id="334" name="Textbox 334"/>
                        <wps:cNvSpPr txBox="1"/>
                        <wps:spPr>
                          <a:xfrm>
                            <a:off x="3794" y="3794"/>
                            <a:ext cx="1268095" cy="1844675"/>
                          </a:xfrm>
                          <a:prstGeom prst="rect">
                            <a:avLst/>
                          </a:prstGeom>
                        </wps:spPr>
                        <wps:txbx>
                          <w:txbxContent>
                            <w:p>
                              <w:pPr>
                                <w:spacing w:before="50"/>
                                <w:ind w:left="84" w:right="0" w:firstLine="0"/>
                                <w:jc w:val="left"/>
                                <w:rPr>
                                  <w:rFonts w:ascii="Arial MT"/>
                                  <w:sz w:val="15"/>
                                </w:rPr>
                              </w:pPr>
                              <w:r>
                                <w:rPr>
                                  <w:rFonts w:ascii="Arial MT"/>
                                  <w:w w:val="105"/>
                                  <w:sz w:val="15"/>
                                </w:rPr>
                                <w:t>Series:</w:t>
                              </w:r>
                              <w:r>
                                <w:rPr>
                                  <w:rFonts w:ascii="Arial MT"/>
                                  <w:spacing w:val="-7"/>
                                  <w:w w:val="105"/>
                                  <w:sz w:val="15"/>
                                </w:rPr>
                                <w:t> </w:t>
                              </w:r>
                              <w:r>
                                <w:rPr>
                                  <w:rFonts w:ascii="Arial MT"/>
                                  <w:spacing w:val="-2"/>
                                  <w:w w:val="105"/>
                                  <w:sz w:val="15"/>
                                </w:rPr>
                                <w:t>Residuals</w:t>
                              </w:r>
                            </w:p>
                            <w:p>
                              <w:pPr>
                                <w:spacing w:before="29"/>
                                <w:ind w:left="84" w:right="0" w:firstLine="0"/>
                                <w:jc w:val="left"/>
                                <w:rPr>
                                  <w:rFonts w:ascii="Arial MT"/>
                                  <w:sz w:val="15"/>
                                </w:rPr>
                              </w:pPr>
                              <w:r>
                                <w:rPr>
                                  <w:rFonts w:ascii="Arial MT"/>
                                  <w:sz w:val="15"/>
                                </w:rPr>
                                <w:t>Sample</w:t>
                              </w:r>
                              <w:r>
                                <w:rPr>
                                  <w:rFonts w:ascii="Arial MT"/>
                                  <w:spacing w:val="14"/>
                                  <w:sz w:val="15"/>
                                </w:rPr>
                                <w:t> </w:t>
                              </w:r>
                              <w:r>
                                <w:rPr>
                                  <w:rFonts w:ascii="Arial MT"/>
                                  <w:sz w:val="15"/>
                                </w:rPr>
                                <w:t>2020M01</w:t>
                              </w:r>
                              <w:r>
                                <w:rPr>
                                  <w:rFonts w:ascii="Arial MT"/>
                                  <w:spacing w:val="17"/>
                                  <w:sz w:val="15"/>
                                </w:rPr>
                                <w:t> </w:t>
                              </w:r>
                              <w:r>
                                <w:rPr>
                                  <w:rFonts w:ascii="Arial MT"/>
                                  <w:spacing w:val="-2"/>
                                  <w:sz w:val="15"/>
                                </w:rPr>
                                <w:t>2024M12</w:t>
                              </w:r>
                            </w:p>
                            <w:p>
                              <w:pPr>
                                <w:spacing w:before="28"/>
                                <w:ind w:left="84" w:right="0" w:firstLine="0"/>
                                <w:jc w:val="left"/>
                                <w:rPr>
                                  <w:rFonts w:ascii="Arial MT"/>
                                  <w:sz w:val="15"/>
                                </w:rPr>
                              </w:pPr>
                              <w:r>
                                <w:rPr>
                                  <w:rFonts w:ascii="Arial MT"/>
                                  <w:sz w:val="15"/>
                                </w:rPr>
                                <w:t>Observations</w:t>
                              </w:r>
                              <w:r>
                                <w:rPr>
                                  <w:rFonts w:ascii="Arial MT"/>
                                  <w:spacing w:val="40"/>
                                  <w:sz w:val="15"/>
                                </w:rPr>
                                <w:t> </w:t>
                              </w:r>
                              <w:r>
                                <w:rPr>
                                  <w:rFonts w:ascii="Arial MT"/>
                                  <w:spacing w:val="-5"/>
                                  <w:sz w:val="15"/>
                                </w:rPr>
                                <w:t>60</w:t>
                              </w:r>
                            </w:p>
                            <w:p>
                              <w:pPr>
                                <w:spacing w:line="240" w:lineRule="auto" w:before="57"/>
                                <w:rPr>
                                  <w:rFonts w:ascii="Arial MT"/>
                                  <w:sz w:val="15"/>
                                </w:rPr>
                              </w:pPr>
                            </w:p>
                            <w:p>
                              <w:pPr>
                                <w:tabs>
                                  <w:tab w:pos="1151" w:val="left" w:leader="none"/>
                                </w:tabs>
                                <w:spacing w:before="0"/>
                                <w:ind w:left="84" w:right="0" w:firstLine="0"/>
                                <w:jc w:val="left"/>
                                <w:rPr>
                                  <w:rFonts w:ascii="Arial MT"/>
                                  <w:sz w:val="15"/>
                                </w:rPr>
                              </w:pPr>
                              <w:r>
                                <w:rPr>
                                  <w:rFonts w:ascii="Arial MT"/>
                                  <w:spacing w:val="-4"/>
                                  <w:sz w:val="15"/>
                                </w:rPr>
                                <w:t>Mean</w:t>
                              </w:r>
                              <w:r>
                                <w:rPr>
                                  <w:rFonts w:ascii="Arial MT"/>
                                  <w:sz w:val="15"/>
                                </w:rPr>
                                <w:tab/>
                                <w:t>-2.37e-</w:t>
                              </w:r>
                              <w:r>
                                <w:rPr>
                                  <w:rFonts w:ascii="Arial MT"/>
                                  <w:spacing w:val="-5"/>
                                  <w:sz w:val="15"/>
                                </w:rPr>
                                <w:t>15</w:t>
                              </w:r>
                            </w:p>
                            <w:p>
                              <w:pPr>
                                <w:tabs>
                                  <w:tab w:pos="1196" w:val="left" w:leader="none"/>
                                </w:tabs>
                                <w:spacing w:before="28"/>
                                <w:ind w:left="84" w:right="0" w:firstLine="0"/>
                                <w:jc w:val="left"/>
                                <w:rPr>
                                  <w:rFonts w:ascii="Arial MT"/>
                                  <w:sz w:val="15"/>
                                </w:rPr>
                              </w:pPr>
                              <w:r>
                                <w:rPr>
                                  <w:rFonts w:ascii="Arial MT"/>
                                  <w:spacing w:val="-2"/>
                                  <w:w w:val="105"/>
                                  <w:sz w:val="15"/>
                                </w:rPr>
                                <w:t>Median</w:t>
                              </w:r>
                              <w:r>
                                <w:rPr>
                                  <w:rFonts w:ascii="Arial MT"/>
                                  <w:sz w:val="15"/>
                                </w:rPr>
                                <w:tab/>
                              </w:r>
                              <w:r>
                                <w:rPr>
                                  <w:rFonts w:ascii="Arial MT"/>
                                  <w:spacing w:val="-2"/>
                                  <w:w w:val="105"/>
                                  <w:sz w:val="15"/>
                                </w:rPr>
                                <w:t>0.004535</w:t>
                              </w:r>
                            </w:p>
                            <w:p>
                              <w:pPr>
                                <w:tabs>
                                  <w:tab w:pos="1196" w:val="left" w:leader="none"/>
                                </w:tabs>
                                <w:spacing w:before="28"/>
                                <w:ind w:left="84" w:right="0" w:firstLine="0"/>
                                <w:jc w:val="left"/>
                                <w:rPr>
                                  <w:rFonts w:ascii="Arial MT"/>
                                  <w:sz w:val="15"/>
                                </w:rPr>
                              </w:pPr>
                              <w:r>
                                <w:rPr>
                                  <w:rFonts w:ascii="Arial MT"/>
                                  <w:spacing w:val="-2"/>
                                  <w:w w:val="105"/>
                                  <w:sz w:val="15"/>
                                </w:rPr>
                                <w:t>Maximum</w:t>
                              </w:r>
                              <w:r>
                                <w:rPr>
                                  <w:rFonts w:ascii="Arial MT"/>
                                  <w:sz w:val="15"/>
                                </w:rPr>
                                <w:tab/>
                              </w:r>
                              <w:r>
                                <w:rPr>
                                  <w:rFonts w:ascii="Arial MT"/>
                                  <w:spacing w:val="-2"/>
                                  <w:w w:val="105"/>
                                  <w:sz w:val="15"/>
                                </w:rPr>
                                <w:t>0.140112</w:t>
                              </w:r>
                            </w:p>
                            <w:p>
                              <w:pPr>
                                <w:tabs>
                                  <w:tab w:pos="1151" w:val="left" w:leader="none"/>
                                </w:tabs>
                                <w:spacing w:before="28"/>
                                <w:ind w:left="84" w:right="0" w:firstLine="0"/>
                                <w:jc w:val="left"/>
                                <w:rPr>
                                  <w:rFonts w:ascii="Arial MT"/>
                                  <w:sz w:val="15"/>
                                </w:rPr>
                              </w:pPr>
                              <w:r>
                                <w:rPr>
                                  <w:rFonts w:ascii="Arial MT"/>
                                  <w:spacing w:val="-2"/>
                                  <w:sz w:val="15"/>
                                </w:rPr>
                                <w:t>Minimum</w:t>
                              </w:r>
                              <w:r>
                                <w:rPr>
                                  <w:rFonts w:ascii="Arial MT"/>
                                  <w:sz w:val="15"/>
                                </w:rPr>
                                <w:tab/>
                                <w:t>-</w:t>
                              </w:r>
                              <w:r>
                                <w:rPr>
                                  <w:rFonts w:ascii="Arial MT"/>
                                  <w:spacing w:val="-2"/>
                                  <w:sz w:val="15"/>
                                </w:rPr>
                                <w:t>0.392881</w:t>
                              </w:r>
                            </w:p>
                            <w:p>
                              <w:pPr>
                                <w:tabs>
                                  <w:tab w:pos="1196" w:val="left" w:leader="none"/>
                                </w:tabs>
                                <w:spacing w:before="28"/>
                                <w:ind w:left="84" w:right="0" w:firstLine="0"/>
                                <w:jc w:val="left"/>
                                <w:rPr>
                                  <w:rFonts w:ascii="Arial MT"/>
                                  <w:sz w:val="15"/>
                                </w:rPr>
                              </w:pPr>
                              <w:r>
                                <w:rPr>
                                  <w:rFonts w:ascii="Arial MT"/>
                                  <w:w w:val="105"/>
                                  <w:sz w:val="15"/>
                                </w:rPr>
                                <w:t>Std.</w:t>
                              </w:r>
                              <w:r>
                                <w:rPr>
                                  <w:rFonts w:ascii="Arial MT"/>
                                  <w:spacing w:val="-5"/>
                                  <w:w w:val="105"/>
                                  <w:sz w:val="15"/>
                                </w:rPr>
                                <w:t> </w:t>
                              </w:r>
                              <w:r>
                                <w:rPr>
                                  <w:rFonts w:ascii="Arial MT"/>
                                  <w:spacing w:val="-4"/>
                                  <w:w w:val="105"/>
                                  <w:sz w:val="15"/>
                                </w:rPr>
                                <w:t>Dev.</w:t>
                              </w:r>
                              <w:r>
                                <w:rPr>
                                  <w:rFonts w:ascii="Arial MT"/>
                                  <w:sz w:val="15"/>
                                </w:rPr>
                                <w:tab/>
                              </w:r>
                              <w:r>
                                <w:rPr>
                                  <w:rFonts w:ascii="Arial MT"/>
                                  <w:spacing w:val="-2"/>
                                  <w:w w:val="105"/>
                                  <w:sz w:val="15"/>
                                </w:rPr>
                                <w:t>0.076147</w:t>
                              </w:r>
                            </w:p>
                            <w:p>
                              <w:pPr>
                                <w:tabs>
                                  <w:tab w:pos="1151" w:val="left" w:leader="none"/>
                                </w:tabs>
                                <w:spacing w:before="28"/>
                                <w:ind w:left="84" w:right="0" w:firstLine="0"/>
                                <w:jc w:val="left"/>
                                <w:rPr>
                                  <w:rFonts w:ascii="Arial MT"/>
                                  <w:sz w:val="15"/>
                                </w:rPr>
                              </w:pPr>
                              <w:r>
                                <w:rPr>
                                  <w:rFonts w:ascii="Arial MT"/>
                                  <w:spacing w:val="-2"/>
                                  <w:sz w:val="15"/>
                                </w:rPr>
                                <w:t>Skewness</w:t>
                              </w:r>
                              <w:r>
                                <w:rPr>
                                  <w:rFonts w:ascii="Arial MT"/>
                                  <w:sz w:val="15"/>
                                </w:rPr>
                                <w:tab/>
                                <w:t>-</w:t>
                              </w:r>
                              <w:r>
                                <w:rPr>
                                  <w:rFonts w:ascii="Arial MT"/>
                                  <w:spacing w:val="-2"/>
                                  <w:sz w:val="15"/>
                                </w:rPr>
                                <w:t>2.423107</w:t>
                              </w:r>
                            </w:p>
                            <w:p>
                              <w:pPr>
                                <w:tabs>
                                  <w:tab w:pos="1196" w:val="left" w:leader="none"/>
                                </w:tabs>
                                <w:spacing w:before="29"/>
                                <w:ind w:left="84" w:right="0" w:firstLine="0"/>
                                <w:jc w:val="left"/>
                                <w:rPr>
                                  <w:rFonts w:ascii="Arial MT"/>
                                  <w:sz w:val="15"/>
                                </w:rPr>
                              </w:pPr>
                              <w:r>
                                <w:rPr>
                                  <w:rFonts w:ascii="Arial MT"/>
                                  <w:spacing w:val="-2"/>
                                  <w:w w:val="105"/>
                                  <w:sz w:val="15"/>
                                </w:rPr>
                                <w:t>Kurtosis</w:t>
                              </w:r>
                              <w:r>
                                <w:rPr>
                                  <w:rFonts w:ascii="Arial MT"/>
                                  <w:sz w:val="15"/>
                                </w:rPr>
                                <w:tab/>
                              </w:r>
                              <w:r>
                                <w:rPr>
                                  <w:rFonts w:ascii="Arial MT"/>
                                  <w:spacing w:val="-2"/>
                                  <w:w w:val="105"/>
                                  <w:sz w:val="15"/>
                                </w:rPr>
                                <w:t>13.49155</w:t>
                              </w:r>
                            </w:p>
                            <w:p>
                              <w:pPr>
                                <w:spacing w:line="240" w:lineRule="auto" w:before="56"/>
                                <w:rPr>
                                  <w:rFonts w:ascii="Arial MT"/>
                                  <w:sz w:val="15"/>
                                </w:rPr>
                              </w:pPr>
                            </w:p>
                            <w:p>
                              <w:pPr>
                                <w:tabs>
                                  <w:tab w:pos="1196" w:val="left" w:leader="none"/>
                                </w:tabs>
                                <w:spacing w:before="0"/>
                                <w:ind w:left="84" w:right="0" w:firstLine="0"/>
                                <w:jc w:val="left"/>
                                <w:rPr>
                                  <w:rFonts w:ascii="Arial MT"/>
                                  <w:sz w:val="15"/>
                                </w:rPr>
                              </w:pPr>
                              <w:r>
                                <w:rPr>
                                  <w:rFonts w:ascii="Arial MT"/>
                                  <w:sz w:val="15"/>
                                </w:rPr>
                                <w:t>Jarque-</w:t>
                              </w:r>
                              <w:r>
                                <w:rPr>
                                  <w:rFonts w:ascii="Arial MT"/>
                                  <w:spacing w:val="-4"/>
                                  <w:sz w:val="15"/>
                                </w:rPr>
                                <w:t>Bera</w:t>
                              </w:r>
                              <w:r>
                                <w:rPr>
                                  <w:rFonts w:ascii="Arial MT"/>
                                  <w:sz w:val="15"/>
                                </w:rPr>
                                <w:tab/>
                              </w:r>
                              <w:r>
                                <w:rPr>
                                  <w:rFonts w:ascii="Arial MT"/>
                                  <w:spacing w:val="-2"/>
                                  <w:sz w:val="15"/>
                                </w:rPr>
                                <w:t>333.8963</w:t>
                              </w:r>
                            </w:p>
                            <w:p>
                              <w:pPr>
                                <w:tabs>
                                  <w:tab w:pos="1124" w:val="left" w:leader="none"/>
                                </w:tabs>
                                <w:spacing w:before="29"/>
                                <w:ind w:left="84" w:right="0" w:firstLine="0"/>
                                <w:jc w:val="left"/>
                                <w:rPr>
                                  <w:rFonts w:ascii="Arial MT"/>
                                  <w:sz w:val="15"/>
                                </w:rPr>
                              </w:pPr>
                              <w:r>
                                <w:rPr>
                                  <w:rFonts w:ascii="Arial MT"/>
                                  <w:spacing w:val="-2"/>
                                  <w:w w:val="105"/>
                                  <w:sz w:val="15"/>
                                </w:rPr>
                                <w:t>Probability</w:t>
                              </w:r>
                              <w:r>
                                <w:rPr>
                                  <w:rFonts w:ascii="Arial MT"/>
                                  <w:sz w:val="15"/>
                                </w:rPr>
                                <w:tab/>
                              </w:r>
                              <w:r>
                                <w:rPr>
                                  <w:rFonts w:ascii="Arial MT"/>
                                  <w:spacing w:val="-2"/>
                                  <w:w w:val="105"/>
                                  <w:sz w:val="15"/>
                                </w:rPr>
                                <w:t>0.000000</w:t>
                              </w:r>
                            </w:p>
                          </w:txbxContent>
                        </wps:txbx>
                        <wps:bodyPr wrap="square" lIns="0" tIns="0" rIns="0" bIns="0" rtlCol="0">
                          <a:noAutofit/>
                        </wps:bodyPr>
                      </wps:wsp>
                    </wpg:wgp>
                  </a:graphicData>
                </a:graphic>
              </wp:anchor>
            </w:drawing>
          </mc:Choice>
          <mc:Fallback>
            <w:pict>
              <v:group style="position:absolute;margin-left:420.372742pt;margin-top:5.360316pt;width:100.3pt;height:145.85pt;mso-position-horizontal-relative:page;mso-position-vertical-relative:paragraph;z-index:15757824" id="docshapegroup304" coordorigin="8407,107" coordsize="2006,2917">
                <v:shape style="position:absolute;left:8410;top:110;width:2000;height:2911" id="docshape305" coordorigin="8410,110" coordsize="2000,2911" path="m10410,110l8410,110,8410,3021,10410,3021e" filled="false" stroked="true" strokeweight=".298805pt" strokecolor="#000000">
                  <v:path arrowok="t"/>
                  <v:stroke dashstyle="solid"/>
                </v:shape>
                <v:shape style="position:absolute;left:8413;top:113;width:1997;height:2905" type="#_x0000_t202" id="docshape306" filled="false" stroked="false">
                  <v:textbox inset="0,0,0,0">
                    <w:txbxContent>
                      <w:p>
                        <w:pPr>
                          <w:spacing w:before="50"/>
                          <w:ind w:left="84" w:right="0" w:firstLine="0"/>
                          <w:jc w:val="left"/>
                          <w:rPr>
                            <w:rFonts w:ascii="Arial MT"/>
                            <w:sz w:val="15"/>
                          </w:rPr>
                        </w:pPr>
                        <w:r>
                          <w:rPr>
                            <w:rFonts w:ascii="Arial MT"/>
                            <w:w w:val="105"/>
                            <w:sz w:val="15"/>
                          </w:rPr>
                          <w:t>Series:</w:t>
                        </w:r>
                        <w:r>
                          <w:rPr>
                            <w:rFonts w:ascii="Arial MT"/>
                            <w:spacing w:val="-7"/>
                            <w:w w:val="105"/>
                            <w:sz w:val="15"/>
                          </w:rPr>
                          <w:t> </w:t>
                        </w:r>
                        <w:r>
                          <w:rPr>
                            <w:rFonts w:ascii="Arial MT"/>
                            <w:spacing w:val="-2"/>
                            <w:w w:val="105"/>
                            <w:sz w:val="15"/>
                          </w:rPr>
                          <w:t>Residuals</w:t>
                        </w:r>
                      </w:p>
                      <w:p>
                        <w:pPr>
                          <w:spacing w:before="29"/>
                          <w:ind w:left="84" w:right="0" w:firstLine="0"/>
                          <w:jc w:val="left"/>
                          <w:rPr>
                            <w:rFonts w:ascii="Arial MT"/>
                            <w:sz w:val="15"/>
                          </w:rPr>
                        </w:pPr>
                        <w:r>
                          <w:rPr>
                            <w:rFonts w:ascii="Arial MT"/>
                            <w:sz w:val="15"/>
                          </w:rPr>
                          <w:t>Sample</w:t>
                        </w:r>
                        <w:r>
                          <w:rPr>
                            <w:rFonts w:ascii="Arial MT"/>
                            <w:spacing w:val="14"/>
                            <w:sz w:val="15"/>
                          </w:rPr>
                          <w:t> </w:t>
                        </w:r>
                        <w:r>
                          <w:rPr>
                            <w:rFonts w:ascii="Arial MT"/>
                            <w:sz w:val="15"/>
                          </w:rPr>
                          <w:t>2020M01</w:t>
                        </w:r>
                        <w:r>
                          <w:rPr>
                            <w:rFonts w:ascii="Arial MT"/>
                            <w:spacing w:val="17"/>
                            <w:sz w:val="15"/>
                          </w:rPr>
                          <w:t> </w:t>
                        </w:r>
                        <w:r>
                          <w:rPr>
                            <w:rFonts w:ascii="Arial MT"/>
                            <w:spacing w:val="-2"/>
                            <w:sz w:val="15"/>
                          </w:rPr>
                          <w:t>2024M12</w:t>
                        </w:r>
                      </w:p>
                      <w:p>
                        <w:pPr>
                          <w:spacing w:before="28"/>
                          <w:ind w:left="84" w:right="0" w:firstLine="0"/>
                          <w:jc w:val="left"/>
                          <w:rPr>
                            <w:rFonts w:ascii="Arial MT"/>
                            <w:sz w:val="15"/>
                          </w:rPr>
                        </w:pPr>
                        <w:r>
                          <w:rPr>
                            <w:rFonts w:ascii="Arial MT"/>
                            <w:sz w:val="15"/>
                          </w:rPr>
                          <w:t>Observations</w:t>
                        </w:r>
                        <w:r>
                          <w:rPr>
                            <w:rFonts w:ascii="Arial MT"/>
                            <w:spacing w:val="40"/>
                            <w:sz w:val="15"/>
                          </w:rPr>
                          <w:t> </w:t>
                        </w:r>
                        <w:r>
                          <w:rPr>
                            <w:rFonts w:ascii="Arial MT"/>
                            <w:spacing w:val="-5"/>
                            <w:sz w:val="15"/>
                          </w:rPr>
                          <w:t>60</w:t>
                        </w:r>
                      </w:p>
                      <w:p>
                        <w:pPr>
                          <w:spacing w:line="240" w:lineRule="auto" w:before="57"/>
                          <w:rPr>
                            <w:rFonts w:ascii="Arial MT"/>
                            <w:sz w:val="15"/>
                          </w:rPr>
                        </w:pPr>
                      </w:p>
                      <w:p>
                        <w:pPr>
                          <w:tabs>
                            <w:tab w:pos="1151" w:val="left" w:leader="none"/>
                          </w:tabs>
                          <w:spacing w:before="0"/>
                          <w:ind w:left="84" w:right="0" w:firstLine="0"/>
                          <w:jc w:val="left"/>
                          <w:rPr>
                            <w:rFonts w:ascii="Arial MT"/>
                            <w:sz w:val="15"/>
                          </w:rPr>
                        </w:pPr>
                        <w:r>
                          <w:rPr>
                            <w:rFonts w:ascii="Arial MT"/>
                            <w:spacing w:val="-4"/>
                            <w:sz w:val="15"/>
                          </w:rPr>
                          <w:t>Mean</w:t>
                        </w:r>
                        <w:r>
                          <w:rPr>
                            <w:rFonts w:ascii="Arial MT"/>
                            <w:sz w:val="15"/>
                          </w:rPr>
                          <w:tab/>
                          <w:t>-2.37e-</w:t>
                        </w:r>
                        <w:r>
                          <w:rPr>
                            <w:rFonts w:ascii="Arial MT"/>
                            <w:spacing w:val="-5"/>
                            <w:sz w:val="15"/>
                          </w:rPr>
                          <w:t>15</w:t>
                        </w:r>
                      </w:p>
                      <w:p>
                        <w:pPr>
                          <w:tabs>
                            <w:tab w:pos="1196" w:val="left" w:leader="none"/>
                          </w:tabs>
                          <w:spacing w:before="28"/>
                          <w:ind w:left="84" w:right="0" w:firstLine="0"/>
                          <w:jc w:val="left"/>
                          <w:rPr>
                            <w:rFonts w:ascii="Arial MT"/>
                            <w:sz w:val="15"/>
                          </w:rPr>
                        </w:pPr>
                        <w:r>
                          <w:rPr>
                            <w:rFonts w:ascii="Arial MT"/>
                            <w:spacing w:val="-2"/>
                            <w:w w:val="105"/>
                            <w:sz w:val="15"/>
                          </w:rPr>
                          <w:t>Median</w:t>
                        </w:r>
                        <w:r>
                          <w:rPr>
                            <w:rFonts w:ascii="Arial MT"/>
                            <w:sz w:val="15"/>
                          </w:rPr>
                          <w:tab/>
                        </w:r>
                        <w:r>
                          <w:rPr>
                            <w:rFonts w:ascii="Arial MT"/>
                            <w:spacing w:val="-2"/>
                            <w:w w:val="105"/>
                            <w:sz w:val="15"/>
                          </w:rPr>
                          <w:t>0.004535</w:t>
                        </w:r>
                      </w:p>
                      <w:p>
                        <w:pPr>
                          <w:tabs>
                            <w:tab w:pos="1196" w:val="left" w:leader="none"/>
                          </w:tabs>
                          <w:spacing w:before="28"/>
                          <w:ind w:left="84" w:right="0" w:firstLine="0"/>
                          <w:jc w:val="left"/>
                          <w:rPr>
                            <w:rFonts w:ascii="Arial MT"/>
                            <w:sz w:val="15"/>
                          </w:rPr>
                        </w:pPr>
                        <w:r>
                          <w:rPr>
                            <w:rFonts w:ascii="Arial MT"/>
                            <w:spacing w:val="-2"/>
                            <w:w w:val="105"/>
                            <w:sz w:val="15"/>
                          </w:rPr>
                          <w:t>Maximum</w:t>
                        </w:r>
                        <w:r>
                          <w:rPr>
                            <w:rFonts w:ascii="Arial MT"/>
                            <w:sz w:val="15"/>
                          </w:rPr>
                          <w:tab/>
                        </w:r>
                        <w:r>
                          <w:rPr>
                            <w:rFonts w:ascii="Arial MT"/>
                            <w:spacing w:val="-2"/>
                            <w:w w:val="105"/>
                            <w:sz w:val="15"/>
                          </w:rPr>
                          <w:t>0.140112</w:t>
                        </w:r>
                      </w:p>
                      <w:p>
                        <w:pPr>
                          <w:tabs>
                            <w:tab w:pos="1151" w:val="left" w:leader="none"/>
                          </w:tabs>
                          <w:spacing w:before="28"/>
                          <w:ind w:left="84" w:right="0" w:firstLine="0"/>
                          <w:jc w:val="left"/>
                          <w:rPr>
                            <w:rFonts w:ascii="Arial MT"/>
                            <w:sz w:val="15"/>
                          </w:rPr>
                        </w:pPr>
                        <w:r>
                          <w:rPr>
                            <w:rFonts w:ascii="Arial MT"/>
                            <w:spacing w:val="-2"/>
                            <w:sz w:val="15"/>
                          </w:rPr>
                          <w:t>Minimum</w:t>
                        </w:r>
                        <w:r>
                          <w:rPr>
                            <w:rFonts w:ascii="Arial MT"/>
                            <w:sz w:val="15"/>
                          </w:rPr>
                          <w:tab/>
                          <w:t>-</w:t>
                        </w:r>
                        <w:r>
                          <w:rPr>
                            <w:rFonts w:ascii="Arial MT"/>
                            <w:spacing w:val="-2"/>
                            <w:sz w:val="15"/>
                          </w:rPr>
                          <w:t>0.392881</w:t>
                        </w:r>
                      </w:p>
                      <w:p>
                        <w:pPr>
                          <w:tabs>
                            <w:tab w:pos="1196" w:val="left" w:leader="none"/>
                          </w:tabs>
                          <w:spacing w:before="28"/>
                          <w:ind w:left="84" w:right="0" w:firstLine="0"/>
                          <w:jc w:val="left"/>
                          <w:rPr>
                            <w:rFonts w:ascii="Arial MT"/>
                            <w:sz w:val="15"/>
                          </w:rPr>
                        </w:pPr>
                        <w:r>
                          <w:rPr>
                            <w:rFonts w:ascii="Arial MT"/>
                            <w:w w:val="105"/>
                            <w:sz w:val="15"/>
                          </w:rPr>
                          <w:t>Std.</w:t>
                        </w:r>
                        <w:r>
                          <w:rPr>
                            <w:rFonts w:ascii="Arial MT"/>
                            <w:spacing w:val="-5"/>
                            <w:w w:val="105"/>
                            <w:sz w:val="15"/>
                          </w:rPr>
                          <w:t> </w:t>
                        </w:r>
                        <w:r>
                          <w:rPr>
                            <w:rFonts w:ascii="Arial MT"/>
                            <w:spacing w:val="-4"/>
                            <w:w w:val="105"/>
                            <w:sz w:val="15"/>
                          </w:rPr>
                          <w:t>Dev.</w:t>
                        </w:r>
                        <w:r>
                          <w:rPr>
                            <w:rFonts w:ascii="Arial MT"/>
                            <w:sz w:val="15"/>
                          </w:rPr>
                          <w:tab/>
                        </w:r>
                        <w:r>
                          <w:rPr>
                            <w:rFonts w:ascii="Arial MT"/>
                            <w:spacing w:val="-2"/>
                            <w:w w:val="105"/>
                            <w:sz w:val="15"/>
                          </w:rPr>
                          <w:t>0.076147</w:t>
                        </w:r>
                      </w:p>
                      <w:p>
                        <w:pPr>
                          <w:tabs>
                            <w:tab w:pos="1151" w:val="left" w:leader="none"/>
                          </w:tabs>
                          <w:spacing w:before="28"/>
                          <w:ind w:left="84" w:right="0" w:firstLine="0"/>
                          <w:jc w:val="left"/>
                          <w:rPr>
                            <w:rFonts w:ascii="Arial MT"/>
                            <w:sz w:val="15"/>
                          </w:rPr>
                        </w:pPr>
                        <w:r>
                          <w:rPr>
                            <w:rFonts w:ascii="Arial MT"/>
                            <w:spacing w:val="-2"/>
                            <w:sz w:val="15"/>
                          </w:rPr>
                          <w:t>Skewness</w:t>
                        </w:r>
                        <w:r>
                          <w:rPr>
                            <w:rFonts w:ascii="Arial MT"/>
                            <w:sz w:val="15"/>
                          </w:rPr>
                          <w:tab/>
                          <w:t>-</w:t>
                        </w:r>
                        <w:r>
                          <w:rPr>
                            <w:rFonts w:ascii="Arial MT"/>
                            <w:spacing w:val="-2"/>
                            <w:sz w:val="15"/>
                          </w:rPr>
                          <w:t>2.423107</w:t>
                        </w:r>
                      </w:p>
                      <w:p>
                        <w:pPr>
                          <w:tabs>
                            <w:tab w:pos="1196" w:val="left" w:leader="none"/>
                          </w:tabs>
                          <w:spacing w:before="29"/>
                          <w:ind w:left="84" w:right="0" w:firstLine="0"/>
                          <w:jc w:val="left"/>
                          <w:rPr>
                            <w:rFonts w:ascii="Arial MT"/>
                            <w:sz w:val="15"/>
                          </w:rPr>
                        </w:pPr>
                        <w:r>
                          <w:rPr>
                            <w:rFonts w:ascii="Arial MT"/>
                            <w:spacing w:val="-2"/>
                            <w:w w:val="105"/>
                            <w:sz w:val="15"/>
                          </w:rPr>
                          <w:t>Kurtosis</w:t>
                        </w:r>
                        <w:r>
                          <w:rPr>
                            <w:rFonts w:ascii="Arial MT"/>
                            <w:sz w:val="15"/>
                          </w:rPr>
                          <w:tab/>
                        </w:r>
                        <w:r>
                          <w:rPr>
                            <w:rFonts w:ascii="Arial MT"/>
                            <w:spacing w:val="-2"/>
                            <w:w w:val="105"/>
                            <w:sz w:val="15"/>
                          </w:rPr>
                          <w:t>13.49155</w:t>
                        </w:r>
                      </w:p>
                      <w:p>
                        <w:pPr>
                          <w:spacing w:line="240" w:lineRule="auto" w:before="56"/>
                          <w:rPr>
                            <w:rFonts w:ascii="Arial MT"/>
                            <w:sz w:val="15"/>
                          </w:rPr>
                        </w:pPr>
                      </w:p>
                      <w:p>
                        <w:pPr>
                          <w:tabs>
                            <w:tab w:pos="1196" w:val="left" w:leader="none"/>
                          </w:tabs>
                          <w:spacing w:before="0"/>
                          <w:ind w:left="84" w:right="0" w:firstLine="0"/>
                          <w:jc w:val="left"/>
                          <w:rPr>
                            <w:rFonts w:ascii="Arial MT"/>
                            <w:sz w:val="15"/>
                          </w:rPr>
                        </w:pPr>
                        <w:r>
                          <w:rPr>
                            <w:rFonts w:ascii="Arial MT"/>
                            <w:sz w:val="15"/>
                          </w:rPr>
                          <w:t>Jarque-</w:t>
                        </w:r>
                        <w:r>
                          <w:rPr>
                            <w:rFonts w:ascii="Arial MT"/>
                            <w:spacing w:val="-4"/>
                            <w:sz w:val="15"/>
                          </w:rPr>
                          <w:t>Bera</w:t>
                        </w:r>
                        <w:r>
                          <w:rPr>
                            <w:rFonts w:ascii="Arial MT"/>
                            <w:sz w:val="15"/>
                          </w:rPr>
                          <w:tab/>
                        </w:r>
                        <w:r>
                          <w:rPr>
                            <w:rFonts w:ascii="Arial MT"/>
                            <w:spacing w:val="-2"/>
                            <w:sz w:val="15"/>
                          </w:rPr>
                          <w:t>333.8963</w:t>
                        </w:r>
                      </w:p>
                      <w:p>
                        <w:pPr>
                          <w:tabs>
                            <w:tab w:pos="1124" w:val="left" w:leader="none"/>
                          </w:tabs>
                          <w:spacing w:before="29"/>
                          <w:ind w:left="84" w:right="0" w:firstLine="0"/>
                          <w:jc w:val="left"/>
                          <w:rPr>
                            <w:rFonts w:ascii="Arial MT"/>
                            <w:sz w:val="15"/>
                          </w:rPr>
                        </w:pPr>
                        <w:r>
                          <w:rPr>
                            <w:rFonts w:ascii="Arial MT"/>
                            <w:spacing w:val="-2"/>
                            <w:w w:val="105"/>
                            <w:sz w:val="15"/>
                          </w:rPr>
                          <w:t>Probability</w:t>
                        </w:r>
                        <w:r>
                          <w:rPr>
                            <w:rFonts w:ascii="Arial MT"/>
                            <w:sz w:val="15"/>
                          </w:rPr>
                          <w:tab/>
                        </w:r>
                        <w:r>
                          <w:rPr>
                            <w:rFonts w:ascii="Arial MT"/>
                            <w:spacing w:val="-2"/>
                            <w:w w:val="105"/>
                            <w:sz w:val="15"/>
                          </w:rPr>
                          <w:t>0.000000</w:t>
                        </w:r>
                      </w:p>
                    </w:txbxContent>
                  </v:textbox>
                  <w10:wrap type="none"/>
                </v:shape>
                <w10:wrap type="none"/>
              </v:group>
            </w:pict>
          </mc:Fallback>
        </mc:AlternateContent>
      </w:r>
      <w:r>
        <w:rPr>
          <w:rFonts w:ascii="Arial MT"/>
          <w:spacing w:val="-5"/>
          <w:sz w:val="13"/>
        </w:rPr>
        <w:t>14</w:t>
      </w:r>
    </w:p>
    <w:p>
      <w:pPr>
        <w:pStyle w:val="BodyText"/>
        <w:spacing w:before="99"/>
        <w:rPr>
          <w:rFonts w:ascii="Arial MT"/>
          <w:sz w:val="13"/>
        </w:rPr>
      </w:pPr>
    </w:p>
    <w:p>
      <w:pPr>
        <w:spacing w:before="0"/>
        <w:ind w:left="1866" w:right="0" w:firstLine="0"/>
        <w:jc w:val="left"/>
        <w:rPr>
          <w:rFonts w:ascii="Arial MT"/>
          <w:sz w:val="13"/>
        </w:rPr>
      </w:pPr>
      <w:r>
        <w:rPr>
          <w:rFonts w:ascii="Arial MT"/>
          <w:spacing w:val="-5"/>
          <w:sz w:val="13"/>
        </w:rPr>
        <w:t>12</w:t>
      </w:r>
    </w:p>
    <w:p>
      <w:pPr>
        <w:pStyle w:val="BodyText"/>
        <w:spacing w:before="99"/>
        <w:rPr>
          <w:rFonts w:ascii="Arial MT"/>
          <w:sz w:val="13"/>
        </w:rPr>
      </w:pPr>
    </w:p>
    <w:p>
      <w:pPr>
        <w:spacing w:before="0"/>
        <w:ind w:left="1866" w:right="0" w:firstLine="0"/>
        <w:jc w:val="left"/>
        <w:rPr>
          <w:rFonts w:ascii="Arial MT"/>
          <w:sz w:val="13"/>
        </w:rPr>
      </w:pPr>
      <w:r>
        <w:rPr>
          <w:rFonts w:ascii="Arial MT"/>
          <w:spacing w:val="-5"/>
          <w:sz w:val="13"/>
        </w:rPr>
        <w:t>10</w:t>
      </w:r>
    </w:p>
    <w:p>
      <w:pPr>
        <w:pStyle w:val="BodyText"/>
        <w:spacing w:before="100"/>
        <w:rPr>
          <w:rFonts w:ascii="Arial MT"/>
          <w:sz w:val="13"/>
        </w:rPr>
      </w:pPr>
    </w:p>
    <w:p>
      <w:pPr>
        <w:spacing w:before="0"/>
        <w:ind w:left="1945" w:right="0" w:firstLine="0"/>
        <w:jc w:val="left"/>
        <w:rPr>
          <w:rFonts w:ascii="Arial MT"/>
          <w:sz w:val="13"/>
        </w:rPr>
      </w:pPr>
      <w:r>
        <w:rPr>
          <w:rFonts w:ascii="Arial MT"/>
          <w:spacing w:val="-10"/>
          <w:sz w:val="13"/>
        </w:rPr>
        <w:t>8</w:t>
      </w:r>
    </w:p>
    <w:p>
      <w:pPr>
        <w:pStyle w:val="BodyText"/>
        <w:spacing w:before="101"/>
        <w:rPr>
          <w:rFonts w:ascii="Arial MT"/>
          <w:sz w:val="13"/>
        </w:rPr>
      </w:pPr>
    </w:p>
    <w:p>
      <w:pPr>
        <w:spacing w:before="0"/>
        <w:ind w:left="1945" w:right="0" w:firstLine="0"/>
        <w:jc w:val="left"/>
        <w:rPr>
          <w:rFonts w:ascii="Arial MT"/>
          <w:sz w:val="13"/>
        </w:rPr>
      </w:pPr>
      <w:r>
        <w:rPr>
          <w:rFonts w:ascii="Arial MT"/>
          <w:spacing w:val="-10"/>
          <w:sz w:val="13"/>
        </w:rPr>
        <w:t>6</w:t>
      </w:r>
    </w:p>
    <w:p>
      <w:pPr>
        <w:pStyle w:val="BodyText"/>
        <w:spacing w:before="99"/>
        <w:rPr>
          <w:rFonts w:ascii="Arial MT"/>
          <w:sz w:val="13"/>
        </w:rPr>
      </w:pPr>
    </w:p>
    <w:p>
      <w:pPr>
        <w:spacing w:before="0"/>
        <w:ind w:left="1945" w:right="0" w:firstLine="0"/>
        <w:jc w:val="left"/>
        <w:rPr>
          <w:rFonts w:ascii="Arial MT"/>
          <w:sz w:val="13"/>
        </w:rPr>
      </w:pPr>
      <w:r>
        <w:rPr>
          <w:rFonts w:ascii="Arial MT"/>
          <w:spacing w:val="-10"/>
          <w:sz w:val="13"/>
        </w:rPr>
        <w:t>4</w:t>
      </w:r>
    </w:p>
    <w:p>
      <w:pPr>
        <w:pStyle w:val="BodyText"/>
        <w:spacing w:before="100"/>
        <w:rPr>
          <w:rFonts w:ascii="Arial MT"/>
          <w:sz w:val="13"/>
        </w:rPr>
      </w:pPr>
    </w:p>
    <w:p>
      <w:pPr>
        <w:spacing w:before="0"/>
        <w:ind w:left="1945" w:right="0" w:firstLine="0"/>
        <w:jc w:val="left"/>
        <w:rPr>
          <w:rFonts w:ascii="Arial MT"/>
          <w:sz w:val="13"/>
        </w:rPr>
      </w:pPr>
      <w:r>
        <w:rPr>
          <w:rFonts w:ascii="Arial MT"/>
          <w:spacing w:val="-10"/>
          <w:sz w:val="13"/>
        </w:rPr>
        <w:t>2</w:t>
      </w:r>
    </w:p>
    <w:p>
      <w:pPr>
        <w:pStyle w:val="BodyText"/>
        <w:spacing w:before="101"/>
        <w:rPr>
          <w:rFonts w:ascii="Arial MT"/>
          <w:sz w:val="13"/>
        </w:rPr>
      </w:pPr>
    </w:p>
    <w:p>
      <w:pPr>
        <w:spacing w:before="0"/>
        <w:ind w:left="1945" w:right="0" w:firstLine="0"/>
        <w:jc w:val="left"/>
        <w:rPr>
          <w:rFonts w:ascii="Arial MT"/>
          <w:sz w:val="13"/>
        </w:rPr>
      </w:pPr>
      <w:r>
        <w:rPr>
          <w:rFonts w:ascii="Arial MT"/>
          <w:spacing w:val="-10"/>
          <w:sz w:val="13"/>
        </w:rPr>
        <w:t>0</w:t>
      </w:r>
    </w:p>
    <w:p>
      <w:pPr>
        <w:tabs>
          <w:tab w:pos="2877" w:val="left" w:leader="none"/>
          <w:tab w:pos="3704" w:val="left" w:leader="none"/>
          <w:tab w:pos="4531" w:val="left" w:leader="none"/>
          <w:tab w:pos="5381" w:val="left" w:leader="none"/>
          <w:tab w:pos="6390" w:val="right" w:leader="none"/>
        </w:tabs>
        <w:spacing w:before="33"/>
        <w:ind w:left="2050" w:right="0" w:firstLine="0"/>
        <w:jc w:val="left"/>
        <w:rPr>
          <w:rFonts w:ascii="Arial MT"/>
          <w:sz w:val="13"/>
        </w:rPr>
      </w:pPr>
      <w:r>
        <w:rPr>
          <w:rFonts w:ascii="Arial MT"/>
          <w:sz w:val="13"/>
        </w:rPr>
        <w:t>-</w:t>
      </w:r>
      <w:r>
        <w:rPr>
          <w:rFonts w:ascii="Arial MT"/>
          <w:spacing w:val="-5"/>
          <w:sz w:val="13"/>
        </w:rPr>
        <w:t>0.4</w:t>
      </w:r>
      <w:r>
        <w:rPr>
          <w:rFonts w:ascii="Arial MT"/>
          <w:sz w:val="13"/>
        </w:rPr>
        <w:tab/>
        <w:t>-</w:t>
      </w:r>
      <w:r>
        <w:rPr>
          <w:rFonts w:ascii="Arial MT"/>
          <w:spacing w:val="-5"/>
          <w:sz w:val="13"/>
        </w:rPr>
        <w:t>0.3</w:t>
      </w:r>
      <w:r>
        <w:rPr>
          <w:rFonts w:ascii="Arial MT"/>
          <w:sz w:val="13"/>
        </w:rPr>
        <w:tab/>
        <w:t>-</w:t>
      </w:r>
      <w:r>
        <w:rPr>
          <w:rFonts w:ascii="Arial MT"/>
          <w:spacing w:val="-5"/>
          <w:sz w:val="13"/>
        </w:rPr>
        <w:t>0.2</w:t>
      </w:r>
      <w:r>
        <w:rPr>
          <w:rFonts w:ascii="Arial MT"/>
          <w:sz w:val="13"/>
        </w:rPr>
        <w:tab/>
        <w:t>-</w:t>
      </w:r>
      <w:r>
        <w:rPr>
          <w:rFonts w:ascii="Arial MT"/>
          <w:spacing w:val="-5"/>
          <w:sz w:val="13"/>
        </w:rPr>
        <w:t>0.1</w:t>
      </w:r>
      <w:r>
        <w:rPr>
          <w:rFonts w:ascii="Arial MT"/>
          <w:sz w:val="13"/>
        </w:rPr>
        <w:tab/>
      </w:r>
      <w:r>
        <w:rPr>
          <w:rFonts w:ascii="Arial MT"/>
          <w:spacing w:val="-5"/>
          <w:sz w:val="13"/>
        </w:rPr>
        <w:t>0.0</w:t>
      </w:r>
      <w:r>
        <w:rPr>
          <w:rFonts w:ascii="Arial MT"/>
          <w:sz w:val="13"/>
        </w:rPr>
        <w:tab/>
      </w:r>
      <w:r>
        <w:rPr>
          <w:rFonts w:ascii="Arial MT"/>
          <w:spacing w:val="-5"/>
          <w:sz w:val="13"/>
        </w:rPr>
        <w:t>0.1</w:t>
      </w:r>
    </w:p>
    <w:p>
      <w:pPr>
        <w:pStyle w:val="BodyText"/>
        <w:spacing w:before="143"/>
        <w:ind w:left="1866"/>
        <w:jc w:val="both"/>
      </w:pPr>
      <w:r>
        <w:rPr/>
        <w:t>Sumber:</w:t>
      </w:r>
      <w:r>
        <w:rPr>
          <w:spacing w:val="-2"/>
        </w:rPr>
        <w:t> </w:t>
      </w:r>
      <w:r>
        <w:rPr/>
        <w:t>Output</w:t>
      </w:r>
      <w:r>
        <w:rPr>
          <w:spacing w:val="-1"/>
        </w:rPr>
        <w:t> </w:t>
      </w:r>
      <w:r>
        <w:rPr>
          <w:i/>
        </w:rPr>
        <w:t>eviews</w:t>
      </w:r>
      <w:r>
        <w:rPr/>
        <w:t>,</w:t>
      </w:r>
      <w:r>
        <w:rPr>
          <w:spacing w:val="-1"/>
        </w:rPr>
        <w:t> </w:t>
      </w:r>
      <w:r>
        <w:rPr/>
        <w:t>data</w:t>
      </w:r>
      <w:r>
        <w:rPr>
          <w:spacing w:val="-2"/>
        </w:rPr>
        <w:t> </w:t>
      </w:r>
      <w:r>
        <w:rPr/>
        <w:t>diolah</w:t>
      </w:r>
      <w:r>
        <w:rPr>
          <w:spacing w:val="-1"/>
        </w:rPr>
        <w:t> </w:t>
      </w:r>
      <w:r>
        <w:rPr>
          <w:spacing w:val="-2"/>
        </w:rPr>
        <w:t>(2025)</w:t>
      </w:r>
    </w:p>
    <w:p>
      <w:pPr>
        <w:pStyle w:val="BodyText"/>
        <w:spacing w:line="360" w:lineRule="auto" w:before="137"/>
        <w:ind w:left="1866" w:right="158" w:firstLine="316"/>
        <w:jc w:val="both"/>
      </w:pPr>
      <w:r>
        <w:rPr/>
        <w:t>Dapat dilihat pada gambar 4.1 bahwasanya nilai Jarque-Bera sebesar 333,8963</w:t>
      </w:r>
      <w:r>
        <w:rPr>
          <w:spacing w:val="-15"/>
        </w:rPr>
        <w:t> </w:t>
      </w:r>
      <w:r>
        <w:rPr/>
        <w:t>dan</w:t>
      </w:r>
      <w:r>
        <w:rPr>
          <w:spacing w:val="-15"/>
        </w:rPr>
        <w:t> </w:t>
      </w:r>
      <w:r>
        <w:rPr/>
        <w:t>nilai</w:t>
      </w:r>
      <w:r>
        <w:rPr>
          <w:spacing w:val="-15"/>
        </w:rPr>
        <w:t> </w:t>
      </w:r>
      <w:r>
        <w:rPr/>
        <w:t>probability</w:t>
      </w:r>
      <w:r>
        <w:rPr>
          <w:spacing w:val="-15"/>
        </w:rPr>
        <w:t> </w:t>
      </w:r>
      <w:r>
        <w:rPr/>
        <w:t>sebanyak</w:t>
      </w:r>
      <w:r>
        <w:rPr>
          <w:spacing w:val="-15"/>
        </w:rPr>
        <w:t> </w:t>
      </w:r>
      <w:r>
        <w:rPr/>
        <w:t>0,00.</w:t>
      </w:r>
      <w:r>
        <w:rPr>
          <w:spacing w:val="-15"/>
        </w:rPr>
        <w:t> </w:t>
      </w:r>
      <w:r>
        <w:rPr/>
        <w:t>Maknanya</w:t>
      </w:r>
      <w:r>
        <w:rPr>
          <w:spacing w:val="-15"/>
        </w:rPr>
        <w:t> </w:t>
      </w:r>
      <w:r>
        <w:rPr/>
        <w:t>data</w:t>
      </w:r>
      <w:r>
        <w:rPr>
          <w:spacing w:val="-15"/>
        </w:rPr>
        <w:t> </w:t>
      </w:r>
      <w:r>
        <w:rPr/>
        <w:t>tersebut</w:t>
      </w:r>
      <w:r>
        <w:rPr>
          <w:spacing w:val="-15"/>
        </w:rPr>
        <w:t> </w:t>
      </w:r>
      <w:r>
        <w:rPr/>
        <w:t>tidak memenuhi</w:t>
      </w:r>
      <w:r>
        <w:rPr>
          <w:spacing w:val="-3"/>
        </w:rPr>
        <w:t> </w:t>
      </w:r>
      <w:r>
        <w:rPr/>
        <w:t>standar</w:t>
      </w:r>
      <w:r>
        <w:rPr>
          <w:spacing w:val="-3"/>
        </w:rPr>
        <w:t> </w:t>
      </w:r>
      <w:r>
        <w:rPr/>
        <w:t>normalitas</w:t>
      </w:r>
      <w:r>
        <w:rPr>
          <w:spacing w:val="-4"/>
        </w:rPr>
        <w:t> </w:t>
      </w:r>
      <w:r>
        <w:rPr/>
        <w:t>karena</w:t>
      </w:r>
      <w:r>
        <w:rPr>
          <w:spacing w:val="-2"/>
        </w:rPr>
        <w:t> </w:t>
      </w:r>
      <w:r>
        <w:rPr/>
        <w:t>nilai</w:t>
      </w:r>
      <w:r>
        <w:rPr>
          <w:spacing w:val="-3"/>
        </w:rPr>
        <w:t> </w:t>
      </w:r>
      <w:r>
        <w:rPr/>
        <w:t>probability</w:t>
      </w:r>
      <w:r>
        <w:rPr>
          <w:spacing w:val="-3"/>
        </w:rPr>
        <w:t> </w:t>
      </w:r>
      <w:r>
        <w:rPr/>
        <w:t>lebih</w:t>
      </w:r>
      <w:r>
        <w:rPr>
          <w:spacing w:val="-3"/>
        </w:rPr>
        <w:t> </w:t>
      </w:r>
      <w:r>
        <w:rPr/>
        <w:t>kecil</w:t>
      </w:r>
      <w:r>
        <w:rPr>
          <w:spacing w:val="-3"/>
        </w:rPr>
        <w:t> </w:t>
      </w:r>
      <w:r>
        <w:rPr/>
        <w:t>dari</w:t>
      </w:r>
      <w:r>
        <w:rPr>
          <w:spacing w:val="-3"/>
        </w:rPr>
        <w:t> </w:t>
      </w:r>
      <w:r>
        <w:rPr/>
        <w:t>0,05. Namun</w:t>
      </w:r>
      <w:r>
        <w:rPr>
          <w:spacing w:val="-8"/>
        </w:rPr>
        <w:t> </w:t>
      </w:r>
      <w:r>
        <w:rPr/>
        <w:t>pada</w:t>
      </w:r>
      <w:r>
        <w:rPr>
          <w:spacing w:val="-9"/>
        </w:rPr>
        <w:t> </w:t>
      </w:r>
      <w:r>
        <w:rPr/>
        <w:t>dasarnya</w:t>
      </w:r>
      <w:r>
        <w:rPr>
          <w:spacing w:val="-9"/>
        </w:rPr>
        <w:t> </w:t>
      </w:r>
      <w:r>
        <w:rPr/>
        <w:t>data</w:t>
      </w:r>
      <w:r>
        <w:rPr>
          <w:spacing w:val="-9"/>
        </w:rPr>
        <w:t> </w:t>
      </w:r>
      <w:r>
        <w:rPr/>
        <w:t>yang</w:t>
      </w:r>
      <w:r>
        <w:rPr>
          <w:spacing w:val="-8"/>
        </w:rPr>
        <w:t> </w:t>
      </w:r>
      <w:r>
        <w:rPr/>
        <w:t>memiliki</w:t>
      </w:r>
      <w:r>
        <w:rPr>
          <w:spacing w:val="-10"/>
        </w:rPr>
        <w:t> </w:t>
      </w:r>
      <w:r>
        <w:rPr/>
        <w:t>lebih</w:t>
      </w:r>
      <w:r>
        <w:rPr>
          <w:spacing w:val="-8"/>
        </w:rPr>
        <w:t> </w:t>
      </w:r>
      <w:r>
        <w:rPr/>
        <w:t>dari</w:t>
      </w:r>
      <w:r>
        <w:rPr>
          <w:spacing w:val="-8"/>
        </w:rPr>
        <w:t> </w:t>
      </w:r>
      <w:r>
        <w:rPr/>
        <w:t>30</w:t>
      </w:r>
      <w:r>
        <w:rPr>
          <w:spacing w:val="-8"/>
        </w:rPr>
        <w:t> </w:t>
      </w:r>
      <w:r>
        <w:rPr/>
        <w:t>angka</w:t>
      </w:r>
      <w:r>
        <w:rPr>
          <w:spacing w:val="-9"/>
        </w:rPr>
        <w:t> </w:t>
      </w:r>
      <w:r>
        <w:rPr/>
        <w:t>(n&gt;30)</w:t>
      </w:r>
      <w:r>
        <w:rPr>
          <w:spacing w:val="-9"/>
        </w:rPr>
        <w:t> </w:t>
      </w:r>
      <w:r>
        <w:rPr/>
        <w:t>dapat dianggap berdistribusi normal berdasarkan pengalaman empiris dari beberapa spesialis statistik sebab data tersebut disebut sebagai sampel besar.</w:t>
      </w:r>
      <w:hyperlink w:history="true" w:anchor="_bookmark153">
        <w:r>
          <w:rPr>
            <w:vertAlign w:val="superscript"/>
          </w:rPr>
          <w:t>91</w:t>
        </w:r>
      </w:hyperlink>
      <w:r>
        <w:rPr>
          <w:vertAlign w:val="baseline"/>
        </w:rPr>
        <w:t> Jika ukuran sampel cukup besar (&gt;30 atau 40), melanggar asumsi normalitas tidak akan menimbulkan masalah yang signifikan. Secara umum,</w:t>
      </w:r>
      <w:r>
        <w:rPr>
          <w:spacing w:val="-7"/>
          <w:vertAlign w:val="baseline"/>
        </w:rPr>
        <w:t> </w:t>
      </w:r>
      <w:r>
        <w:rPr>
          <w:vertAlign w:val="baseline"/>
        </w:rPr>
        <w:t>distribusi</w:t>
      </w:r>
      <w:r>
        <w:rPr>
          <w:spacing w:val="-9"/>
          <w:vertAlign w:val="baseline"/>
        </w:rPr>
        <w:t> </w:t>
      </w:r>
      <w:r>
        <w:rPr>
          <w:vertAlign w:val="baseline"/>
        </w:rPr>
        <w:t>sampling</w:t>
      </w:r>
      <w:r>
        <w:rPr>
          <w:spacing w:val="-7"/>
          <w:vertAlign w:val="baseline"/>
        </w:rPr>
        <w:t> </w:t>
      </w:r>
      <w:r>
        <w:rPr>
          <w:vertAlign w:val="baseline"/>
        </w:rPr>
        <w:t>adalah</w:t>
      </w:r>
      <w:r>
        <w:rPr>
          <w:spacing w:val="-7"/>
          <w:vertAlign w:val="baseline"/>
        </w:rPr>
        <w:t> </w:t>
      </w:r>
      <w:r>
        <w:rPr>
          <w:vertAlign w:val="baseline"/>
        </w:rPr>
        <w:t>normal,</w:t>
      </w:r>
      <w:r>
        <w:rPr>
          <w:spacing w:val="-6"/>
          <w:vertAlign w:val="baseline"/>
        </w:rPr>
        <w:t> </w:t>
      </w:r>
      <w:r>
        <w:rPr>
          <w:vertAlign w:val="baseline"/>
        </w:rPr>
        <w:t>terlepas</w:t>
      </w:r>
      <w:r>
        <w:rPr>
          <w:spacing w:val="-5"/>
          <w:vertAlign w:val="baseline"/>
        </w:rPr>
        <w:t> </w:t>
      </w:r>
      <w:r>
        <w:rPr>
          <w:vertAlign w:val="baseline"/>
        </w:rPr>
        <w:t>dari</w:t>
      </w:r>
      <w:r>
        <w:rPr>
          <w:spacing w:val="-7"/>
          <w:vertAlign w:val="baseline"/>
        </w:rPr>
        <w:t> </w:t>
      </w:r>
      <w:r>
        <w:rPr>
          <w:vertAlign w:val="baseline"/>
        </w:rPr>
        <w:t>bentuk</w:t>
      </w:r>
      <w:r>
        <w:rPr>
          <w:spacing w:val="-6"/>
          <w:vertAlign w:val="baseline"/>
        </w:rPr>
        <w:t> </w:t>
      </w:r>
      <w:r>
        <w:rPr>
          <w:vertAlign w:val="baseline"/>
        </w:rPr>
        <w:t>data.</w:t>
      </w:r>
      <w:hyperlink w:history="true" w:anchor="_bookmark154">
        <w:r>
          <w:rPr>
            <w:vertAlign w:val="superscript"/>
          </w:rPr>
          <w:t>92</w:t>
        </w:r>
      </w:hyperlink>
      <w:r>
        <w:rPr>
          <w:spacing w:val="-6"/>
          <w:vertAlign w:val="baseline"/>
        </w:rPr>
        <w:t> </w:t>
      </w:r>
      <w:r>
        <w:rPr>
          <w:vertAlign w:val="baseline"/>
        </w:rPr>
        <w:t>Oleh karena itu, data dari sampel yang besar dianggap normal. Untuk menentukan</w:t>
      </w:r>
      <w:r>
        <w:rPr>
          <w:spacing w:val="-4"/>
          <w:vertAlign w:val="baseline"/>
        </w:rPr>
        <w:t> </w:t>
      </w:r>
      <w:r>
        <w:rPr>
          <w:vertAlign w:val="baseline"/>
        </w:rPr>
        <w:t>apakah</w:t>
      </w:r>
      <w:r>
        <w:rPr>
          <w:spacing w:val="-1"/>
          <w:vertAlign w:val="baseline"/>
        </w:rPr>
        <w:t> </w:t>
      </w:r>
      <w:r>
        <w:rPr>
          <w:i/>
          <w:vertAlign w:val="baseline"/>
        </w:rPr>
        <w:t>error</w:t>
      </w:r>
      <w:r>
        <w:rPr>
          <w:i/>
          <w:spacing w:val="-5"/>
          <w:vertAlign w:val="baseline"/>
        </w:rPr>
        <w:t> </w:t>
      </w:r>
      <w:r>
        <w:rPr>
          <w:i/>
          <w:vertAlign w:val="baseline"/>
        </w:rPr>
        <w:t>term</w:t>
      </w:r>
      <w:r>
        <w:rPr>
          <w:i/>
          <w:spacing w:val="-4"/>
          <w:vertAlign w:val="baseline"/>
        </w:rPr>
        <w:t> </w:t>
      </w:r>
      <w:r>
        <w:rPr>
          <w:vertAlign w:val="baseline"/>
        </w:rPr>
        <w:t>mendekati</w:t>
      </w:r>
      <w:r>
        <w:rPr>
          <w:spacing w:val="-4"/>
          <w:vertAlign w:val="baseline"/>
        </w:rPr>
        <w:t> </w:t>
      </w:r>
      <w:r>
        <w:rPr>
          <w:vertAlign w:val="baseline"/>
        </w:rPr>
        <w:t>distribusi</w:t>
      </w:r>
      <w:r>
        <w:rPr>
          <w:spacing w:val="-4"/>
          <w:vertAlign w:val="baseline"/>
        </w:rPr>
        <w:t> </w:t>
      </w:r>
      <w:r>
        <w:rPr>
          <w:vertAlign w:val="baseline"/>
        </w:rPr>
        <w:t>normal,</w:t>
      </w:r>
      <w:r>
        <w:rPr>
          <w:spacing w:val="-4"/>
          <w:vertAlign w:val="baseline"/>
        </w:rPr>
        <w:t> </w:t>
      </w:r>
      <w:r>
        <w:rPr>
          <w:vertAlign w:val="baseline"/>
        </w:rPr>
        <w:t>uji</w:t>
      </w:r>
      <w:r>
        <w:rPr>
          <w:spacing w:val="-4"/>
          <w:vertAlign w:val="baseline"/>
        </w:rPr>
        <w:t> </w:t>
      </w:r>
      <w:r>
        <w:rPr>
          <w:vertAlign w:val="baseline"/>
        </w:rPr>
        <w:t>normalitas hanya diterapkan jika terdapat kurang dari 30 observasi. Uji normalitas tidak diperlukan jika terdapat lebih dari 30 observasi. Hal ini disebabkan karena distribusi sampling dari </w:t>
      </w:r>
      <w:r>
        <w:rPr>
          <w:i/>
          <w:vertAlign w:val="baseline"/>
        </w:rPr>
        <w:t>error term </w:t>
      </w:r>
      <w:r>
        <w:rPr>
          <w:vertAlign w:val="baseline"/>
        </w:rPr>
        <w:t>hampir normal.</w:t>
      </w:r>
    </w:p>
    <w:p>
      <w:pPr>
        <w:pStyle w:val="Heading2"/>
        <w:numPr>
          <w:ilvl w:val="3"/>
          <w:numId w:val="24"/>
        </w:numPr>
        <w:tabs>
          <w:tab w:pos="1866" w:val="left" w:leader="none"/>
        </w:tabs>
        <w:spacing w:line="240" w:lineRule="auto" w:before="1" w:after="0"/>
        <w:ind w:left="1866" w:right="0" w:hanging="360"/>
        <w:jc w:val="both"/>
      </w:pPr>
      <w:r>
        <w:rPr/>
        <w:t>Uji</w:t>
      </w:r>
      <w:r>
        <w:rPr>
          <w:spacing w:val="-2"/>
        </w:rPr>
        <w:t> Multikolineritas</w:t>
      </w:r>
    </w:p>
    <w:p>
      <w:pPr>
        <w:pStyle w:val="BodyText"/>
        <w:spacing w:line="360" w:lineRule="auto" w:before="140"/>
        <w:ind w:left="1866" w:right="161" w:firstLine="316"/>
        <w:jc w:val="both"/>
      </w:pPr>
      <w:r>
        <w:rPr/>
        <w:t>Jika beberapa atau semua variabel independen dalam suatu model regresi memiliki fungsi linier yang sempurna, maka model tersebut dikatakan</w:t>
      </w:r>
      <w:r>
        <w:rPr>
          <w:spacing w:val="55"/>
          <w:w w:val="150"/>
        </w:rPr>
        <w:t> </w:t>
      </w:r>
      <w:r>
        <w:rPr/>
        <w:t>menunjukkan</w:t>
      </w:r>
      <w:r>
        <w:rPr>
          <w:spacing w:val="59"/>
          <w:w w:val="150"/>
        </w:rPr>
        <w:t> </w:t>
      </w:r>
      <w:r>
        <w:rPr/>
        <w:t>adanya</w:t>
      </w:r>
      <w:r>
        <w:rPr>
          <w:spacing w:val="57"/>
          <w:w w:val="150"/>
        </w:rPr>
        <w:t> </w:t>
      </w:r>
      <w:r>
        <w:rPr/>
        <w:t>multikolinieritas.</w:t>
      </w:r>
      <w:r>
        <w:rPr>
          <w:spacing w:val="61"/>
          <w:w w:val="150"/>
        </w:rPr>
        <w:t> </w:t>
      </w:r>
      <w:r>
        <w:rPr/>
        <w:t>Salah</w:t>
      </w:r>
      <w:r>
        <w:rPr>
          <w:spacing w:val="57"/>
          <w:w w:val="150"/>
        </w:rPr>
        <w:t> </w:t>
      </w:r>
      <w:r>
        <w:rPr/>
        <w:t>satu</w:t>
      </w:r>
      <w:r>
        <w:rPr>
          <w:spacing w:val="59"/>
          <w:w w:val="150"/>
        </w:rPr>
        <w:t> </w:t>
      </w:r>
      <w:r>
        <w:rPr>
          <w:spacing w:val="-2"/>
        </w:rPr>
        <w:t>penanda</w:t>
      </w:r>
    </w:p>
    <w:p>
      <w:pPr>
        <w:pStyle w:val="BodyText"/>
        <w:spacing w:before="170"/>
        <w:rPr>
          <w:sz w:val="20"/>
        </w:rPr>
      </w:pPr>
      <w:r>
        <w:rPr>
          <w:sz w:val="20"/>
        </w:rPr>
        <mc:AlternateContent>
          <mc:Choice Requires="wps">
            <w:drawing>
              <wp:anchor distT="0" distB="0" distL="0" distR="0" allowOverlap="1" layoutInCell="1" locked="0" behindDoc="1" simplePos="0" relativeHeight="487616000">
                <wp:simplePos x="0" y="0"/>
                <wp:positionH relativeFrom="page">
                  <wp:posOffset>914704</wp:posOffset>
                </wp:positionH>
                <wp:positionV relativeFrom="paragraph">
                  <wp:posOffset>269520</wp:posOffset>
                </wp:positionV>
                <wp:extent cx="1829435" cy="9525"/>
                <wp:effectExtent l="0" t="0" r="0" b="0"/>
                <wp:wrapTopAndBottom/>
                <wp:docPr id="335" name="Graphic 335"/>
                <wp:cNvGraphicFramePr>
                  <a:graphicFrameLocks/>
                </wp:cNvGraphicFramePr>
                <a:graphic>
                  <a:graphicData uri="http://schemas.microsoft.com/office/word/2010/wordprocessingShape">
                    <wps:wsp>
                      <wps:cNvPr id="335" name="Graphic 335"/>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1.222116pt;width:144.020pt;height:.72003pt;mso-position-horizontal-relative:page;mso-position-vertical-relative:paragraph;z-index:-15700480;mso-wrap-distance-left:0;mso-wrap-distance-right:0" id="docshape307" filled="true" fillcolor="#000000" stroked="false">
                <v:fill type="solid"/>
                <w10:wrap type="topAndBottom"/>
              </v:rect>
            </w:pict>
          </mc:Fallback>
        </mc:AlternateContent>
      </w:r>
    </w:p>
    <w:p>
      <w:pPr>
        <w:spacing w:before="101"/>
        <w:ind w:left="23" w:right="0" w:firstLine="719"/>
        <w:jc w:val="left"/>
        <w:rPr>
          <w:sz w:val="20"/>
        </w:rPr>
      </w:pPr>
      <w:bookmarkStart w:name="_bookmark153" w:id="154"/>
      <w:bookmarkEnd w:id="154"/>
      <w:r>
        <w:rPr/>
      </w:r>
      <w:r>
        <w:rPr>
          <w:sz w:val="20"/>
          <w:vertAlign w:val="superscript"/>
        </w:rPr>
        <w:t>91</w:t>
      </w:r>
      <w:r>
        <w:rPr>
          <w:spacing w:val="32"/>
          <w:sz w:val="20"/>
          <w:vertAlign w:val="baseline"/>
        </w:rPr>
        <w:t> </w:t>
      </w:r>
      <w:r>
        <w:rPr>
          <w:sz w:val="20"/>
          <w:vertAlign w:val="baseline"/>
        </w:rPr>
        <w:t>Nurhaswinda</w:t>
      </w:r>
      <w:r>
        <w:rPr>
          <w:spacing w:val="32"/>
          <w:sz w:val="20"/>
          <w:vertAlign w:val="baseline"/>
        </w:rPr>
        <w:t> </w:t>
      </w:r>
      <w:r>
        <w:rPr>
          <w:sz w:val="20"/>
          <w:vertAlign w:val="baseline"/>
        </w:rPr>
        <w:t>and</w:t>
      </w:r>
      <w:r>
        <w:rPr>
          <w:spacing w:val="30"/>
          <w:sz w:val="20"/>
          <w:vertAlign w:val="baseline"/>
        </w:rPr>
        <w:t> </w:t>
      </w:r>
      <w:r>
        <w:rPr>
          <w:sz w:val="20"/>
          <w:vertAlign w:val="baseline"/>
        </w:rPr>
        <w:t>others,</w:t>
      </w:r>
      <w:r>
        <w:rPr>
          <w:spacing w:val="32"/>
          <w:sz w:val="20"/>
          <w:vertAlign w:val="baseline"/>
        </w:rPr>
        <w:t> </w:t>
      </w:r>
      <w:r>
        <w:rPr>
          <w:sz w:val="20"/>
          <w:vertAlign w:val="baseline"/>
        </w:rPr>
        <w:t>‘Tutorial</w:t>
      </w:r>
      <w:r>
        <w:rPr>
          <w:spacing w:val="32"/>
          <w:sz w:val="20"/>
          <w:vertAlign w:val="baseline"/>
        </w:rPr>
        <w:t> </w:t>
      </w:r>
      <w:r>
        <w:rPr>
          <w:sz w:val="20"/>
          <w:vertAlign w:val="baseline"/>
        </w:rPr>
        <w:t>Uji</w:t>
      </w:r>
      <w:r>
        <w:rPr>
          <w:spacing w:val="32"/>
          <w:sz w:val="20"/>
          <w:vertAlign w:val="baseline"/>
        </w:rPr>
        <w:t> </w:t>
      </w:r>
      <w:r>
        <w:rPr>
          <w:sz w:val="20"/>
          <w:vertAlign w:val="baseline"/>
        </w:rPr>
        <w:t>Normalitas</w:t>
      </w:r>
      <w:r>
        <w:rPr>
          <w:spacing w:val="31"/>
          <w:sz w:val="20"/>
          <w:vertAlign w:val="baseline"/>
        </w:rPr>
        <w:t> </w:t>
      </w:r>
      <w:r>
        <w:rPr>
          <w:sz w:val="20"/>
          <w:vertAlign w:val="baseline"/>
        </w:rPr>
        <w:t>Dan</w:t>
      </w:r>
      <w:r>
        <w:rPr>
          <w:spacing w:val="33"/>
          <w:sz w:val="20"/>
          <w:vertAlign w:val="baseline"/>
        </w:rPr>
        <w:t> </w:t>
      </w:r>
      <w:r>
        <w:rPr>
          <w:sz w:val="20"/>
          <w:vertAlign w:val="baseline"/>
        </w:rPr>
        <w:t>Uji</w:t>
      </w:r>
      <w:r>
        <w:rPr>
          <w:spacing w:val="32"/>
          <w:sz w:val="20"/>
          <w:vertAlign w:val="baseline"/>
        </w:rPr>
        <w:t> </w:t>
      </w:r>
      <w:r>
        <w:rPr>
          <w:sz w:val="20"/>
          <w:vertAlign w:val="baseline"/>
        </w:rPr>
        <w:t>Homogenitas</w:t>
      </w:r>
      <w:r>
        <w:rPr>
          <w:spacing w:val="31"/>
          <w:sz w:val="20"/>
          <w:vertAlign w:val="baseline"/>
        </w:rPr>
        <w:t> </w:t>
      </w:r>
      <w:r>
        <w:rPr>
          <w:sz w:val="20"/>
          <w:vertAlign w:val="baseline"/>
        </w:rPr>
        <w:t>Menggunakan</w:t>
      </w:r>
      <w:r>
        <w:rPr>
          <w:spacing w:val="33"/>
          <w:sz w:val="20"/>
          <w:vertAlign w:val="baseline"/>
        </w:rPr>
        <w:t> </w:t>
      </w:r>
      <w:r>
        <w:rPr>
          <w:sz w:val="20"/>
          <w:vertAlign w:val="baseline"/>
        </w:rPr>
        <w:t>Aplikasi SPSS’, </w:t>
      </w:r>
      <w:r>
        <w:rPr>
          <w:i/>
          <w:sz w:val="20"/>
          <w:vertAlign w:val="baseline"/>
        </w:rPr>
        <w:t>Jurnal Cahaya Nusantara</w:t>
      </w:r>
      <w:r>
        <w:rPr>
          <w:sz w:val="20"/>
          <w:vertAlign w:val="baseline"/>
        </w:rPr>
        <w:t>, 1.2 (2025), 55–68.</w:t>
      </w:r>
    </w:p>
    <w:p>
      <w:pPr>
        <w:tabs>
          <w:tab w:pos="1338" w:val="left" w:leader="none"/>
          <w:tab w:pos="2625" w:val="left" w:leader="none"/>
          <w:tab w:pos="3481" w:val="left" w:leader="none"/>
          <w:tab w:pos="3869" w:val="left" w:leader="none"/>
          <w:tab w:pos="5288" w:val="left" w:leader="none"/>
          <w:tab w:pos="5820" w:val="left" w:leader="none"/>
          <w:tab w:pos="7053" w:val="left" w:leader="none"/>
          <w:tab w:pos="7636" w:val="left" w:leader="none"/>
          <w:tab w:pos="8450" w:val="left" w:leader="none"/>
        </w:tabs>
        <w:spacing w:before="0"/>
        <w:ind w:left="23" w:right="159" w:firstLine="719"/>
        <w:jc w:val="left"/>
        <w:rPr>
          <w:sz w:val="20"/>
        </w:rPr>
      </w:pPr>
      <w:bookmarkStart w:name="_bookmark154" w:id="155"/>
      <w:bookmarkEnd w:id="155"/>
      <w:r>
        <w:rPr/>
      </w:r>
      <w:r>
        <w:rPr>
          <w:sz w:val="20"/>
          <w:vertAlign w:val="superscript"/>
        </w:rPr>
        <w:t>92</w:t>
      </w:r>
      <w:r>
        <w:rPr>
          <w:sz w:val="20"/>
          <w:vertAlign w:val="baseline"/>
        </w:rPr>
        <w:t> Asghar Ghasemi and Saleh Zahediasl, ‘Normality Tests for Statistical Analysis: A Guide for Non-</w:t>
      </w:r>
      <w:r>
        <w:rPr>
          <w:spacing w:val="40"/>
          <w:sz w:val="20"/>
          <w:vertAlign w:val="baseline"/>
        </w:rPr>
        <w:t> </w:t>
      </w:r>
      <w:r>
        <w:rPr>
          <w:spacing w:val="-2"/>
          <w:sz w:val="20"/>
          <w:vertAlign w:val="baseline"/>
        </w:rPr>
        <w:t>Statisticians’,</w:t>
      </w:r>
      <w:r>
        <w:rPr>
          <w:sz w:val="20"/>
          <w:vertAlign w:val="baseline"/>
        </w:rPr>
        <w:tab/>
      </w:r>
      <w:r>
        <w:rPr>
          <w:i/>
          <w:spacing w:val="-2"/>
          <w:sz w:val="20"/>
          <w:vertAlign w:val="baseline"/>
        </w:rPr>
        <w:t>International</w:t>
      </w:r>
      <w:r>
        <w:rPr>
          <w:i/>
          <w:sz w:val="20"/>
          <w:vertAlign w:val="baseline"/>
        </w:rPr>
        <w:tab/>
      </w:r>
      <w:r>
        <w:rPr>
          <w:i/>
          <w:spacing w:val="-2"/>
          <w:sz w:val="20"/>
          <w:vertAlign w:val="baseline"/>
        </w:rPr>
        <w:t>Journal</w:t>
      </w:r>
      <w:r>
        <w:rPr>
          <w:i/>
          <w:sz w:val="20"/>
          <w:vertAlign w:val="baseline"/>
        </w:rPr>
        <w:tab/>
      </w:r>
      <w:r>
        <w:rPr>
          <w:i/>
          <w:spacing w:val="-5"/>
          <w:sz w:val="20"/>
          <w:vertAlign w:val="baseline"/>
        </w:rPr>
        <w:t>of</w:t>
      </w:r>
      <w:r>
        <w:rPr>
          <w:i/>
          <w:sz w:val="20"/>
          <w:vertAlign w:val="baseline"/>
        </w:rPr>
        <w:tab/>
      </w:r>
      <w:r>
        <w:rPr>
          <w:i/>
          <w:spacing w:val="-2"/>
          <w:sz w:val="20"/>
          <w:vertAlign w:val="baseline"/>
        </w:rPr>
        <w:t>Endocrinology</w:t>
      </w:r>
      <w:r>
        <w:rPr>
          <w:i/>
          <w:sz w:val="20"/>
          <w:vertAlign w:val="baseline"/>
        </w:rPr>
        <w:tab/>
      </w:r>
      <w:r>
        <w:rPr>
          <w:i/>
          <w:spacing w:val="-5"/>
          <w:sz w:val="20"/>
          <w:vertAlign w:val="baseline"/>
        </w:rPr>
        <w:t>and</w:t>
      </w:r>
      <w:r>
        <w:rPr>
          <w:i/>
          <w:sz w:val="20"/>
          <w:vertAlign w:val="baseline"/>
        </w:rPr>
        <w:tab/>
      </w:r>
      <w:r>
        <w:rPr>
          <w:i/>
          <w:spacing w:val="-2"/>
          <w:sz w:val="20"/>
          <w:vertAlign w:val="baseline"/>
        </w:rPr>
        <w:t>Metabolism</w:t>
      </w:r>
      <w:r>
        <w:rPr>
          <w:spacing w:val="-2"/>
          <w:sz w:val="20"/>
          <w:vertAlign w:val="baseline"/>
        </w:rPr>
        <w:t>,</w:t>
      </w:r>
      <w:r>
        <w:rPr>
          <w:sz w:val="20"/>
          <w:vertAlign w:val="baseline"/>
        </w:rPr>
        <w:tab/>
      </w:r>
      <w:r>
        <w:rPr>
          <w:spacing w:val="-4"/>
          <w:sz w:val="20"/>
          <w:vertAlign w:val="baseline"/>
        </w:rPr>
        <w:t>10.2</w:t>
      </w:r>
      <w:r>
        <w:rPr>
          <w:sz w:val="20"/>
          <w:vertAlign w:val="baseline"/>
        </w:rPr>
        <w:tab/>
      </w:r>
      <w:r>
        <w:rPr>
          <w:spacing w:val="-2"/>
          <w:sz w:val="20"/>
          <w:vertAlign w:val="baseline"/>
        </w:rPr>
        <w:t>(2012),</w:t>
      </w:r>
      <w:r>
        <w:rPr>
          <w:sz w:val="20"/>
          <w:vertAlign w:val="baseline"/>
        </w:rPr>
        <w:tab/>
      </w:r>
      <w:r>
        <w:rPr>
          <w:spacing w:val="-2"/>
          <w:sz w:val="20"/>
          <w:vertAlign w:val="baseline"/>
        </w:rPr>
        <w:t>486–89</w:t>
      </w:r>
    </w:p>
    <w:p>
      <w:pPr>
        <w:spacing w:before="0"/>
        <w:ind w:left="23" w:right="0" w:firstLine="0"/>
        <w:jc w:val="left"/>
        <w:rPr>
          <w:sz w:val="20"/>
        </w:rPr>
      </w:pPr>
      <w:r>
        <w:rPr>
          <w:spacing w:val="-2"/>
          <w:sz w:val="20"/>
        </w:rPr>
        <w:t>&lt;https://doi.org/10.5812/ijem.3505&gt;.</w:t>
      </w:r>
    </w:p>
    <w:p>
      <w:pPr>
        <w:spacing w:after="0"/>
        <w:jc w:val="left"/>
        <w:rPr>
          <w:sz w:val="20"/>
        </w:rPr>
        <w:sectPr>
          <w:pgSz w:w="11910" w:h="16840"/>
          <w:pgMar w:header="0" w:footer="1000" w:top="1360" w:bottom="1200" w:left="1417" w:right="1275"/>
        </w:sectPr>
      </w:pPr>
    </w:p>
    <w:p>
      <w:pPr>
        <w:pStyle w:val="BodyText"/>
        <w:spacing w:line="360" w:lineRule="auto" w:before="60"/>
        <w:ind w:left="1866" w:right="161"/>
        <w:jc w:val="both"/>
      </w:pPr>
      <w:r>
        <w:rPr/>
        <w:t>terjadinya multikolinearitas adalah dengan memeriksa nilai </w:t>
      </w:r>
      <w:r>
        <w:rPr>
          <w:i/>
        </w:rPr>
        <w:t>Variance Inflation Factor </w:t>
      </w:r>
      <w:r>
        <w:rPr/>
        <w:t>(VIF). Multikolinearitas dikatakan tidak terjadi jika nilai VIF kurang dari 10.</w:t>
      </w:r>
      <w:hyperlink w:history="true" w:anchor="_bookmark155">
        <w:r>
          <w:rPr>
            <w:vertAlign w:val="superscript"/>
          </w:rPr>
          <w:t>93</w:t>
        </w:r>
      </w:hyperlink>
    </w:p>
    <w:p>
      <w:pPr>
        <w:pStyle w:val="Heading2"/>
        <w:spacing w:before="161"/>
        <w:ind w:left="3400"/>
      </w:pPr>
      <w:r>
        <w:rPr/>
        <w:t>Tabel</w:t>
      </w:r>
      <w:r>
        <w:rPr>
          <w:spacing w:val="-1"/>
        </w:rPr>
        <w:t> </w:t>
      </w:r>
      <w:r>
        <w:rPr/>
        <w:t>4.2</w:t>
      </w:r>
      <w:r>
        <w:rPr>
          <w:spacing w:val="-1"/>
        </w:rPr>
        <w:t> </w:t>
      </w:r>
      <w:r>
        <w:rPr/>
        <w:t>Hasil Uji</w:t>
      </w:r>
      <w:r>
        <w:rPr>
          <w:spacing w:val="-1"/>
        </w:rPr>
        <w:t> </w:t>
      </w:r>
      <w:r>
        <w:rPr>
          <w:spacing w:val="-2"/>
        </w:rPr>
        <w:t>Multikolinieritas</w:t>
      </w:r>
    </w:p>
    <w:p>
      <w:pPr>
        <w:pStyle w:val="BodyText"/>
        <w:spacing w:before="4"/>
        <w:rPr>
          <w:b/>
          <w:sz w:val="17"/>
        </w:rPr>
      </w:pPr>
    </w:p>
    <w:tbl>
      <w:tblPr>
        <w:tblW w:w="0" w:type="auto"/>
        <w:jc w:val="left"/>
        <w:tblInd w:w="2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16"/>
        <w:gridCol w:w="1210"/>
        <w:gridCol w:w="1205"/>
        <w:gridCol w:w="1210"/>
      </w:tblGrid>
      <w:tr>
        <w:trPr>
          <w:trHeight w:val="433" w:hRule="atLeast"/>
        </w:trPr>
        <w:tc>
          <w:tcPr>
            <w:tcW w:w="2016" w:type="dxa"/>
            <w:vMerge w:val="restart"/>
          </w:tcPr>
          <w:p>
            <w:pPr>
              <w:pStyle w:val="TableParagraph"/>
              <w:spacing w:line="240" w:lineRule="auto" w:before="224"/>
              <w:ind w:left="628"/>
              <w:rPr>
                <w:sz w:val="22"/>
              </w:rPr>
            </w:pPr>
            <w:r>
              <w:rPr>
                <w:spacing w:val="-2"/>
                <w:sz w:val="22"/>
              </w:rPr>
              <w:t>Variable</w:t>
            </w:r>
          </w:p>
        </w:tc>
        <w:tc>
          <w:tcPr>
            <w:tcW w:w="1210" w:type="dxa"/>
          </w:tcPr>
          <w:p>
            <w:pPr>
              <w:pStyle w:val="TableParagraph"/>
              <w:spacing w:line="240" w:lineRule="auto" w:before="3"/>
              <w:ind w:left="12" w:right="7"/>
              <w:jc w:val="center"/>
              <w:rPr>
                <w:sz w:val="22"/>
              </w:rPr>
            </w:pPr>
            <w:r>
              <w:rPr>
                <w:spacing w:val="-2"/>
                <w:sz w:val="22"/>
              </w:rPr>
              <w:t>Coefficient</w:t>
            </w:r>
          </w:p>
        </w:tc>
        <w:tc>
          <w:tcPr>
            <w:tcW w:w="1205" w:type="dxa"/>
          </w:tcPr>
          <w:p>
            <w:pPr>
              <w:pStyle w:val="TableParagraph"/>
              <w:spacing w:line="240" w:lineRule="auto" w:before="3"/>
              <w:ind w:left="11"/>
              <w:jc w:val="center"/>
              <w:rPr>
                <w:sz w:val="22"/>
              </w:rPr>
            </w:pPr>
            <w:r>
              <w:rPr>
                <w:spacing w:val="-2"/>
                <w:sz w:val="22"/>
              </w:rPr>
              <w:t>Uncentered</w:t>
            </w:r>
          </w:p>
        </w:tc>
        <w:tc>
          <w:tcPr>
            <w:tcW w:w="1210" w:type="dxa"/>
          </w:tcPr>
          <w:p>
            <w:pPr>
              <w:pStyle w:val="TableParagraph"/>
              <w:spacing w:line="240" w:lineRule="auto" w:before="3"/>
              <w:ind w:left="12"/>
              <w:jc w:val="center"/>
              <w:rPr>
                <w:sz w:val="22"/>
              </w:rPr>
            </w:pPr>
            <w:r>
              <w:rPr>
                <w:spacing w:val="-2"/>
                <w:sz w:val="22"/>
              </w:rPr>
              <w:t>Centered</w:t>
            </w:r>
          </w:p>
        </w:tc>
      </w:tr>
      <w:tr>
        <w:trPr>
          <w:trHeight w:val="434" w:hRule="atLeast"/>
        </w:trPr>
        <w:tc>
          <w:tcPr>
            <w:tcW w:w="2016" w:type="dxa"/>
            <w:vMerge/>
            <w:tcBorders>
              <w:top w:val="nil"/>
            </w:tcBorders>
          </w:tcPr>
          <w:p>
            <w:pPr>
              <w:rPr>
                <w:sz w:val="2"/>
                <w:szCs w:val="2"/>
              </w:rPr>
            </w:pPr>
          </w:p>
        </w:tc>
        <w:tc>
          <w:tcPr>
            <w:tcW w:w="1210" w:type="dxa"/>
          </w:tcPr>
          <w:p>
            <w:pPr>
              <w:pStyle w:val="TableParagraph"/>
              <w:spacing w:line="240" w:lineRule="auto" w:before="1"/>
              <w:ind w:left="12" w:right="4"/>
              <w:jc w:val="center"/>
              <w:rPr>
                <w:sz w:val="22"/>
              </w:rPr>
            </w:pPr>
            <w:r>
              <w:rPr>
                <w:spacing w:val="-2"/>
                <w:sz w:val="22"/>
              </w:rPr>
              <w:t>Variance</w:t>
            </w:r>
          </w:p>
        </w:tc>
        <w:tc>
          <w:tcPr>
            <w:tcW w:w="1205" w:type="dxa"/>
          </w:tcPr>
          <w:p>
            <w:pPr>
              <w:pStyle w:val="TableParagraph"/>
              <w:spacing w:line="240" w:lineRule="auto" w:before="1"/>
              <w:ind w:left="11" w:right="4"/>
              <w:jc w:val="center"/>
              <w:rPr>
                <w:sz w:val="22"/>
              </w:rPr>
            </w:pPr>
            <w:r>
              <w:rPr>
                <w:spacing w:val="-5"/>
                <w:sz w:val="22"/>
              </w:rPr>
              <w:t>VIF</w:t>
            </w:r>
          </w:p>
        </w:tc>
        <w:tc>
          <w:tcPr>
            <w:tcW w:w="1210" w:type="dxa"/>
          </w:tcPr>
          <w:p>
            <w:pPr>
              <w:pStyle w:val="TableParagraph"/>
              <w:spacing w:line="240" w:lineRule="auto" w:before="1"/>
              <w:ind w:left="12" w:right="6"/>
              <w:jc w:val="center"/>
              <w:rPr>
                <w:sz w:val="22"/>
              </w:rPr>
            </w:pPr>
            <w:r>
              <w:rPr>
                <w:spacing w:val="-5"/>
                <w:sz w:val="22"/>
              </w:rPr>
              <w:t>VIF</w:t>
            </w:r>
          </w:p>
        </w:tc>
      </w:tr>
      <w:tr>
        <w:trPr>
          <w:trHeight w:val="431" w:hRule="atLeast"/>
        </w:trPr>
        <w:tc>
          <w:tcPr>
            <w:tcW w:w="2016" w:type="dxa"/>
          </w:tcPr>
          <w:p>
            <w:pPr>
              <w:pStyle w:val="TableParagraph"/>
              <w:spacing w:line="240" w:lineRule="auto" w:before="1"/>
              <w:ind w:left="8"/>
              <w:jc w:val="center"/>
              <w:rPr>
                <w:sz w:val="22"/>
              </w:rPr>
            </w:pPr>
            <w:r>
              <w:rPr>
                <w:spacing w:val="-10"/>
                <w:sz w:val="22"/>
              </w:rPr>
              <w:t>C</w:t>
            </w:r>
          </w:p>
        </w:tc>
        <w:tc>
          <w:tcPr>
            <w:tcW w:w="1210" w:type="dxa"/>
          </w:tcPr>
          <w:p>
            <w:pPr>
              <w:pStyle w:val="TableParagraph"/>
              <w:spacing w:line="240" w:lineRule="auto" w:before="1"/>
              <w:ind w:left="12" w:right="6"/>
              <w:jc w:val="center"/>
              <w:rPr>
                <w:sz w:val="22"/>
              </w:rPr>
            </w:pPr>
            <w:r>
              <w:rPr>
                <w:spacing w:val="-2"/>
                <w:sz w:val="22"/>
              </w:rPr>
              <w:t>5.624557</w:t>
            </w:r>
          </w:p>
        </w:tc>
        <w:tc>
          <w:tcPr>
            <w:tcW w:w="1205" w:type="dxa"/>
          </w:tcPr>
          <w:p>
            <w:pPr>
              <w:pStyle w:val="TableParagraph"/>
              <w:spacing w:line="240" w:lineRule="auto" w:before="1"/>
              <w:ind w:left="11"/>
              <w:jc w:val="center"/>
              <w:rPr>
                <w:sz w:val="22"/>
              </w:rPr>
            </w:pPr>
            <w:r>
              <w:rPr>
                <w:spacing w:val="-2"/>
                <w:sz w:val="22"/>
              </w:rPr>
              <w:t>54255.40</w:t>
            </w:r>
          </w:p>
        </w:tc>
        <w:tc>
          <w:tcPr>
            <w:tcW w:w="1210" w:type="dxa"/>
          </w:tcPr>
          <w:p>
            <w:pPr>
              <w:pStyle w:val="TableParagraph"/>
              <w:spacing w:line="240" w:lineRule="auto" w:before="1"/>
              <w:ind w:left="12" w:right="4"/>
              <w:jc w:val="center"/>
              <w:rPr>
                <w:sz w:val="22"/>
              </w:rPr>
            </w:pPr>
            <w:r>
              <w:rPr>
                <w:spacing w:val="-5"/>
                <w:sz w:val="22"/>
              </w:rPr>
              <w:t>NA</w:t>
            </w:r>
          </w:p>
        </w:tc>
      </w:tr>
      <w:tr>
        <w:trPr>
          <w:trHeight w:val="434" w:hRule="atLeast"/>
        </w:trPr>
        <w:tc>
          <w:tcPr>
            <w:tcW w:w="2016" w:type="dxa"/>
          </w:tcPr>
          <w:p>
            <w:pPr>
              <w:pStyle w:val="TableParagraph"/>
              <w:spacing w:line="240" w:lineRule="auto" w:before="1"/>
              <w:ind w:left="8"/>
              <w:jc w:val="center"/>
              <w:rPr>
                <w:sz w:val="22"/>
              </w:rPr>
            </w:pPr>
            <w:r>
              <w:rPr>
                <w:spacing w:val="-2"/>
                <w:sz w:val="22"/>
              </w:rPr>
              <w:t>LOG(X1)</w:t>
            </w:r>
          </w:p>
        </w:tc>
        <w:tc>
          <w:tcPr>
            <w:tcW w:w="1210" w:type="dxa"/>
          </w:tcPr>
          <w:p>
            <w:pPr>
              <w:pStyle w:val="TableParagraph"/>
              <w:spacing w:line="240" w:lineRule="auto" w:before="1"/>
              <w:ind w:left="12" w:right="6"/>
              <w:jc w:val="center"/>
              <w:rPr>
                <w:sz w:val="22"/>
              </w:rPr>
            </w:pPr>
            <w:r>
              <w:rPr>
                <w:spacing w:val="-2"/>
                <w:sz w:val="22"/>
              </w:rPr>
              <w:t>0.010142</w:t>
            </w:r>
          </w:p>
        </w:tc>
        <w:tc>
          <w:tcPr>
            <w:tcW w:w="1205" w:type="dxa"/>
          </w:tcPr>
          <w:p>
            <w:pPr>
              <w:pStyle w:val="TableParagraph"/>
              <w:spacing w:line="240" w:lineRule="auto" w:before="1"/>
              <w:ind w:left="11"/>
              <w:jc w:val="center"/>
              <w:rPr>
                <w:sz w:val="22"/>
              </w:rPr>
            </w:pPr>
            <w:r>
              <w:rPr>
                <w:spacing w:val="-2"/>
                <w:sz w:val="22"/>
              </w:rPr>
              <w:t>2170.794</w:t>
            </w:r>
          </w:p>
        </w:tc>
        <w:tc>
          <w:tcPr>
            <w:tcW w:w="1210" w:type="dxa"/>
          </w:tcPr>
          <w:p>
            <w:pPr>
              <w:pStyle w:val="TableParagraph"/>
              <w:spacing w:line="240" w:lineRule="auto" w:before="1"/>
              <w:ind w:left="12" w:right="1"/>
              <w:jc w:val="center"/>
              <w:rPr>
                <w:sz w:val="22"/>
              </w:rPr>
            </w:pPr>
            <w:r>
              <w:rPr>
                <w:spacing w:val="-2"/>
                <w:sz w:val="22"/>
              </w:rPr>
              <w:t>2.489980</w:t>
            </w:r>
          </w:p>
        </w:tc>
      </w:tr>
      <w:tr>
        <w:trPr>
          <w:trHeight w:val="432" w:hRule="atLeast"/>
        </w:trPr>
        <w:tc>
          <w:tcPr>
            <w:tcW w:w="2016" w:type="dxa"/>
          </w:tcPr>
          <w:p>
            <w:pPr>
              <w:pStyle w:val="TableParagraph"/>
              <w:spacing w:line="240" w:lineRule="auto" w:before="1"/>
              <w:ind w:left="8"/>
              <w:jc w:val="center"/>
              <w:rPr>
                <w:sz w:val="22"/>
              </w:rPr>
            </w:pPr>
            <w:r>
              <w:rPr>
                <w:spacing w:val="-2"/>
                <w:sz w:val="22"/>
              </w:rPr>
              <w:t>LOG(X2)</w:t>
            </w:r>
          </w:p>
        </w:tc>
        <w:tc>
          <w:tcPr>
            <w:tcW w:w="1210" w:type="dxa"/>
          </w:tcPr>
          <w:p>
            <w:pPr>
              <w:pStyle w:val="TableParagraph"/>
              <w:spacing w:line="240" w:lineRule="auto" w:before="1"/>
              <w:ind w:left="12" w:right="6"/>
              <w:jc w:val="center"/>
              <w:rPr>
                <w:sz w:val="22"/>
              </w:rPr>
            </w:pPr>
            <w:r>
              <w:rPr>
                <w:spacing w:val="-2"/>
                <w:sz w:val="22"/>
              </w:rPr>
              <w:t>0.068782</w:t>
            </w:r>
          </w:p>
        </w:tc>
        <w:tc>
          <w:tcPr>
            <w:tcW w:w="1205" w:type="dxa"/>
          </w:tcPr>
          <w:p>
            <w:pPr>
              <w:pStyle w:val="TableParagraph"/>
              <w:spacing w:line="240" w:lineRule="auto" w:before="1"/>
              <w:ind w:left="11"/>
              <w:jc w:val="center"/>
              <w:rPr>
                <w:sz w:val="22"/>
              </w:rPr>
            </w:pPr>
            <w:r>
              <w:rPr>
                <w:spacing w:val="-2"/>
                <w:sz w:val="22"/>
              </w:rPr>
              <w:t>61308.06</w:t>
            </w:r>
          </w:p>
        </w:tc>
        <w:tc>
          <w:tcPr>
            <w:tcW w:w="1210" w:type="dxa"/>
          </w:tcPr>
          <w:p>
            <w:pPr>
              <w:pStyle w:val="TableParagraph"/>
              <w:spacing w:line="240" w:lineRule="auto" w:before="1"/>
              <w:ind w:left="12" w:right="1"/>
              <w:jc w:val="center"/>
              <w:rPr>
                <w:sz w:val="22"/>
              </w:rPr>
            </w:pPr>
            <w:r>
              <w:rPr>
                <w:spacing w:val="-2"/>
                <w:sz w:val="22"/>
              </w:rPr>
              <w:t>1.299190</w:t>
            </w:r>
          </w:p>
        </w:tc>
      </w:tr>
      <w:tr>
        <w:trPr>
          <w:trHeight w:val="433" w:hRule="atLeast"/>
        </w:trPr>
        <w:tc>
          <w:tcPr>
            <w:tcW w:w="2016" w:type="dxa"/>
          </w:tcPr>
          <w:p>
            <w:pPr>
              <w:pStyle w:val="TableParagraph"/>
              <w:spacing w:line="240" w:lineRule="auto" w:before="3"/>
              <w:ind w:left="8"/>
              <w:jc w:val="center"/>
              <w:rPr>
                <w:sz w:val="22"/>
              </w:rPr>
            </w:pPr>
            <w:r>
              <w:rPr>
                <w:spacing w:val="-5"/>
                <w:sz w:val="22"/>
              </w:rPr>
              <w:t>X3</w:t>
            </w:r>
          </w:p>
        </w:tc>
        <w:tc>
          <w:tcPr>
            <w:tcW w:w="1210" w:type="dxa"/>
          </w:tcPr>
          <w:p>
            <w:pPr>
              <w:pStyle w:val="TableParagraph"/>
              <w:spacing w:line="240" w:lineRule="auto" w:before="3"/>
              <w:ind w:left="12" w:right="5"/>
              <w:jc w:val="center"/>
              <w:rPr>
                <w:sz w:val="22"/>
              </w:rPr>
            </w:pPr>
            <w:r>
              <w:rPr>
                <w:spacing w:val="-2"/>
                <w:sz w:val="22"/>
              </w:rPr>
              <w:t>8.41E-</w:t>
            </w:r>
            <w:r>
              <w:rPr>
                <w:spacing w:val="-5"/>
                <w:sz w:val="22"/>
              </w:rPr>
              <w:t>05</w:t>
            </w:r>
          </w:p>
        </w:tc>
        <w:tc>
          <w:tcPr>
            <w:tcW w:w="1205" w:type="dxa"/>
          </w:tcPr>
          <w:p>
            <w:pPr>
              <w:pStyle w:val="TableParagraph"/>
              <w:spacing w:line="240" w:lineRule="auto" w:before="3"/>
              <w:ind w:left="11"/>
              <w:jc w:val="center"/>
              <w:rPr>
                <w:sz w:val="22"/>
              </w:rPr>
            </w:pPr>
            <w:r>
              <w:rPr>
                <w:spacing w:val="-2"/>
                <w:sz w:val="22"/>
              </w:rPr>
              <w:t>7.582741</w:t>
            </w:r>
          </w:p>
        </w:tc>
        <w:tc>
          <w:tcPr>
            <w:tcW w:w="1210" w:type="dxa"/>
          </w:tcPr>
          <w:p>
            <w:pPr>
              <w:pStyle w:val="TableParagraph"/>
              <w:spacing w:line="240" w:lineRule="auto" w:before="3"/>
              <w:ind w:left="12" w:right="1"/>
              <w:jc w:val="center"/>
              <w:rPr>
                <w:sz w:val="22"/>
              </w:rPr>
            </w:pPr>
            <w:r>
              <w:rPr>
                <w:spacing w:val="-2"/>
                <w:sz w:val="22"/>
              </w:rPr>
              <w:t>1.412405</w:t>
            </w:r>
          </w:p>
        </w:tc>
      </w:tr>
      <w:tr>
        <w:trPr>
          <w:trHeight w:val="434" w:hRule="atLeast"/>
        </w:trPr>
        <w:tc>
          <w:tcPr>
            <w:tcW w:w="2016" w:type="dxa"/>
          </w:tcPr>
          <w:p>
            <w:pPr>
              <w:pStyle w:val="TableParagraph"/>
              <w:spacing w:line="240" w:lineRule="auto" w:before="1"/>
              <w:ind w:left="8"/>
              <w:jc w:val="center"/>
              <w:rPr>
                <w:sz w:val="22"/>
              </w:rPr>
            </w:pPr>
            <w:r>
              <w:rPr>
                <w:spacing w:val="-2"/>
                <w:sz w:val="22"/>
              </w:rPr>
              <w:t>LOG(X4)</w:t>
            </w:r>
          </w:p>
        </w:tc>
        <w:tc>
          <w:tcPr>
            <w:tcW w:w="1210" w:type="dxa"/>
          </w:tcPr>
          <w:p>
            <w:pPr>
              <w:pStyle w:val="TableParagraph"/>
              <w:spacing w:line="240" w:lineRule="auto" w:before="1"/>
              <w:ind w:left="12" w:right="6"/>
              <w:jc w:val="center"/>
              <w:rPr>
                <w:sz w:val="22"/>
              </w:rPr>
            </w:pPr>
            <w:r>
              <w:rPr>
                <w:spacing w:val="-2"/>
                <w:sz w:val="22"/>
              </w:rPr>
              <w:t>0.026666</w:t>
            </w:r>
          </w:p>
        </w:tc>
        <w:tc>
          <w:tcPr>
            <w:tcW w:w="1205" w:type="dxa"/>
          </w:tcPr>
          <w:p>
            <w:pPr>
              <w:pStyle w:val="TableParagraph"/>
              <w:spacing w:line="240" w:lineRule="auto" w:before="1"/>
              <w:ind w:left="11"/>
              <w:jc w:val="center"/>
              <w:rPr>
                <w:sz w:val="22"/>
              </w:rPr>
            </w:pPr>
            <w:r>
              <w:rPr>
                <w:spacing w:val="-2"/>
                <w:sz w:val="22"/>
              </w:rPr>
              <w:t>6403.017</w:t>
            </w:r>
          </w:p>
        </w:tc>
        <w:tc>
          <w:tcPr>
            <w:tcW w:w="1210" w:type="dxa"/>
          </w:tcPr>
          <w:p>
            <w:pPr>
              <w:pStyle w:val="TableParagraph"/>
              <w:spacing w:line="240" w:lineRule="auto" w:before="1"/>
              <w:ind w:left="12" w:right="1"/>
              <w:jc w:val="center"/>
              <w:rPr>
                <w:sz w:val="22"/>
              </w:rPr>
            </w:pPr>
            <w:r>
              <w:rPr>
                <w:spacing w:val="-2"/>
                <w:sz w:val="22"/>
              </w:rPr>
              <w:t>1.906930</w:t>
            </w:r>
          </w:p>
        </w:tc>
      </w:tr>
    </w:tbl>
    <w:p>
      <w:pPr>
        <w:pStyle w:val="BodyText"/>
        <w:spacing w:before="1"/>
        <w:ind w:left="1866"/>
        <w:jc w:val="both"/>
      </w:pPr>
      <w:r>
        <w:rPr/>
        <w:t>Sumber:</w:t>
      </w:r>
      <w:r>
        <w:rPr>
          <w:spacing w:val="-2"/>
        </w:rPr>
        <w:t> </w:t>
      </w:r>
      <w:r>
        <w:rPr/>
        <w:t>Output</w:t>
      </w:r>
      <w:r>
        <w:rPr>
          <w:spacing w:val="-1"/>
        </w:rPr>
        <w:t> </w:t>
      </w:r>
      <w:r>
        <w:rPr>
          <w:i/>
        </w:rPr>
        <w:t>eviews</w:t>
      </w:r>
      <w:r>
        <w:rPr/>
        <w:t>,</w:t>
      </w:r>
      <w:r>
        <w:rPr>
          <w:spacing w:val="-1"/>
        </w:rPr>
        <w:t> </w:t>
      </w:r>
      <w:r>
        <w:rPr/>
        <w:t>data</w:t>
      </w:r>
      <w:r>
        <w:rPr>
          <w:spacing w:val="-2"/>
        </w:rPr>
        <w:t> </w:t>
      </w:r>
      <w:r>
        <w:rPr/>
        <w:t>diolah</w:t>
      </w:r>
      <w:r>
        <w:rPr>
          <w:spacing w:val="-1"/>
        </w:rPr>
        <w:t> </w:t>
      </w:r>
      <w:r>
        <w:rPr>
          <w:spacing w:val="-2"/>
        </w:rPr>
        <w:t>(2025)</w:t>
      </w:r>
    </w:p>
    <w:p>
      <w:pPr>
        <w:pStyle w:val="BodyText"/>
        <w:spacing w:line="360" w:lineRule="auto" w:before="137"/>
        <w:ind w:left="1866" w:right="165" w:firstLine="316"/>
        <w:jc w:val="both"/>
      </w:pPr>
      <w:r>
        <w:rPr/>
        <w:t>Berdasarkan tabel 4.2 dapat dilihat bahwasanya nilai VIF variabel Indeks Saham Syariah Indonesia (Y), Indeks Keyakinan Konsumen (X1), nilai tukar (X2), inflasi (X3), dan Indeks Produksi Industri (X4) tidak ada yang melebihi angka 10, maka dapat disimpulkan pada model regresi ini tidak terjadi multikolinieritas.</w:t>
      </w:r>
    </w:p>
    <w:p>
      <w:pPr>
        <w:pStyle w:val="Heading2"/>
        <w:numPr>
          <w:ilvl w:val="3"/>
          <w:numId w:val="24"/>
        </w:numPr>
        <w:tabs>
          <w:tab w:pos="1866" w:val="left" w:leader="none"/>
        </w:tabs>
        <w:spacing w:line="240" w:lineRule="auto" w:before="2" w:after="0"/>
        <w:ind w:left="1866" w:right="0" w:hanging="360"/>
        <w:jc w:val="both"/>
      </w:pPr>
      <w:r>
        <w:rPr/>
        <w:t>Uji</w:t>
      </w:r>
      <w:r>
        <w:rPr>
          <w:spacing w:val="-2"/>
        </w:rPr>
        <w:t> Autokorelasi</w:t>
      </w:r>
    </w:p>
    <w:p>
      <w:pPr>
        <w:pStyle w:val="BodyText"/>
        <w:spacing w:line="360" w:lineRule="auto" w:before="137"/>
        <w:ind w:left="1866" w:right="159" w:firstLine="316"/>
        <w:jc w:val="both"/>
      </w:pPr>
      <w:r>
        <w:rPr/>
        <w:t>Tujuan</w:t>
      </w:r>
      <w:r>
        <w:rPr>
          <w:spacing w:val="-7"/>
        </w:rPr>
        <w:t> </w:t>
      </w:r>
      <w:r>
        <w:rPr/>
        <w:t>dari</w:t>
      </w:r>
      <w:r>
        <w:rPr>
          <w:spacing w:val="-5"/>
        </w:rPr>
        <w:t> </w:t>
      </w:r>
      <w:r>
        <w:rPr/>
        <w:t>uji</w:t>
      </w:r>
      <w:r>
        <w:rPr>
          <w:spacing w:val="-6"/>
        </w:rPr>
        <w:t> </w:t>
      </w:r>
      <w:r>
        <w:rPr/>
        <w:t>autokorelasi</w:t>
      </w:r>
      <w:r>
        <w:rPr>
          <w:spacing w:val="-6"/>
        </w:rPr>
        <w:t> </w:t>
      </w:r>
      <w:r>
        <w:rPr/>
        <w:t>adalah</w:t>
      </w:r>
      <w:r>
        <w:rPr>
          <w:spacing w:val="-5"/>
        </w:rPr>
        <w:t> </w:t>
      </w:r>
      <w:r>
        <w:rPr/>
        <w:t>untuk</w:t>
      </w:r>
      <w:r>
        <w:rPr>
          <w:spacing w:val="-6"/>
        </w:rPr>
        <w:t> </w:t>
      </w:r>
      <w:r>
        <w:rPr/>
        <w:t>mengetahui</w:t>
      </w:r>
      <w:r>
        <w:rPr>
          <w:spacing w:val="-6"/>
        </w:rPr>
        <w:t> </w:t>
      </w:r>
      <w:r>
        <w:rPr/>
        <w:t>apakah</w:t>
      </w:r>
      <w:r>
        <w:rPr>
          <w:spacing w:val="-5"/>
        </w:rPr>
        <w:t> </w:t>
      </w:r>
      <w:r>
        <w:rPr/>
        <w:t>kesalahan pengganggu</w:t>
      </w:r>
      <w:r>
        <w:rPr>
          <w:spacing w:val="-12"/>
        </w:rPr>
        <w:t> </w:t>
      </w:r>
      <w:r>
        <w:rPr/>
        <w:t>pada</w:t>
      </w:r>
      <w:r>
        <w:rPr>
          <w:spacing w:val="-13"/>
        </w:rPr>
        <w:t> </w:t>
      </w:r>
      <w:r>
        <w:rPr/>
        <w:t>periode</w:t>
      </w:r>
      <w:r>
        <w:rPr>
          <w:spacing w:val="-10"/>
        </w:rPr>
        <w:t> </w:t>
      </w:r>
      <w:r>
        <w:rPr/>
        <w:t>t-1</w:t>
      </w:r>
      <w:r>
        <w:rPr>
          <w:spacing w:val="-12"/>
        </w:rPr>
        <w:t> </w:t>
      </w:r>
      <w:r>
        <w:rPr/>
        <w:t>(sebelumnya)</w:t>
      </w:r>
      <w:r>
        <w:rPr>
          <w:spacing w:val="-12"/>
        </w:rPr>
        <w:t> </w:t>
      </w:r>
      <w:r>
        <w:rPr/>
        <w:t>dari</w:t>
      </w:r>
      <w:r>
        <w:rPr>
          <w:spacing w:val="-12"/>
        </w:rPr>
        <w:t> </w:t>
      </w:r>
      <w:r>
        <w:rPr/>
        <w:t>sebuah</w:t>
      </w:r>
      <w:r>
        <w:rPr>
          <w:spacing w:val="-12"/>
        </w:rPr>
        <w:t> </w:t>
      </w:r>
      <w:r>
        <w:rPr/>
        <w:t>model</w:t>
      </w:r>
      <w:r>
        <w:rPr>
          <w:spacing w:val="-12"/>
        </w:rPr>
        <w:t> </w:t>
      </w:r>
      <w:r>
        <w:rPr/>
        <w:t>regresi</w:t>
      </w:r>
      <w:r>
        <w:rPr>
          <w:spacing w:val="-11"/>
        </w:rPr>
        <w:t> </w:t>
      </w:r>
      <w:r>
        <w:rPr/>
        <w:t>linier berkorelasi, sebab nilai data saat ini biasanya dipengaruhi oleh data dari periode sebelumnya. Masalah autokorelasi sering muncul pada data time series, terutama karena data terkadang mencakup lebih dari satu tahun, sehingga membuat pengujian ini relevan.</w:t>
      </w:r>
      <w:hyperlink w:history="true" w:anchor="_bookmark156">
        <w:r>
          <w:rPr>
            <w:vertAlign w:val="superscript"/>
          </w:rPr>
          <w:t>94</w:t>
        </w:r>
      </w:hyperlink>
      <w:r>
        <w:rPr>
          <w:vertAlign w:val="baseline"/>
        </w:rPr>
        <w:t> Dengan menggunakan pendekatan </w:t>
      </w:r>
      <w:r>
        <w:rPr>
          <w:i/>
          <w:vertAlign w:val="baseline"/>
        </w:rPr>
        <w:t>Lagrange Multiplier</w:t>
      </w:r>
      <w:r>
        <w:rPr>
          <w:vertAlign w:val="baseline"/>
        </w:rPr>
        <w:t>, masalah autokorelasi dapat diperiksa pada tingkat autokorelasi lain selain tingkat pertama. Apabila nilai </w:t>
      </w:r>
      <w:r>
        <w:rPr>
          <w:i/>
          <w:vertAlign w:val="baseline"/>
        </w:rPr>
        <w:t>probability</w:t>
      </w:r>
      <w:r>
        <w:rPr>
          <w:i/>
          <w:spacing w:val="52"/>
          <w:w w:val="150"/>
          <w:vertAlign w:val="baseline"/>
        </w:rPr>
        <w:t> </w:t>
      </w:r>
      <w:r>
        <w:rPr>
          <w:i/>
          <w:vertAlign w:val="baseline"/>
        </w:rPr>
        <w:t>chi-square</w:t>
      </w:r>
      <w:r>
        <w:rPr>
          <w:i/>
          <w:spacing w:val="58"/>
          <w:w w:val="150"/>
          <w:vertAlign w:val="baseline"/>
        </w:rPr>
        <w:t> </w:t>
      </w:r>
      <w:r>
        <w:rPr>
          <w:vertAlign w:val="baseline"/>
        </w:rPr>
        <w:t>&gt;</w:t>
      </w:r>
      <w:r>
        <w:rPr>
          <w:spacing w:val="55"/>
          <w:w w:val="150"/>
          <w:vertAlign w:val="baseline"/>
        </w:rPr>
        <w:t> </w:t>
      </w:r>
      <w:r>
        <w:rPr>
          <w:vertAlign w:val="baseline"/>
        </w:rPr>
        <w:t>α</w:t>
      </w:r>
      <w:r>
        <w:rPr>
          <w:spacing w:val="56"/>
          <w:w w:val="150"/>
          <w:vertAlign w:val="baseline"/>
        </w:rPr>
        <w:t> </w:t>
      </w:r>
      <w:r>
        <w:rPr>
          <w:vertAlign w:val="baseline"/>
        </w:rPr>
        <w:t>=</w:t>
      </w:r>
      <w:r>
        <w:rPr>
          <w:spacing w:val="56"/>
          <w:w w:val="150"/>
          <w:vertAlign w:val="baseline"/>
        </w:rPr>
        <w:t> </w:t>
      </w:r>
      <w:r>
        <w:rPr>
          <w:vertAlign w:val="baseline"/>
        </w:rPr>
        <w:t>0,05</w:t>
      </w:r>
      <w:r>
        <w:rPr>
          <w:spacing w:val="56"/>
          <w:w w:val="150"/>
          <w:vertAlign w:val="baseline"/>
        </w:rPr>
        <w:t> </w:t>
      </w:r>
      <w:r>
        <w:rPr>
          <w:vertAlign w:val="baseline"/>
        </w:rPr>
        <w:t>berarti</w:t>
      </w:r>
      <w:r>
        <w:rPr>
          <w:spacing w:val="55"/>
          <w:w w:val="150"/>
          <w:vertAlign w:val="baseline"/>
        </w:rPr>
        <w:t> </w:t>
      </w:r>
      <w:r>
        <w:rPr>
          <w:vertAlign w:val="baseline"/>
        </w:rPr>
        <w:t>tidak</w:t>
      </w:r>
      <w:r>
        <w:rPr>
          <w:spacing w:val="56"/>
          <w:w w:val="150"/>
          <w:vertAlign w:val="baseline"/>
        </w:rPr>
        <w:t> </w:t>
      </w:r>
      <w:r>
        <w:rPr>
          <w:vertAlign w:val="baseline"/>
        </w:rPr>
        <w:t>terjadi</w:t>
      </w:r>
      <w:r>
        <w:rPr>
          <w:spacing w:val="58"/>
          <w:w w:val="150"/>
          <w:vertAlign w:val="baseline"/>
        </w:rPr>
        <w:t> </w:t>
      </w:r>
      <w:r>
        <w:rPr>
          <w:spacing w:val="-2"/>
          <w:vertAlign w:val="baseline"/>
        </w:rPr>
        <w:t>autokorelasi.</w:t>
      </w:r>
    </w:p>
    <w:p>
      <w:pPr>
        <w:pStyle w:val="BodyText"/>
        <w:rPr>
          <w:sz w:val="20"/>
        </w:rPr>
      </w:pPr>
    </w:p>
    <w:p>
      <w:pPr>
        <w:pStyle w:val="BodyText"/>
        <w:rPr>
          <w:sz w:val="20"/>
        </w:rPr>
      </w:pPr>
    </w:p>
    <w:p>
      <w:pPr>
        <w:pStyle w:val="BodyText"/>
        <w:spacing w:before="138"/>
        <w:rPr>
          <w:sz w:val="20"/>
        </w:rPr>
      </w:pPr>
      <w:r>
        <w:rPr>
          <w:sz w:val="20"/>
        </w:rPr>
        <mc:AlternateContent>
          <mc:Choice Requires="wps">
            <w:drawing>
              <wp:anchor distT="0" distB="0" distL="0" distR="0" allowOverlap="1" layoutInCell="1" locked="0" behindDoc="1" simplePos="0" relativeHeight="487617536">
                <wp:simplePos x="0" y="0"/>
                <wp:positionH relativeFrom="page">
                  <wp:posOffset>914704</wp:posOffset>
                </wp:positionH>
                <wp:positionV relativeFrom="paragraph">
                  <wp:posOffset>249286</wp:posOffset>
                </wp:positionV>
                <wp:extent cx="1829435" cy="9525"/>
                <wp:effectExtent l="0" t="0" r="0" b="0"/>
                <wp:wrapTopAndBottom/>
                <wp:docPr id="336" name="Graphic 336"/>
                <wp:cNvGraphicFramePr>
                  <a:graphicFrameLocks/>
                </wp:cNvGraphicFramePr>
                <a:graphic>
                  <a:graphicData uri="http://schemas.microsoft.com/office/word/2010/wordprocessingShape">
                    <wps:wsp>
                      <wps:cNvPr id="336" name="Graphic 336"/>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628881pt;width:144.020pt;height:.72003pt;mso-position-horizontal-relative:page;mso-position-vertical-relative:paragraph;z-index:-15698944;mso-wrap-distance-left:0;mso-wrap-distance-right:0" id="docshape308" filled="true" fillcolor="#000000" stroked="false">
                <v:fill type="solid"/>
                <w10:wrap type="topAndBottom"/>
              </v:rect>
            </w:pict>
          </mc:Fallback>
        </mc:AlternateContent>
      </w:r>
    </w:p>
    <w:p>
      <w:pPr>
        <w:spacing w:before="101"/>
        <w:ind w:left="0" w:right="168" w:firstLine="0"/>
        <w:jc w:val="right"/>
        <w:rPr>
          <w:sz w:val="20"/>
        </w:rPr>
      </w:pPr>
      <w:bookmarkStart w:name="_bookmark155" w:id="156"/>
      <w:bookmarkEnd w:id="156"/>
      <w:r>
        <w:rPr/>
      </w:r>
      <w:r>
        <w:rPr>
          <w:sz w:val="20"/>
          <w:vertAlign w:val="superscript"/>
        </w:rPr>
        <w:t>93</w:t>
      </w:r>
      <w:r>
        <w:rPr>
          <w:spacing w:val="4"/>
          <w:sz w:val="20"/>
          <w:vertAlign w:val="baseline"/>
        </w:rPr>
        <w:t> </w:t>
      </w:r>
      <w:r>
        <w:rPr>
          <w:sz w:val="20"/>
          <w:vertAlign w:val="baseline"/>
        </w:rPr>
        <w:t>Gun</w:t>
      </w:r>
      <w:r>
        <w:rPr>
          <w:spacing w:val="5"/>
          <w:sz w:val="20"/>
          <w:vertAlign w:val="baseline"/>
        </w:rPr>
        <w:t> </w:t>
      </w:r>
      <w:r>
        <w:rPr>
          <w:sz w:val="20"/>
          <w:vertAlign w:val="baseline"/>
        </w:rPr>
        <w:t>Mardiatmoko,</w:t>
      </w:r>
      <w:r>
        <w:rPr>
          <w:spacing w:val="4"/>
          <w:sz w:val="20"/>
          <w:vertAlign w:val="baseline"/>
        </w:rPr>
        <w:t> </w:t>
      </w:r>
      <w:r>
        <w:rPr>
          <w:sz w:val="20"/>
          <w:vertAlign w:val="baseline"/>
        </w:rPr>
        <w:t>‘PENTINGNYA</w:t>
      </w:r>
      <w:r>
        <w:rPr>
          <w:spacing w:val="4"/>
          <w:sz w:val="20"/>
          <w:vertAlign w:val="baseline"/>
        </w:rPr>
        <w:t> </w:t>
      </w:r>
      <w:r>
        <w:rPr>
          <w:sz w:val="20"/>
          <w:vertAlign w:val="baseline"/>
        </w:rPr>
        <w:t>UJI</w:t>
      </w:r>
      <w:r>
        <w:rPr>
          <w:spacing w:val="5"/>
          <w:sz w:val="20"/>
          <w:vertAlign w:val="baseline"/>
        </w:rPr>
        <w:t> </w:t>
      </w:r>
      <w:r>
        <w:rPr>
          <w:sz w:val="20"/>
          <w:vertAlign w:val="baseline"/>
        </w:rPr>
        <w:t>ASUMSI</w:t>
      </w:r>
      <w:r>
        <w:rPr>
          <w:spacing w:val="4"/>
          <w:sz w:val="20"/>
          <w:vertAlign w:val="baseline"/>
        </w:rPr>
        <w:t> </w:t>
      </w:r>
      <w:r>
        <w:rPr>
          <w:sz w:val="20"/>
          <w:vertAlign w:val="baseline"/>
        </w:rPr>
        <w:t>KLASIK</w:t>
      </w:r>
      <w:r>
        <w:rPr>
          <w:spacing w:val="4"/>
          <w:sz w:val="20"/>
          <w:vertAlign w:val="baseline"/>
        </w:rPr>
        <w:t> </w:t>
      </w:r>
      <w:r>
        <w:rPr>
          <w:sz w:val="20"/>
          <w:vertAlign w:val="baseline"/>
        </w:rPr>
        <w:t>PADA</w:t>
      </w:r>
      <w:r>
        <w:rPr>
          <w:spacing w:val="5"/>
          <w:sz w:val="20"/>
          <w:vertAlign w:val="baseline"/>
        </w:rPr>
        <w:t> </w:t>
      </w:r>
      <w:r>
        <w:rPr>
          <w:sz w:val="20"/>
          <w:vertAlign w:val="baseline"/>
        </w:rPr>
        <w:t>ANALISIS</w:t>
      </w:r>
      <w:r>
        <w:rPr>
          <w:spacing w:val="4"/>
          <w:sz w:val="20"/>
          <w:vertAlign w:val="baseline"/>
        </w:rPr>
        <w:t> </w:t>
      </w:r>
      <w:r>
        <w:rPr>
          <w:sz w:val="20"/>
          <w:vertAlign w:val="baseline"/>
        </w:rPr>
        <w:t>REGRESI</w:t>
      </w:r>
      <w:r>
        <w:rPr>
          <w:spacing w:val="4"/>
          <w:sz w:val="20"/>
          <w:vertAlign w:val="baseline"/>
        </w:rPr>
        <w:t> </w:t>
      </w:r>
      <w:r>
        <w:rPr>
          <w:spacing w:val="-2"/>
          <w:sz w:val="20"/>
          <w:vertAlign w:val="baseline"/>
        </w:rPr>
        <w:t>LINIER</w:t>
      </w:r>
    </w:p>
    <w:p>
      <w:pPr>
        <w:spacing w:line="229" w:lineRule="exact" w:before="0"/>
        <w:ind w:left="0" w:right="169" w:firstLine="0"/>
        <w:jc w:val="right"/>
        <w:rPr>
          <w:sz w:val="20"/>
        </w:rPr>
      </w:pPr>
      <w:r>
        <w:rPr>
          <w:sz w:val="20"/>
        </w:rPr>
        <w:t>BERGANDA</w:t>
      </w:r>
      <w:r>
        <w:rPr>
          <w:spacing w:val="40"/>
          <w:sz w:val="20"/>
        </w:rPr>
        <w:t>  </w:t>
      </w:r>
      <w:r>
        <w:rPr>
          <w:sz w:val="20"/>
        </w:rPr>
        <w:t>(STUDI</w:t>
      </w:r>
      <w:r>
        <w:rPr>
          <w:spacing w:val="41"/>
          <w:sz w:val="20"/>
        </w:rPr>
        <w:t>  </w:t>
      </w:r>
      <w:r>
        <w:rPr>
          <w:sz w:val="20"/>
        </w:rPr>
        <w:t>KASUS</w:t>
      </w:r>
      <w:r>
        <w:rPr>
          <w:spacing w:val="40"/>
          <w:sz w:val="20"/>
        </w:rPr>
        <w:t>  </w:t>
      </w:r>
      <w:r>
        <w:rPr>
          <w:sz w:val="20"/>
        </w:rPr>
        <w:t>PENYUSUNAN</w:t>
      </w:r>
      <w:r>
        <w:rPr>
          <w:spacing w:val="41"/>
          <w:sz w:val="20"/>
        </w:rPr>
        <w:t>  </w:t>
      </w:r>
      <w:r>
        <w:rPr>
          <w:sz w:val="20"/>
        </w:rPr>
        <w:t>PERSAMAAN</w:t>
      </w:r>
      <w:r>
        <w:rPr>
          <w:spacing w:val="41"/>
          <w:sz w:val="20"/>
        </w:rPr>
        <w:t>  </w:t>
      </w:r>
      <w:r>
        <w:rPr>
          <w:sz w:val="20"/>
        </w:rPr>
        <w:t>ALLOMETRIK</w:t>
      </w:r>
      <w:r>
        <w:rPr>
          <w:spacing w:val="40"/>
          <w:sz w:val="20"/>
        </w:rPr>
        <w:t>  </w:t>
      </w:r>
      <w:r>
        <w:rPr>
          <w:sz w:val="20"/>
        </w:rPr>
        <w:t>KENARI</w:t>
      </w:r>
      <w:r>
        <w:rPr>
          <w:spacing w:val="42"/>
          <w:sz w:val="20"/>
        </w:rPr>
        <w:t>  </w:t>
      </w:r>
      <w:r>
        <w:rPr>
          <w:spacing w:val="-4"/>
          <w:sz w:val="20"/>
        </w:rPr>
        <w:t>MUDA</w:t>
      </w:r>
    </w:p>
    <w:p>
      <w:pPr>
        <w:spacing w:line="229" w:lineRule="exact" w:before="0"/>
        <w:ind w:left="0" w:right="161" w:firstLine="0"/>
        <w:jc w:val="right"/>
        <w:rPr>
          <w:sz w:val="20"/>
        </w:rPr>
      </w:pPr>
      <w:r>
        <w:rPr>
          <w:sz w:val="20"/>
        </w:rPr>
        <w:t>[CANARIUM</w:t>
      </w:r>
      <w:r>
        <w:rPr>
          <w:spacing w:val="36"/>
          <w:sz w:val="20"/>
        </w:rPr>
        <w:t> </w:t>
      </w:r>
      <w:r>
        <w:rPr>
          <w:sz w:val="20"/>
        </w:rPr>
        <w:t>INDICUM</w:t>
      </w:r>
      <w:r>
        <w:rPr>
          <w:spacing w:val="40"/>
          <w:sz w:val="20"/>
        </w:rPr>
        <w:t> </w:t>
      </w:r>
      <w:r>
        <w:rPr>
          <w:sz w:val="20"/>
        </w:rPr>
        <w:t>L.])’,</w:t>
      </w:r>
      <w:r>
        <w:rPr>
          <w:spacing w:val="40"/>
          <w:sz w:val="20"/>
        </w:rPr>
        <w:t> </w:t>
      </w:r>
      <w:r>
        <w:rPr>
          <w:i/>
          <w:sz w:val="20"/>
        </w:rPr>
        <w:t>BAREKENG:</w:t>
      </w:r>
      <w:r>
        <w:rPr>
          <w:i/>
          <w:spacing w:val="38"/>
          <w:sz w:val="20"/>
        </w:rPr>
        <w:t> </w:t>
      </w:r>
      <w:r>
        <w:rPr>
          <w:i/>
          <w:sz w:val="20"/>
        </w:rPr>
        <w:t>Jurnal</w:t>
      </w:r>
      <w:r>
        <w:rPr>
          <w:i/>
          <w:spacing w:val="36"/>
          <w:sz w:val="20"/>
        </w:rPr>
        <w:t> </w:t>
      </w:r>
      <w:r>
        <w:rPr>
          <w:i/>
          <w:sz w:val="20"/>
        </w:rPr>
        <w:t>Ilmu</w:t>
      </w:r>
      <w:r>
        <w:rPr>
          <w:i/>
          <w:spacing w:val="38"/>
          <w:sz w:val="20"/>
        </w:rPr>
        <w:t> </w:t>
      </w:r>
      <w:r>
        <w:rPr>
          <w:i/>
          <w:sz w:val="20"/>
        </w:rPr>
        <w:t>Matematika</w:t>
      </w:r>
      <w:r>
        <w:rPr>
          <w:i/>
          <w:spacing w:val="38"/>
          <w:sz w:val="20"/>
        </w:rPr>
        <w:t> </w:t>
      </w:r>
      <w:r>
        <w:rPr>
          <w:i/>
          <w:sz w:val="20"/>
        </w:rPr>
        <w:t>Dan</w:t>
      </w:r>
      <w:r>
        <w:rPr>
          <w:i/>
          <w:spacing w:val="37"/>
          <w:sz w:val="20"/>
        </w:rPr>
        <w:t> </w:t>
      </w:r>
      <w:r>
        <w:rPr>
          <w:i/>
          <w:sz w:val="20"/>
        </w:rPr>
        <w:t>Terapan</w:t>
      </w:r>
      <w:r>
        <w:rPr>
          <w:sz w:val="20"/>
        </w:rPr>
        <w:t>,</w:t>
      </w:r>
      <w:r>
        <w:rPr>
          <w:spacing w:val="35"/>
          <w:sz w:val="20"/>
        </w:rPr>
        <w:t> </w:t>
      </w:r>
      <w:r>
        <w:rPr>
          <w:sz w:val="20"/>
        </w:rPr>
        <w:t>14.3</w:t>
      </w:r>
      <w:r>
        <w:rPr>
          <w:spacing w:val="38"/>
          <w:sz w:val="20"/>
        </w:rPr>
        <w:t> </w:t>
      </w:r>
      <w:r>
        <w:rPr>
          <w:sz w:val="20"/>
        </w:rPr>
        <w:t>(2020),</w:t>
      </w:r>
      <w:r>
        <w:rPr>
          <w:spacing w:val="37"/>
          <w:sz w:val="20"/>
        </w:rPr>
        <w:t> </w:t>
      </w:r>
      <w:r>
        <w:rPr>
          <w:spacing w:val="-2"/>
          <w:sz w:val="20"/>
        </w:rPr>
        <w:t>333–42</w:t>
      </w:r>
    </w:p>
    <w:p>
      <w:pPr>
        <w:spacing w:before="1"/>
        <w:ind w:left="23" w:right="0" w:firstLine="0"/>
        <w:jc w:val="left"/>
        <w:rPr>
          <w:sz w:val="20"/>
        </w:rPr>
      </w:pPr>
      <w:r>
        <w:rPr>
          <w:spacing w:val="-2"/>
          <w:sz w:val="20"/>
        </w:rPr>
        <w:t>&lt;https://doi.org/10.30598/barekengvol14iss3pp333-342&gt;.</w:t>
      </w:r>
    </w:p>
    <w:p>
      <w:pPr>
        <w:spacing w:before="0"/>
        <w:ind w:left="23" w:right="0" w:firstLine="719"/>
        <w:jc w:val="left"/>
        <w:rPr>
          <w:sz w:val="20"/>
        </w:rPr>
      </w:pPr>
      <w:bookmarkStart w:name="_bookmark156" w:id="157"/>
      <w:bookmarkEnd w:id="157"/>
      <w:r>
        <w:rPr/>
      </w:r>
      <w:r>
        <w:rPr>
          <w:sz w:val="20"/>
          <w:vertAlign w:val="superscript"/>
        </w:rPr>
        <w:t>94</w:t>
      </w:r>
      <w:r>
        <w:rPr>
          <w:sz w:val="20"/>
          <w:vertAlign w:val="baseline"/>
        </w:rPr>
        <w:t> Eli Mulyati and others, </w:t>
      </w:r>
      <w:r>
        <w:rPr>
          <w:i/>
          <w:sz w:val="20"/>
          <w:vertAlign w:val="baseline"/>
        </w:rPr>
        <w:t>Pengantar SPSS: Teori, Implementasi Dan Interpretasi</w:t>
      </w:r>
      <w:r>
        <w:rPr>
          <w:i/>
          <w:spacing w:val="23"/>
          <w:sz w:val="20"/>
          <w:vertAlign w:val="baseline"/>
        </w:rPr>
        <w:t> </w:t>
      </w:r>
      <w:r>
        <w:rPr>
          <w:sz w:val="20"/>
          <w:vertAlign w:val="baseline"/>
        </w:rPr>
        <w:t>(Padang: CV. Gita</w:t>
      </w:r>
      <w:r>
        <w:rPr>
          <w:spacing w:val="40"/>
          <w:sz w:val="20"/>
          <w:vertAlign w:val="baseline"/>
        </w:rPr>
        <w:t> </w:t>
      </w:r>
      <w:r>
        <w:rPr>
          <w:sz w:val="20"/>
          <w:vertAlign w:val="baseline"/>
        </w:rPr>
        <w:t>Lentera, 2024).</w:t>
      </w:r>
    </w:p>
    <w:p>
      <w:pPr>
        <w:spacing w:after="0"/>
        <w:jc w:val="left"/>
        <w:rPr>
          <w:sz w:val="20"/>
        </w:rPr>
        <w:sectPr>
          <w:pgSz w:w="11910" w:h="16840"/>
          <w:pgMar w:header="0" w:footer="1000" w:top="1360" w:bottom="1200" w:left="1417" w:right="1275"/>
        </w:sectPr>
      </w:pPr>
    </w:p>
    <w:p>
      <w:pPr>
        <w:spacing w:line="360" w:lineRule="auto" w:before="60"/>
        <w:ind w:left="1866" w:right="160" w:firstLine="0"/>
        <w:jc w:val="both"/>
        <w:rPr>
          <w:sz w:val="24"/>
        </w:rPr>
      </w:pPr>
      <w:r>
        <w:rPr>
          <w:sz w:val="24"/>
        </w:rPr>
        <w:t>Sebaliknya nilai </w:t>
      </w:r>
      <w:r>
        <w:rPr>
          <w:i/>
          <w:sz w:val="24"/>
        </w:rPr>
        <w:t>probability chi-square </w:t>
      </w:r>
      <w:r>
        <w:rPr>
          <w:sz w:val="24"/>
        </w:rPr>
        <w:t>&lt; α = 0,05 menandakan terjadinya </w:t>
      </w:r>
      <w:r>
        <w:rPr>
          <w:spacing w:val="-2"/>
          <w:sz w:val="24"/>
        </w:rPr>
        <w:t>autokorelasi.</w:t>
      </w:r>
      <w:hyperlink w:history="true" w:anchor="_bookmark158">
        <w:r>
          <w:rPr>
            <w:spacing w:val="-2"/>
            <w:sz w:val="24"/>
            <w:vertAlign w:val="superscript"/>
          </w:rPr>
          <w:t>95</w:t>
        </w:r>
      </w:hyperlink>
    </w:p>
    <w:p>
      <w:pPr>
        <w:pStyle w:val="Heading2"/>
        <w:spacing w:before="162"/>
        <w:ind w:left="3247"/>
        <w:jc w:val="left"/>
      </w:pPr>
      <w:r>
        <w:rPr/>
        <w:t>Tabel</w:t>
      </w:r>
      <w:r>
        <w:rPr>
          <w:spacing w:val="-1"/>
        </w:rPr>
        <w:t> </w:t>
      </w:r>
      <w:r>
        <w:rPr/>
        <w:t>4.3</w:t>
      </w:r>
      <w:r>
        <w:rPr>
          <w:spacing w:val="-1"/>
        </w:rPr>
        <w:t> </w:t>
      </w:r>
      <w:r>
        <w:rPr/>
        <w:t>Hasil Uji</w:t>
      </w:r>
      <w:r>
        <w:rPr>
          <w:spacing w:val="-1"/>
        </w:rPr>
        <w:t> </w:t>
      </w:r>
      <w:r>
        <w:rPr>
          <w:spacing w:val="-2"/>
        </w:rPr>
        <w:t>Autokorelasi</w:t>
      </w:r>
    </w:p>
    <w:p>
      <w:pPr>
        <w:pStyle w:val="BodyText"/>
        <w:spacing w:before="80"/>
        <w:rPr>
          <w:b/>
          <w:sz w:val="20"/>
        </w:rPr>
      </w:pPr>
    </w:p>
    <w:tbl>
      <w:tblPr>
        <w:tblW w:w="0" w:type="auto"/>
        <w:jc w:val="left"/>
        <w:tblInd w:w="1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94"/>
        <w:gridCol w:w="1393"/>
        <w:gridCol w:w="2216"/>
        <w:gridCol w:w="1232"/>
      </w:tblGrid>
      <w:tr>
        <w:trPr>
          <w:trHeight w:val="470" w:hRule="atLeast"/>
        </w:trPr>
        <w:tc>
          <w:tcPr>
            <w:tcW w:w="1694" w:type="dxa"/>
            <w:tcBorders>
              <w:top w:val="double" w:sz="6" w:space="0" w:color="000000"/>
            </w:tcBorders>
          </w:tcPr>
          <w:p>
            <w:pPr>
              <w:pStyle w:val="TableParagraph"/>
              <w:spacing w:line="240" w:lineRule="auto" w:before="92"/>
              <w:ind w:left="0"/>
              <w:rPr>
                <w:rFonts w:ascii="Calibri"/>
                <w:sz w:val="22"/>
              </w:rPr>
            </w:pPr>
            <w:r>
              <w:rPr>
                <w:rFonts w:ascii="Calibri"/>
                <w:spacing w:val="-2"/>
                <w:sz w:val="22"/>
              </w:rPr>
              <w:t>F-statistic</w:t>
            </w:r>
          </w:p>
        </w:tc>
        <w:tc>
          <w:tcPr>
            <w:tcW w:w="1393" w:type="dxa"/>
            <w:tcBorders>
              <w:top w:val="double" w:sz="6" w:space="0" w:color="000000"/>
            </w:tcBorders>
          </w:tcPr>
          <w:p>
            <w:pPr>
              <w:pStyle w:val="TableParagraph"/>
              <w:spacing w:line="240" w:lineRule="auto" w:before="92"/>
              <w:ind w:left="88"/>
              <w:jc w:val="center"/>
              <w:rPr>
                <w:rFonts w:ascii="Calibri"/>
                <w:sz w:val="22"/>
              </w:rPr>
            </w:pPr>
            <w:r>
              <w:rPr>
                <w:rFonts w:ascii="Calibri"/>
                <w:spacing w:val="-2"/>
                <w:sz w:val="22"/>
              </w:rPr>
              <w:t>13.33721</w:t>
            </w:r>
          </w:p>
        </w:tc>
        <w:tc>
          <w:tcPr>
            <w:tcW w:w="2216" w:type="dxa"/>
            <w:tcBorders>
              <w:top w:val="double" w:sz="6" w:space="0" w:color="000000"/>
            </w:tcBorders>
          </w:tcPr>
          <w:p>
            <w:pPr>
              <w:pStyle w:val="TableParagraph"/>
              <w:spacing w:line="240" w:lineRule="auto" w:before="92"/>
              <w:ind w:left="233"/>
              <w:rPr>
                <w:rFonts w:ascii="Calibri"/>
                <w:sz w:val="22"/>
              </w:rPr>
            </w:pPr>
            <w:r>
              <w:rPr>
                <w:rFonts w:ascii="Calibri"/>
                <w:sz w:val="22"/>
              </w:rPr>
              <w:t>Prob.</w:t>
            </w:r>
            <w:r>
              <w:rPr>
                <w:rFonts w:ascii="Calibri"/>
                <w:spacing w:val="-4"/>
                <w:sz w:val="22"/>
              </w:rPr>
              <w:t> </w:t>
            </w:r>
            <w:r>
              <w:rPr>
                <w:rFonts w:ascii="Calibri"/>
                <w:spacing w:val="-2"/>
                <w:sz w:val="22"/>
              </w:rPr>
              <w:t>F(2,53)</w:t>
            </w:r>
          </w:p>
        </w:tc>
        <w:tc>
          <w:tcPr>
            <w:tcW w:w="1232" w:type="dxa"/>
            <w:tcBorders>
              <w:top w:val="double" w:sz="6" w:space="0" w:color="000000"/>
            </w:tcBorders>
          </w:tcPr>
          <w:p>
            <w:pPr>
              <w:pStyle w:val="TableParagraph"/>
              <w:spacing w:line="240" w:lineRule="auto" w:before="92"/>
              <w:ind w:left="232"/>
              <w:rPr>
                <w:rFonts w:ascii="Calibri"/>
                <w:sz w:val="22"/>
              </w:rPr>
            </w:pPr>
            <w:r>
              <w:rPr>
                <w:rFonts w:ascii="Calibri"/>
                <w:spacing w:val="-2"/>
                <w:sz w:val="22"/>
              </w:rPr>
              <w:t>0.0000</w:t>
            </w:r>
          </w:p>
        </w:tc>
      </w:tr>
      <w:tr>
        <w:trPr>
          <w:trHeight w:val="334" w:hRule="atLeast"/>
        </w:trPr>
        <w:tc>
          <w:tcPr>
            <w:tcW w:w="1694" w:type="dxa"/>
          </w:tcPr>
          <w:p>
            <w:pPr>
              <w:pStyle w:val="TableParagraph"/>
              <w:spacing w:line="245" w:lineRule="exact" w:before="70"/>
              <w:ind w:left="0"/>
              <w:rPr>
                <w:rFonts w:ascii="Calibri"/>
                <w:sz w:val="22"/>
              </w:rPr>
            </w:pPr>
            <w:r>
              <w:rPr>
                <w:rFonts w:ascii="Calibri"/>
                <w:spacing w:val="-2"/>
                <w:sz w:val="22"/>
              </w:rPr>
              <w:t>Obs*R-squared</w:t>
            </w:r>
          </w:p>
        </w:tc>
        <w:tc>
          <w:tcPr>
            <w:tcW w:w="1393" w:type="dxa"/>
          </w:tcPr>
          <w:p>
            <w:pPr>
              <w:pStyle w:val="TableParagraph"/>
              <w:spacing w:line="245" w:lineRule="exact" w:before="70"/>
              <w:ind w:left="88"/>
              <w:jc w:val="center"/>
              <w:rPr>
                <w:rFonts w:ascii="Calibri"/>
                <w:sz w:val="22"/>
              </w:rPr>
            </w:pPr>
            <w:r>
              <w:rPr>
                <w:rFonts w:ascii="Calibri"/>
                <w:spacing w:val="-2"/>
                <w:sz w:val="22"/>
              </w:rPr>
              <w:t>20.08757</w:t>
            </w:r>
          </w:p>
        </w:tc>
        <w:tc>
          <w:tcPr>
            <w:tcW w:w="2216" w:type="dxa"/>
          </w:tcPr>
          <w:p>
            <w:pPr>
              <w:pStyle w:val="TableParagraph"/>
              <w:spacing w:line="245" w:lineRule="exact" w:before="70"/>
              <w:ind w:left="233"/>
              <w:rPr>
                <w:rFonts w:ascii="Calibri"/>
                <w:sz w:val="22"/>
              </w:rPr>
            </w:pPr>
            <w:r>
              <w:rPr>
                <w:rFonts w:ascii="Calibri"/>
                <w:sz w:val="22"/>
              </w:rPr>
              <w:t>Prob.</w:t>
            </w:r>
            <w:r>
              <w:rPr>
                <w:rFonts w:ascii="Calibri"/>
                <w:spacing w:val="-10"/>
                <w:sz w:val="22"/>
              </w:rPr>
              <w:t> </w:t>
            </w:r>
            <w:r>
              <w:rPr>
                <w:rFonts w:ascii="Calibri"/>
                <w:sz w:val="22"/>
              </w:rPr>
              <w:t>Chi-</w:t>
            </w:r>
            <w:r>
              <w:rPr>
                <w:rFonts w:ascii="Calibri"/>
                <w:spacing w:val="-2"/>
                <w:sz w:val="22"/>
              </w:rPr>
              <w:t>Square(2)</w:t>
            </w:r>
          </w:p>
        </w:tc>
        <w:tc>
          <w:tcPr>
            <w:tcW w:w="1232" w:type="dxa"/>
          </w:tcPr>
          <w:p>
            <w:pPr>
              <w:pStyle w:val="TableParagraph"/>
              <w:spacing w:line="245" w:lineRule="exact" w:before="70"/>
              <w:ind w:left="232"/>
              <w:rPr>
                <w:rFonts w:ascii="Calibri"/>
                <w:sz w:val="22"/>
              </w:rPr>
            </w:pPr>
            <w:r>
              <w:rPr>
                <w:rFonts w:ascii="Calibri"/>
                <w:spacing w:val="-2"/>
                <w:sz w:val="22"/>
              </w:rPr>
              <w:t>0.0000</w:t>
            </w:r>
          </w:p>
        </w:tc>
      </w:tr>
    </w:tbl>
    <w:p>
      <w:pPr>
        <w:pStyle w:val="BodyText"/>
        <w:spacing w:before="1"/>
        <w:rPr>
          <w:b/>
          <w:sz w:val="20"/>
        </w:rPr>
      </w:pPr>
      <w:r>
        <w:rPr>
          <w:b/>
          <w:sz w:val="20"/>
        </w:rPr>
        <mc:AlternateContent>
          <mc:Choice Requires="wps">
            <w:drawing>
              <wp:anchor distT="0" distB="0" distL="0" distR="0" allowOverlap="1" layoutInCell="1" locked="0" behindDoc="1" simplePos="0" relativeHeight="487618048">
                <wp:simplePos x="0" y="0"/>
                <wp:positionH relativeFrom="page">
                  <wp:posOffset>2057654</wp:posOffset>
                </wp:positionH>
                <wp:positionV relativeFrom="paragraph">
                  <wp:posOffset>161924</wp:posOffset>
                </wp:positionV>
                <wp:extent cx="4149725" cy="27940"/>
                <wp:effectExtent l="0" t="0" r="0" b="0"/>
                <wp:wrapTopAndBottom/>
                <wp:docPr id="337" name="Graphic 337"/>
                <wp:cNvGraphicFramePr>
                  <a:graphicFrameLocks/>
                </wp:cNvGraphicFramePr>
                <a:graphic>
                  <a:graphicData uri="http://schemas.microsoft.com/office/word/2010/wordprocessingShape">
                    <wps:wsp>
                      <wps:cNvPr id="337" name="Graphic 337"/>
                      <wps:cNvSpPr/>
                      <wps:spPr>
                        <a:xfrm>
                          <a:off x="0" y="0"/>
                          <a:ext cx="4149725" cy="27940"/>
                        </a:xfrm>
                        <a:custGeom>
                          <a:avLst/>
                          <a:gdLst/>
                          <a:ahLst/>
                          <a:cxnLst/>
                          <a:rect l="l" t="t" r="r" b="b"/>
                          <a:pathLst>
                            <a:path w="4149725" h="27940">
                              <a:moveTo>
                                <a:pt x="1280414" y="18288"/>
                              </a:moveTo>
                              <a:lnTo>
                                <a:pt x="0" y="18288"/>
                              </a:lnTo>
                              <a:lnTo>
                                <a:pt x="0" y="27432"/>
                              </a:lnTo>
                              <a:lnTo>
                                <a:pt x="1280414" y="27432"/>
                              </a:lnTo>
                              <a:lnTo>
                                <a:pt x="1280414" y="18288"/>
                              </a:lnTo>
                              <a:close/>
                            </a:path>
                            <a:path w="4149725" h="27940">
                              <a:moveTo>
                                <a:pt x="1280414" y="0"/>
                              </a:moveTo>
                              <a:lnTo>
                                <a:pt x="0" y="0"/>
                              </a:lnTo>
                              <a:lnTo>
                                <a:pt x="0" y="9144"/>
                              </a:lnTo>
                              <a:lnTo>
                                <a:pt x="1280414" y="9144"/>
                              </a:lnTo>
                              <a:lnTo>
                                <a:pt x="1280414" y="0"/>
                              </a:lnTo>
                              <a:close/>
                            </a:path>
                            <a:path w="4149725" h="27940">
                              <a:moveTo>
                                <a:pt x="2748394" y="18288"/>
                              </a:moveTo>
                              <a:lnTo>
                                <a:pt x="2748394" y="18288"/>
                              </a:lnTo>
                              <a:lnTo>
                                <a:pt x="1280541" y="18288"/>
                              </a:lnTo>
                              <a:lnTo>
                                <a:pt x="1280541" y="27432"/>
                              </a:lnTo>
                              <a:lnTo>
                                <a:pt x="2748394" y="27432"/>
                              </a:lnTo>
                              <a:lnTo>
                                <a:pt x="2748394" y="18288"/>
                              </a:lnTo>
                              <a:close/>
                            </a:path>
                            <a:path w="4149725" h="27940">
                              <a:moveTo>
                                <a:pt x="2748394" y="0"/>
                              </a:moveTo>
                              <a:lnTo>
                                <a:pt x="2748394" y="0"/>
                              </a:lnTo>
                              <a:lnTo>
                                <a:pt x="1280541" y="0"/>
                              </a:lnTo>
                              <a:lnTo>
                                <a:pt x="1280541" y="9144"/>
                              </a:lnTo>
                              <a:lnTo>
                                <a:pt x="2748394" y="9144"/>
                              </a:lnTo>
                              <a:lnTo>
                                <a:pt x="2748394" y="0"/>
                              </a:lnTo>
                              <a:close/>
                            </a:path>
                            <a:path w="4149725" h="27940">
                              <a:moveTo>
                                <a:pt x="3514966" y="18288"/>
                              </a:moveTo>
                              <a:lnTo>
                                <a:pt x="2800223" y="18288"/>
                              </a:lnTo>
                              <a:lnTo>
                                <a:pt x="2748407" y="18288"/>
                              </a:lnTo>
                              <a:lnTo>
                                <a:pt x="2748407" y="27432"/>
                              </a:lnTo>
                              <a:lnTo>
                                <a:pt x="2800223" y="27432"/>
                              </a:lnTo>
                              <a:lnTo>
                                <a:pt x="3514966" y="27432"/>
                              </a:lnTo>
                              <a:lnTo>
                                <a:pt x="3514966" y="18288"/>
                              </a:lnTo>
                              <a:close/>
                            </a:path>
                            <a:path w="4149725" h="27940">
                              <a:moveTo>
                                <a:pt x="3514966" y="0"/>
                              </a:moveTo>
                              <a:lnTo>
                                <a:pt x="2800223" y="0"/>
                              </a:lnTo>
                              <a:lnTo>
                                <a:pt x="2748407" y="0"/>
                              </a:lnTo>
                              <a:lnTo>
                                <a:pt x="2748407" y="9144"/>
                              </a:lnTo>
                              <a:lnTo>
                                <a:pt x="2800223" y="9144"/>
                              </a:lnTo>
                              <a:lnTo>
                                <a:pt x="3514966" y="9144"/>
                              </a:lnTo>
                              <a:lnTo>
                                <a:pt x="3514966" y="0"/>
                              </a:lnTo>
                              <a:close/>
                            </a:path>
                            <a:path w="4149725" h="27940">
                              <a:moveTo>
                                <a:pt x="3567099" y="18288"/>
                              </a:moveTo>
                              <a:lnTo>
                                <a:pt x="3514979" y="18288"/>
                              </a:lnTo>
                              <a:lnTo>
                                <a:pt x="3514979" y="27432"/>
                              </a:lnTo>
                              <a:lnTo>
                                <a:pt x="3567099" y="27432"/>
                              </a:lnTo>
                              <a:lnTo>
                                <a:pt x="3567099" y="18288"/>
                              </a:lnTo>
                              <a:close/>
                            </a:path>
                            <a:path w="4149725" h="27940">
                              <a:moveTo>
                                <a:pt x="3567099" y="0"/>
                              </a:moveTo>
                              <a:lnTo>
                                <a:pt x="3514979" y="0"/>
                              </a:lnTo>
                              <a:lnTo>
                                <a:pt x="3514979" y="9144"/>
                              </a:lnTo>
                              <a:lnTo>
                                <a:pt x="3567099" y="9144"/>
                              </a:lnTo>
                              <a:lnTo>
                                <a:pt x="3567099" y="0"/>
                              </a:lnTo>
                              <a:close/>
                            </a:path>
                            <a:path w="4149725" h="27940">
                              <a:moveTo>
                                <a:pt x="4149344" y="18288"/>
                              </a:moveTo>
                              <a:lnTo>
                                <a:pt x="3567176" y="18288"/>
                              </a:lnTo>
                              <a:lnTo>
                                <a:pt x="3567176" y="27432"/>
                              </a:lnTo>
                              <a:lnTo>
                                <a:pt x="4149344" y="27432"/>
                              </a:lnTo>
                              <a:lnTo>
                                <a:pt x="4149344" y="18288"/>
                              </a:lnTo>
                              <a:close/>
                            </a:path>
                            <a:path w="4149725" h="27940">
                              <a:moveTo>
                                <a:pt x="4149344" y="0"/>
                              </a:moveTo>
                              <a:lnTo>
                                <a:pt x="3567176" y="0"/>
                              </a:lnTo>
                              <a:lnTo>
                                <a:pt x="3567176" y="9144"/>
                              </a:lnTo>
                              <a:lnTo>
                                <a:pt x="4149344" y="9144"/>
                              </a:lnTo>
                              <a:lnTo>
                                <a:pt x="4149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62.020004pt;margin-top:12.749969pt;width:326.75pt;height:2.2pt;mso-position-horizontal-relative:page;mso-position-vertical-relative:paragraph;z-index:-15698432;mso-wrap-distance-left:0;mso-wrap-distance-right:0" id="docshape309" coordorigin="3240,255" coordsize="6535,44" path="m5257,284l3240,284,3240,298,5257,298,5257,284xm5257,255l3240,255,3240,269,5257,269,5257,255xm7569,284l6443,284,6361,284,6361,284,5339,284,5257,284,5257,298,5339,298,6361,298,6361,298,6443,298,7569,298,7569,284xm7569,255l6443,255,6361,255,6361,255,5339,255,5257,255,5257,269,5339,269,6361,269,6361,269,6443,269,7569,269,7569,255xm8776,284l7650,284,7569,284,7569,298,7650,298,8776,298,8776,284xm8776,255l7650,255,7569,255,7569,269,7650,269,8776,269,8776,255xm8858,284l8776,284,8776,298,8858,298,8858,284xm8858,255l8776,255,8776,269,8858,269,8858,255xm9775,284l8858,284,8858,298,9775,298,9775,284xm9775,255l8858,255,8858,269,9775,269,9775,255xe" filled="true" fillcolor="#000000" stroked="false">
                <v:path arrowok="t"/>
                <v:fill type="solid"/>
                <w10:wrap type="topAndBottom"/>
              </v:shape>
            </w:pict>
          </mc:Fallback>
        </mc:AlternateContent>
      </w:r>
    </w:p>
    <w:p>
      <w:pPr>
        <w:pStyle w:val="BodyText"/>
        <w:spacing w:before="90"/>
        <w:ind w:left="1866"/>
        <w:jc w:val="both"/>
      </w:pPr>
      <w:r>
        <w:rPr/>
        <w:t>Sumber:</w:t>
      </w:r>
      <w:r>
        <w:rPr>
          <w:spacing w:val="-2"/>
        </w:rPr>
        <w:t> </w:t>
      </w:r>
      <w:r>
        <w:rPr/>
        <w:t>Output</w:t>
      </w:r>
      <w:r>
        <w:rPr>
          <w:spacing w:val="-1"/>
        </w:rPr>
        <w:t> </w:t>
      </w:r>
      <w:r>
        <w:rPr>
          <w:i/>
        </w:rPr>
        <w:t>eviews</w:t>
      </w:r>
      <w:r>
        <w:rPr/>
        <w:t>,</w:t>
      </w:r>
      <w:r>
        <w:rPr>
          <w:spacing w:val="-2"/>
        </w:rPr>
        <w:t> </w:t>
      </w:r>
      <w:r>
        <w:rPr/>
        <w:t>data</w:t>
      </w:r>
      <w:r>
        <w:rPr>
          <w:spacing w:val="-3"/>
        </w:rPr>
        <w:t> </w:t>
      </w:r>
      <w:r>
        <w:rPr/>
        <w:t>diolah</w:t>
      </w:r>
      <w:r>
        <w:rPr>
          <w:spacing w:val="-1"/>
        </w:rPr>
        <w:t> </w:t>
      </w:r>
      <w:r>
        <w:rPr>
          <w:spacing w:val="-2"/>
        </w:rPr>
        <w:t>(2025)</w:t>
      </w:r>
    </w:p>
    <w:p>
      <w:pPr>
        <w:pStyle w:val="BodyText"/>
        <w:spacing w:before="21"/>
      </w:pPr>
    </w:p>
    <w:p>
      <w:pPr>
        <w:pStyle w:val="BodyText"/>
        <w:spacing w:line="360" w:lineRule="auto" w:before="1"/>
        <w:ind w:left="1866" w:right="163" w:firstLine="316"/>
        <w:jc w:val="both"/>
      </w:pPr>
      <w:r>
        <w:rPr/>
        <w:t>Hasil uji autokorelasi dapat dilihat pada tabel 4.3, pada bagian </w:t>
      </w:r>
      <w:r>
        <w:rPr>
          <w:i/>
        </w:rPr>
        <w:t>probability chi-square </w:t>
      </w:r>
      <w:r>
        <w:rPr/>
        <w:t>sebesar 0,00 yang berarti nilai tersebut &lt;0,05. Artinya pada model regresi yang digunakan terkena autokorelasi karena nilai probabilitas 0,00 lebih kecil dari 0,05. Ada beberapa cara untuk mengatasi masalah autokorelasi, salah satunya adalah dengan mentransformasi data atau memodifikasi model regresi untuk membuat perbandingan</w:t>
      </w:r>
      <w:r>
        <w:rPr>
          <w:spacing w:val="-6"/>
        </w:rPr>
        <w:t> </w:t>
      </w:r>
      <w:r>
        <w:rPr/>
        <w:t>berdasarkan</w:t>
      </w:r>
      <w:r>
        <w:rPr>
          <w:spacing w:val="-6"/>
        </w:rPr>
        <w:t> </w:t>
      </w:r>
      <w:r>
        <w:rPr/>
        <w:t>perbedaan</w:t>
      </w:r>
      <w:r>
        <w:rPr>
          <w:spacing w:val="-6"/>
        </w:rPr>
        <w:t> </w:t>
      </w:r>
      <w:r>
        <w:rPr/>
        <w:t>secara</w:t>
      </w:r>
      <w:r>
        <w:rPr>
          <w:spacing w:val="-7"/>
        </w:rPr>
        <w:t> </w:t>
      </w:r>
      <w:r>
        <w:rPr/>
        <w:t>umum.</w:t>
      </w:r>
      <w:r>
        <w:rPr>
          <w:spacing w:val="-4"/>
        </w:rPr>
        <w:t> </w:t>
      </w:r>
      <w:r>
        <w:rPr/>
        <w:t>Berikut</w:t>
      </w:r>
      <w:r>
        <w:rPr>
          <w:spacing w:val="-6"/>
        </w:rPr>
        <w:t> </w:t>
      </w:r>
      <w:r>
        <w:rPr/>
        <w:t>ini</w:t>
      </w:r>
      <w:r>
        <w:rPr>
          <w:spacing w:val="-6"/>
        </w:rPr>
        <w:t> </w:t>
      </w:r>
      <w:r>
        <w:rPr/>
        <w:t>merupakan hasil penyembuhan autokorelasi:</w:t>
      </w:r>
    </w:p>
    <w:p>
      <w:pPr>
        <w:pStyle w:val="Heading2"/>
        <w:spacing w:before="161"/>
        <w:ind w:left="2469"/>
      </w:pPr>
      <w:r>
        <w:rPr/>
        <w:t>Tabel</w:t>
      </w:r>
      <w:r>
        <w:rPr>
          <w:spacing w:val="-2"/>
        </w:rPr>
        <w:t> </w:t>
      </w:r>
      <w:r>
        <w:rPr/>
        <w:t>4.4</w:t>
      </w:r>
      <w:r>
        <w:rPr>
          <w:spacing w:val="-2"/>
        </w:rPr>
        <w:t> </w:t>
      </w:r>
      <w:r>
        <w:rPr/>
        <w:t>Hasil Mengatasi</w:t>
      </w:r>
      <w:r>
        <w:rPr>
          <w:spacing w:val="-2"/>
        </w:rPr>
        <w:t> </w:t>
      </w:r>
      <w:r>
        <w:rPr/>
        <w:t>Permasalahan </w:t>
      </w:r>
      <w:r>
        <w:rPr>
          <w:spacing w:val="-2"/>
        </w:rPr>
        <w:t>Autokorelasi</w:t>
      </w:r>
    </w:p>
    <w:p>
      <w:pPr>
        <w:pStyle w:val="BodyText"/>
        <w:spacing w:before="83"/>
        <w:rPr>
          <w:b/>
          <w:sz w:val="20"/>
        </w:rPr>
      </w:pPr>
    </w:p>
    <w:tbl>
      <w:tblPr>
        <w:tblW w:w="0" w:type="auto"/>
        <w:jc w:val="left"/>
        <w:tblInd w:w="1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94"/>
        <w:gridCol w:w="1393"/>
        <w:gridCol w:w="2216"/>
        <w:gridCol w:w="1229"/>
      </w:tblGrid>
      <w:tr>
        <w:trPr>
          <w:trHeight w:val="469" w:hRule="atLeast"/>
        </w:trPr>
        <w:tc>
          <w:tcPr>
            <w:tcW w:w="1694" w:type="dxa"/>
            <w:tcBorders>
              <w:top w:val="double" w:sz="6" w:space="0" w:color="000000"/>
            </w:tcBorders>
          </w:tcPr>
          <w:p>
            <w:pPr>
              <w:pStyle w:val="TableParagraph"/>
              <w:spacing w:line="240" w:lineRule="auto" w:before="90"/>
              <w:ind w:left="0"/>
              <w:rPr>
                <w:rFonts w:ascii="Calibri"/>
                <w:sz w:val="22"/>
              </w:rPr>
            </w:pPr>
            <w:r>
              <w:rPr>
                <w:rFonts w:ascii="Calibri"/>
                <w:spacing w:val="-2"/>
                <w:sz w:val="22"/>
              </w:rPr>
              <w:t>F-statistic</w:t>
            </w:r>
          </w:p>
        </w:tc>
        <w:tc>
          <w:tcPr>
            <w:tcW w:w="1393" w:type="dxa"/>
            <w:tcBorders>
              <w:top w:val="double" w:sz="6" w:space="0" w:color="000000"/>
            </w:tcBorders>
          </w:tcPr>
          <w:p>
            <w:pPr>
              <w:pStyle w:val="TableParagraph"/>
              <w:spacing w:line="240" w:lineRule="auto" w:before="90"/>
              <w:ind w:left="88"/>
              <w:jc w:val="center"/>
              <w:rPr>
                <w:rFonts w:ascii="Calibri"/>
                <w:sz w:val="22"/>
              </w:rPr>
            </w:pPr>
            <w:r>
              <w:rPr>
                <w:rFonts w:ascii="Calibri"/>
                <w:spacing w:val="-2"/>
                <w:sz w:val="22"/>
              </w:rPr>
              <w:t>1.885833</w:t>
            </w:r>
          </w:p>
        </w:tc>
        <w:tc>
          <w:tcPr>
            <w:tcW w:w="2216" w:type="dxa"/>
            <w:tcBorders>
              <w:top w:val="double" w:sz="6" w:space="0" w:color="000000"/>
            </w:tcBorders>
          </w:tcPr>
          <w:p>
            <w:pPr>
              <w:pStyle w:val="TableParagraph"/>
              <w:spacing w:line="240" w:lineRule="auto" w:before="90"/>
              <w:ind w:left="233"/>
              <w:rPr>
                <w:rFonts w:ascii="Calibri"/>
                <w:sz w:val="22"/>
              </w:rPr>
            </w:pPr>
            <w:r>
              <w:rPr>
                <w:rFonts w:ascii="Calibri"/>
                <w:sz w:val="22"/>
              </w:rPr>
              <w:t>Prob.</w:t>
            </w:r>
            <w:r>
              <w:rPr>
                <w:rFonts w:ascii="Calibri"/>
                <w:spacing w:val="-4"/>
                <w:sz w:val="22"/>
              </w:rPr>
              <w:t> </w:t>
            </w:r>
            <w:r>
              <w:rPr>
                <w:rFonts w:ascii="Calibri"/>
                <w:spacing w:val="-2"/>
                <w:sz w:val="22"/>
              </w:rPr>
              <w:t>F(2,52)</w:t>
            </w:r>
          </w:p>
        </w:tc>
        <w:tc>
          <w:tcPr>
            <w:tcW w:w="1229" w:type="dxa"/>
            <w:tcBorders>
              <w:top w:val="double" w:sz="6" w:space="0" w:color="000000"/>
            </w:tcBorders>
          </w:tcPr>
          <w:p>
            <w:pPr>
              <w:pStyle w:val="TableParagraph"/>
              <w:spacing w:line="240" w:lineRule="auto" w:before="90"/>
              <w:ind w:left="232"/>
              <w:rPr>
                <w:rFonts w:ascii="Calibri"/>
                <w:sz w:val="22"/>
              </w:rPr>
            </w:pPr>
            <w:r>
              <w:rPr>
                <w:rFonts w:ascii="Calibri"/>
                <w:spacing w:val="-2"/>
                <w:sz w:val="22"/>
              </w:rPr>
              <w:t>0.1619</w:t>
            </w:r>
          </w:p>
        </w:tc>
      </w:tr>
      <w:tr>
        <w:trPr>
          <w:trHeight w:val="335" w:hRule="atLeast"/>
        </w:trPr>
        <w:tc>
          <w:tcPr>
            <w:tcW w:w="1694" w:type="dxa"/>
          </w:tcPr>
          <w:p>
            <w:pPr>
              <w:pStyle w:val="TableParagraph"/>
              <w:spacing w:line="245" w:lineRule="exact" w:before="71"/>
              <w:ind w:left="0"/>
              <w:rPr>
                <w:rFonts w:ascii="Calibri"/>
                <w:sz w:val="22"/>
              </w:rPr>
            </w:pPr>
            <w:r>
              <w:rPr>
                <w:rFonts w:ascii="Calibri"/>
                <w:spacing w:val="-2"/>
                <w:sz w:val="22"/>
              </w:rPr>
              <w:t>Obs*R-squared</w:t>
            </w:r>
          </w:p>
        </w:tc>
        <w:tc>
          <w:tcPr>
            <w:tcW w:w="1393" w:type="dxa"/>
          </w:tcPr>
          <w:p>
            <w:pPr>
              <w:pStyle w:val="TableParagraph"/>
              <w:spacing w:line="245" w:lineRule="exact" w:before="71"/>
              <w:ind w:left="88"/>
              <w:jc w:val="center"/>
              <w:rPr>
                <w:rFonts w:ascii="Calibri"/>
                <w:sz w:val="22"/>
              </w:rPr>
            </w:pPr>
            <w:r>
              <w:rPr>
                <w:rFonts w:ascii="Calibri"/>
                <w:spacing w:val="-2"/>
                <w:sz w:val="22"/>
              </w:rPr>
              <w:t>3.989988</w:t>
            </w:r>
          </w:p>
        </w:tc>
        <w:tc>
          <w:tcPr>
            <w:tcW w:w="2216" w:type="dxa"/>
          </w:tcPr>
          <w:p>
            <w:pPr>
              <w:pStyle w:val="TableParagraph"/>
              <w:spacing w:line="245" w:lineRule="exact" w:before="71"/>
              <w:ind w:left="233"/>
              <w:rPr>
                <w:rFonts w:ascii="Calibri"/>
                <w:sz w:val="22"/>
              </w:rPr>
            </w:pPr>
            <w:r>
              <w:rPr>
                <w:rFonts w:ascii="Calibri"/>
                <w:sz w:val="22"/>
              </w:rPr>
              <w:t>Prob.</w:t>
            </w:r>
            <w:r>
              <w:rPr>
                <w:rFonts w:ascii="Calibri"/>
                <w:spacing w:val="-10"/>
                <w:sz w:val="22"/>
              </w:rPr>
              <w:t> </w:t>
            </w:r>
            <w:r>
              <w:rPr>
                <w:rFonts w:ascii="Calibri"/>
                <w:sz w:val="22"/>
              </w:rPr>
              <w:t>Chi-</w:t>
            </w:r>
            <w:r>
              <w:rPr>
                <w:rFonts w:ascii="Calibri"/>
                <w:spacing w:val="-2"/>
                <w:sz w:val="22"/>
              </w:rPr>
              <w:t>Square(2)</w:t>
            </w:r>
          </w:p>
        </w:tc>
        <w:tc>
          <w:tcPr>
            <w:tcW w:w="1229" w:type="dxa"/>
          </w:tcPr>
          <w:p>
            <w:pPr>
              <w:pStyle w:val="TableParagraph"/>
              <w:spacing w:line="245" w:lineRule="exact" w:before="71"/>
              <w:ind w:left="232"/>
              <w:rPr>
                <w:rFonts w:ascii="Calibri"/>
                <w:sz w:val="22"/>
              </w:rPr>
            </w:pPr>
            <w:r>
              <w:rPr>
                <w:rFonts w:ascii="Calibri"/>
                <w:spacing w:val="-2"/>
                <w:sz w:val="22"/>
              </w:rPr>
              <w:t>0.1360</w:t>
            </w:r>
          </w:p>
        </w:tc>
      </w:tr>
    </w:tbl>
    <w:p>
      <w:pPr>
        <w:pStyle w:val="BodyText"/>
        <w:spacing w:before="10"/>
        <w:rPr>
          <w:b/>
          <w:sz w:val="19"/>
        </w:rPr>
      </w:pPr>
      <w:r>
        <w:rPr>
          <w:b/>
          <w:sz w:val="19"/>
        </w:rPr>
        <mc:AlternateContent>
          <mc:Choice Requires="wps">
            <w:drawing>
              <wp:anchor distT="0" distB="0" distL="0" distR="0" allowOverlap="1" layoutInCell="1" locked="0" behindDoc="1" simplePos="0" relativeHeight="487618560">
                <wp:simplePos x="0" y="0"/>
                <wp:positionH relativeFrom="page">
                  <wp:posOffset>2153666</wp:posOffset>
                </wp:positionH>
                <wp:positionV relativeFrom="paragraph">
                  <wp:posOffset>160527</wp:posOffset>
                </wp:positionV>
                <wp:extent cx="4147820" cy="27940"/>
                <wp:effectExtent l="0" t="0" r="0" b="0"/>
                <wp:wrapTopAndBottom/>
                <wp:docPr id="338" name="Graphic 338"/>
                <wp:cNvGraphicFramePr>
                  <a:graphicFrameLocks/>
                </wp:cNvGraphicFramePr>
                <a:graphic>
                  <a:graphicData uri="http://schemas.microsoft.com/office/word/2010/wordprocessingShape">
                    <wps:wsp>
                      <wps:cNvPr id="338" name="Graphic 338"/>
                      <wps:cNvSpPr/>
                      <wps:spPr>
                        <a:xfrm>
                          <a:off x="0" y="0"/>
                          <a:ext cx="4147820" cy="27940"/>
                        </a:xfrm>
                        <a:custGeom>
                          <a:avLst/>
                          <a:gdLst/>
                          <a:ahLst/>
                          <a:cxnLst/>
                          <a:rect l="l" t="t" r="r" b="b"/>
                          <a:pathLst>
                            <a:path w="4147820" h="27940">
                              <a:moveTo>
                                <a:pt x="1280414" y="18288"/>
                              </a:moveTo>
                              <a:lnTo>
                                <a:pt x="0" y="18288"/>
                              </a:lnTo>
                              <a:lnTo>
                                <a:pt x="0" y="27432"/>
                              </a:lnTo>
                              <a:lnTo>
                                <a:pt x="1280414" y="27432"/>
                              </a:lnTo>
                              <a:lnTo>
                                <a:pt x="1280414" y="18288"/>
                              </a:lnTo>
                              <a:close/>
                            </a:path>
                            <a:path w="4147820" h="27940">
                              <a:moveTo>
                                <a:pt x="1280414" y="0"/>
                              </a:moveTo>
                              <a:lnTo>
                                <a:pt x="0" y="0"/>
                              </a:lnTo>
                              <a:lnTo>
                                <a:pt x="0" y="9144"/>
                              </a:lnTo>
                              <a:lnTo>
                                <a:pt x="1280414" y="9144"/>
                              </a:lnTo>
                              <a:lnTo>
                                <a:pt x="1280414" y="0"/>
                              </a:lnTo>
                              <a:close/>
                            </a:path>
                            <a:path w="4147820" h="27940">
                              <a:moveTo>
                                <a:pt x="3515271" y="18288"/>
                              </a:moveTo>
                              <a:lnTo>
                                <a:pt x="3515271" y="18288"/>
                              </a:lnTo>
                              <a:lnTo>
                                <a:pt x="1280541" y="18288"/>
                              </a:lnTo>
                              <a:lnTo>
                                <a:pt x="1280541" y="27432"/>
                              </a:lnTo>
                              <a:lnTo>
                                <a:pt x="3515271" y="27432"/>
                              </a:lnTo>
                              <a:lnTo>
                                <a:pt x="3515271" y="18288"/>
                              </a:lnTo>
                              <a:close/>
                            </a:path>
                            <a:path w="4147820" h="27940">
                              <a:moveTo>
                                <a:pt x="3515271" y="0"/>
                              </a:moveTo>
                              <a:lnTo>
                                <a:pt x="3515271" y="0"/>
                              </a:lnTo>
                              <a:lnTo>
                                <a:pt x="1280541" y="0"/>
                              </a:lnTo>
                              <a:lnTo>
                                <a:pt x="1280541" y="9144"/>
                              </a:lnTo>
                              <a:lnTo>
                                <a:pt x="3515271" y="9144"/>
                              </a:lnTo>
                              <a:lnTo>
                                <a:pt x="3515271" y="0"/>
                              </a:lnTo>
                              <a:close/>
                            </a:path>
                            <a:path w="4147820" h="27940">
                              <a:moveTo>
                                <a:pt x="4147807" y="18288"/>
                              </a:moveTo>
                              <a:lnTo>
                                <a:pt x="3567176" y="18288"/>
                              </a:lnTo>
                              <a:lnTo>
                                <a:pt x="3515360" y="18288"/>
                              </a:lnTo>
                              <a:lnTo>
                                <a:pt x="3515360" y="27432"/>
                              </a:lnTo>
                              <a:lnTo>
                                <a:pt x="3567176" y="27432"/>
                              </a:lnTo>
                              <a:lnTo>
                                <a:pt x="4147807" y="27432"/>
                              </a:lnTo>
                              <a:lnTo>
                                <a:pt x="4147807" y="18288"/>
                              </a:lnTo>
                              <a:close/>
                            </a:path>
                            <a:path w="4147820" h="27940">
                              <a:moveTo>
                                <a:pt x="4147807" y="0"/>
                              </a:moveTo>
                              <a:lnTo>
                                <a:pt x="3567176" y="0"/>
                              </a:lnTo>
                              <a:lnTo>
                                <a:pt x="3515360" y="0"/>
                              </a:lnTo>
                              <a:lnTo>
                                <a:pt x="3515360" y="9144"/>
                              </a:lnTo>
                              <a:lnTo>
                                <a:pt x="3567176" y="9144"/>
                              </a:lnTo>
                              <a:lnTo>
                                <a:pt x="4147807" y="9144"/>
                              </a:lnTo>
                              <a:lnTo>
                                <a:pt x="41478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69.580002pt;margin-top:12.639984pt;width:326.6pt;height:2.2pt;mso-position-horizontal-relative:page;mso-position-vertical-relative:paragraph;z-index:-15697920;mso-wrap-distance-left:0;mso-wrap-distance-right:0" id="docshape310" coordorigin="3392,253" coordsize="6532,44" path="m5408,282l3392,282,3392,296,5408,296,5408,282xm5408,253l3392,253,3392,267,5408,267,5408,253xm8927,282l7799,282,7717,282,6594,282,6513,282,6513,282,5490,282,5408,282,5408,296,5490,296,6513,296,6513,296,6594,296,7717,296,7799,296,8927,296,8927,282xm8927,253l7799,253,7717,253,6594,253,6513,253,6513,253,5490,253,5408,253,5408,267,5490,267,6513,267,6513,267,6594,267,7717,267,7799,267,8927,267,8927,253xm9924,282l9009,282,8928,282,8928,296,9009,296,9924,296,9924,282xm9924,253l9009,253,8928,253,8928,267,9009,267,9924,267,9924,253xe" filled="true" fillcolor="#000000" stroked="false">
                <v:path arrowok="t"/>
                <v:fill type="solid"/>
                <w10:wrap type="topAndBottom"/>
              </v:shape>
            </w:pict>
          </mc:Fallback>
        </mc:AlternateContent>
      </w:r>
    </w:p>
    <w:p>
      <w:pPr>
        <w:pStyle w:val="BodyText"/>
        <w:spacing w:before="92"/>
        <w:ind w:left="1866"/>
        <w:jc w:val="both"/>
      </w:pPr>
      <w:r>
        <w:rPr/>
        <w:t>Sumber:</w:t>
      </w:r>
      <w:r>
        <w:rPr>
          <w:spacing w:val="-2"/>
        </w:rPr>
        <w:t> </w:t>
      </w:r>
      <w:r>
        <w:rPr/>
        <w:t>Output</w:t>
      </w:r>
      <w:r>
        <w:rPr>
          <w:spacing w:val="-1"/>
        </w:rPr>
        <w:t> </w:t>
      </w:r>
      <w:r>
        <w:rPr>
          <w:i/>
        </w:rPr>
        <w:t>eviews</w:t>
      </w:r>
      <w:r>
        <w:rPr/>
        <w:t>,</w:t>
      </w:r>
      <w:r>
        <w:rPr>
          <w:spacing w:val="-1"/>
        </w:rPr>
        <w:t> </w:t>
      </w:r>
      <w:r>
        <w:rPr/>
        <w:t>data</w:t>
      </w:r>
      <w:r>
        <w:rPr>
          <w:spacing w:val="-2"/>
        </w:rPr>
        <w:t> </w:t>
      </w:r>
      <w:r>
        <w:rPr/>
        <w:t>diolah</w:t>
      </w:r>
      <w:r>
        <w:rPr>
          <w:spacing w:val="-1"/>
        </w:rPr>
        <w:t> </w:t>
      </w:r>
      <w:r>
        <w:rPr>
          <w:spacing w:val="-2"/>
        </w:rPr>
        <w:t>(2025)</w:t>
      </w:r>
    </w:p>
    <w:p>
      <w:pPr>
        <w:pStyle w:val="BodyText"/>
        <w:spacing w:line="360" w:lineRule="auto" w:before="137"/>
        <w:ind w:left="1866" w:right="160" w:firstLine="316"/>
        <w:jc w:val="both"/>
      </w:pPr>
      <w:r>
        <w:rPr/>
        <w:t>Diketahui bahwasanya tabel 4.4 menunjukkan hasil penyembuhan setelah terkena autokorelasi. Hasilnya adalah </w:t>
      </w:r>
      <w:r>
        <w:rPr>
          <w:i/>
        </w:rPr>
        <w:t>probability chi-square </w:t>
      </w:r>
      <w:r>
        <w:rPr/>
        <w:t>sebesar 0,1360 yang menandakan bahwa &gt; α = 0,05, sehingga proses penyembuhan berhasil dan menghilangkan autokorelasi pada model </w:t>
      </w:r>
      <w:r>
        <w:rPr>
          <w:spacing w:val="-2"/>
        </w:rPr>
        <w:t>regresi.</w:t>
      </w:r>
    </w:p>
    <w:p>
      <w:pPr>
        <w:pStyle w:val="Heading2"/>
        <w:numPr>
          <w:ilvl w:val="2"/>
          <w:numId w:val="24"/>
        </w:numPr>
        <w:tabs>
          <w:tab w:pos="1463" w:val="left" w:leader="none"/>
        </w:tabs>
        <w:spacing w:line="240" w:lineRule="auto" w:before="161" w:after="0"/>
        <w:ind w:left="1463" w:right="0" w:hanging="732"/>
        <w:jc w:val="both"/>
      </w:pPr>
      <w:bookmarkStart w:name="_bookmark157" w:id="158"/>
      <w:bookmarkEnd w:id="158"/>
      <w:r>
        <w:rPr>
          <w:b w:val="0"/>
        </w:rPr>
      </w:r>
      <w:r>
        <w:rPr/>
        <w:t>Uji</w:t>
      </w:r>
      <w:r>
        <w:rPr>
          <w:spacing w:val="-2"/>
        </w:rPr>
        <w:t> Hipotesis</w:t>
      </w:r>
    </w:p>
    <w:p>
      <w:pPr>
        <w:pStyle w:val="BodyText"/>
        <w:spacing w:before="21"/>
        <w:rPr>
          <w:b/>
        </w:rPr>
      </w:pPr>
    </w:p>
    <w:p>
      <w:pPr>
        <w:pStyle w:val="BodyText"/>
        <w:spacing w:line="360" w:lineRule="auto"/>
        <w:ind w:left="1463" w:right="159" w:firstLine="403"/>
      </w:pPr>
      <w:r>
        <w:rPr/>
        <w:t>Salah</w:t>
      </w:r>
      <w:r>
        <w:rPr>
          <w:spacing w:val="77"/>
        </w:rPr>
        <w:t> </w:t>
      </w:r>
      <w:r>
        <w:rPr/>
        <w:t>satu</w:t>
      </w:r>
      <w:r>
        <w:rPr>
          <w:spacing w:val="78"/>
        </w:rPr>
        <w:t> </w:t>
      </w:r>
      <w:r>
        <w:rPr/>
        <w:t>teknik</w:t>
      </w:r>
      <w:r>
        <w:rPr>
          <w:spacing w:val="78"/>
        </w:rPr>
        <w:t> </w:t>
      </w:r>
      <w:r>
        <w:rPr/>
        <w:t>utama</w:t>
      </w:r>
      <w:r>
        <w:rPr>
          <w:spacing w:val="77"/>
        </w:rPr>
        <w:t> </w:t>
      </w:r>
      <w:r>
        <w:rPr/>
        <w:t>untuk</w:t>
      </w:r>
      <w:r>
        <w:rPr>
          <w:spacing w:val="78"/>
        </w:rPr>
        <w:t> </w:t>
      </w:r>
      <w:r>
        <w:rPr/>
        <w:t>menarik</w:t>
      </w:r>
      <w:r>
        <w:rPr>
          <w:spacing w:val="78"/>
        </w:rPr>
        <w:t> </w:t>
      </w:r>
      <w:r>
        <w:rPr/>
        <w:t>kesimpulan</w:t>
      </w:r>
      <w:r>
        <w:rPr>
          <w:spacing w:val="77"/>
        </w:rPr>
        <w:t> </w:t>
      </w:r>
      <w:r>
        <w:rPr/>
        <w:t>dari</w:t>
      </w:r>
      <w:r>
        <w:rPr>
          <w:spacing w:val="78"/>
        </w:rPr>
        <w:t> </w:t>
      </w:r>
      <w:r>
        <w:rPr/>
        <w:t>data</w:t>
      </w:r>
      <w:r>
        <w:rPr>
          <w:spacing w:val="77"/>
        </w:rPr>
        <w:t> </w:t>
      </w:r>
      <w:r>
        <w:rPr/>
        <w:t>dalam pengujian</w:t>
      </w:r>
      <w:r>
        <w:rPr>
          <w:spacing w:val="73"/>
        </w:rPr>
        <w:t> </w:t>
      </w:r>
      <w:r>
        <w:rPr/>
        <w:t>statistik</w:t>
      </w:r>
      <w:r>
        <w:rPr>
          <w:spacing w:val="75"/>
        </w:rPr>
        <w:t> </w:t>
      </w:r>
      <w:r>
        <w:rPr/>
        <w:t>adalah</w:t>
      </w:r>
      <w:r>
        <w:rPr>
          <w:spacing w:val="76"/>
        </w:rPr>
        <w:t> </w:t>
      </w:r>
      <w:r>
        <w:rPr/>
        <w:t>pengujian</w:t>
      </w:r>
      <w:r>
        <w:rPr>
          <w:spacing w:val="75"/>
        </w:rPr>
        <w:t> </w:t>
      </w:r>
      <w:r>
        <w:rPr/>
        <w:t>hipotesis.</w:t>
      </w:r>
      <w:r>
        <w:rPr>
          <w:spacing w:val="50"/>
          <w:w w:val="150"/>
        </w:rPr>
        <w:t> </w:t>
      </w:r>
      <w:r>
        <w:rPr/>
        <w:t>Untuk</w:t>
      </w:r>
      <w:r>
        <w:rPr>
          <w:spacing w:val="75"/>
        </w:rPr>
        <w:t> </w:t>
      </w:r>
      <w:r>
        <w:rPr/>
        <w:t>memastikan</w:t>
      </w:r>
      <w:r>
        <w:rPr>
          <w:spacing w:val="76"/>
        </w:rPr>
        <w:t> </w:t>
      </w:r>
      <w:r>
        <w:rPr>
          <w:spacing w:val="-2"/>
        </w:rPr>
        <w:t>apakah</w:t>
      </w:r>
    </w:p>
    <w:p>
      <w:pPr>
        <w:pStyle w:val="BodyText"/>
        <w:rPr>
          <w:sz w:val="20"/>
        </w:rPr>
      </w:pPr>
    </w:p>
    <w:p>
      <w:pPr>
        <w:pStyle w:val="BodyText"/>
        <w:rPr>
          <w:sz w:val="20"/>
        </w:rPr>
      </w:pPr>
    </w:p>
    <w:p>
      <w:pPr>
        <w:pStyle w:val="BodyText"/>
        <w:spacing w:before="170"/>
        <w:rPr>
          <w:sz w:val="20"/>
        </w:rPr>
      </w:pPr>
      <w:r>
        <w:rPr>
          <w:sz w:val="20"/>
        </w:rPr>
        <mc:AlternateContent>
          <mc:Choice Requires="wps">
            <w:drawing>
              <wp:anchor distT="0" distB="0" distL="0" distR="0" allowOverlap="1" layoutInCell="1" locked="0" behindDoc="1" simplePos="0" relativeHeight="487619072">
                <wp:simplePos x="0" y="0"/>
                <wp:positionH relativeFrom="page">
                  <wp:posOffset>914704</wp:posOffset>
                </wp:positionH>
                <wp:positionV relativeFrom="paragraph">
                  <wp:posOffset>269669</wp:posOffset>
                </wp:positionV>
                <wp:extent cx="1829435" cy="9525"/>
                <wp:effectExtent l="0" t="0" r="0" b="0"/>
                <wp:wrapTopAndBottom/>
                <wp:docPr id="339" name="Graphic 339"/>
                <wp:cNvGraphicFramePr>
                  <a:graphicFrameLocks/>
                </wp:cNvGraphicFramePr>
                <a:graphic>
                  <a:graphicData uri="http://schemas.microsoft.com/office/word/2010/wordprocessingShape">
                    <wps:wsp>
                      <wps:cNvPr id="339" name="Graphic 339"/>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1.233803pt;width:144.020pt;height:.71997pt;mso-position-horizontal-relative:page;mso-position-vertical-relative:paragraph;z-index:-15697408;mso-wrap-distance-left:0;mso-wrap-distance-right:0" id="docshape311" filled="true" fillcolor="#000000" stroked="false">
                <v:fill type="solid"/>
                <w10:wrap type="topAndBottom"/>
              </v:rect>
            </w:pict>
          </mc:Fallback>
        </mc:AlternateContent>
      </w:r>
    </w:p>
    <w:p>
      <w:pPr>
        <w:spacing w:before="101"/>
        <w:ind w:left="743" w:right="0" w:firstLine="0"/>
        <w:jc w:val="left"/>
        <w:rPr>
          <w:sz w:val="20"/>
        </w:rPr>
      </w:pPr>
      <w:bookmarkStart w:name="_bookmark158" w:id="159"/>
      <w:bookmarkEnd w:id="159"/>
      <w:r>
        <w:rPr/>
      </w:r>
      <w:r>
        <w:rPr>
          <w:sz w:val="20"/>
          <w:vertAlign w:val="superscript"/>
        </w:rPr>
        <w:t>95</w:t>
      </w:r>
      <w:r>
        <w:rPr>
          <w:spacing w:val="-4"/>
          <w:sz w:val="20"/>
          <w:vertAlign w:val="baseline"/>
        </w:rPr>
        <w:t> </w:t>
      </w:r>
      <w:r>
        <w:rPr>
          <w:sz w:val="20"/>
          <w:vertAlign w:val="baseline"/>
        </w:rPr>
        <w:t>Sholihah</w:t>
      </w:r>
      <w:r>
        <w:rPr>
          <w:spacing w:val="-3"/>
          <w:sz w:val="20"/>
          <w:vertAlign w:val="baseline"/>
        </w:rPr>
        <w:t> </w:t>
      </w:r>
      <w:r>
        <w:rPr>
          <w:sz w:val="20"/>
          <w:vertAlign w:val="baseline"/>
        </w:rPr>
        <w:t>and</w:t>
      </w:r>
      <w:r>
        <w:rPr>
          <w:spacing w:val="-3"/>
          <w:sz w:val="20"/>
          <w:vertAlign w:val="baseline"/>
        </w:rPr>
        <w:t> </w:t>
      </w:r>
      <w:r>
        <w:rPr>
          <w:spacing w:val="-2"/>
          <w:sz w:val="20"/>
          <w:vertAlign w:val="baseline"/>
        </w:rPr>
        <w:t>others.</w:t>
      </w:r>
    </w:p>
    <w:p>
      <w:pPr>
        <w:spacing w:after="0"/>
        <w:jc w:val="left"/>
        <w:rPr>
          <w:sz w:val="20"/>
        </w:rPr>
        <w:sectPr>
          <w:pgSz w:w="11910" w:h="16840"/>
          <w:pgMar w:header="0" w:footer="1000" w:top="1360" w:bottom="1200" w:left="1417" w:right="1275"/>
        </w:sectPr>
      </w:pPr>
    </w:p>
    <w:p>
      <w:pPr>
        <w:pStyle w:val="BodyText"/>
        <w:spacing w:line="360" w:lineRule="auto" w:before="60"/>
        <w:ind w:left="1463" w:right="166"/>
        <w:jc w:val="both"/>
      </w:pPr>
      <w:r>
        <w:rPr/>
        <w:t>sebuah hipotesis diterima atau ditolak, seorang peneliti dapat melakukan pengujian hipotesis</w:t>
      </w:r>
      <w:hyperlink w:history="true" w:anchor="_bookmark159">
        <w:r>
          <w:rPr/>
          <w:t>.</w:t>
        </w:r>
        <w:r>
          <w:rPr>
            <w:vertAlign w:val="superscript"/>
          </w:rPr>
          <w:t>96</w:t>
        </w:r>
      </w:hyperlink>
    </w:p>
    <w:p>
      <w:pPr>
        <w:pStyle w:val="Heading2"/>
        <w:numPr>
          <w:ilvl w:val="3"/>
          <w:numId w:val="24"/>
        </w:numPr>
        <w:tabs>
          <w:tab w:pos="1866" w:val="left" w:leader="none"/>
        </w:tabs>
        <w:spacing w:line="240" w:lineRule="auto" w:before="1" w:after="0"/>
        <w:ind w:left="1866" w:right="0" w:hanging="360"/>
        <w:jc w:val="both"/>
      </w:pPr>
      <w:r>
        <w:rPr/>
        <w:t>Uji</w:t>
      </w:r>
      <w:r>
        <w:rPr>
          <w:spacing w:val="-2"/>
        </w:rPr>
        <w:t> </w:t>
      </w:r>
      <w:r>
        <w:rPr/>
        <w:t>Koefisien</w:t>
      </w:r>
      <w:r>
        <w:rPr>
          <w:spacing w:val="-2"/>
        </w:rPr>
        <w:t> Determinasi</w:t>
      </w:r>
    </w:p>
    <w:p>
      <w:pPr>
        <w:pStyle w:val="BodyText"/>
        <w:spacing w:line="360" w:lineRule="auto" w:before="137"/>
        <w:ind w:left="1866" w:right="165" w:firstLine="316"/>
        <w:jc w:val="both"/>
      </w:pPr>
      <w:r>
        <w:rPr/>
        <w:t>Koefisien determinasi digunakan untuk menghitung </w:t>
      </w:r>
      <w:r>
        <w:rPr/>
        <w:t>seberapa kemampuan model dalam menerangkan variasi variabel dependen. Nilai koefisien determinasi adalah antara nol dengan satu. Dalam penelitian ini nilai koefisien determinasi ditunjukan oleh adjusted r2.</w:t>
      </w:r>
    </w:p>
    <w:p>
      <w:pPr>
        <w:pStyle w:val="Heading2"/>
        <w:ind w:left="4985"/>
      </w:pPr>
      <w:r>
        <w:rPr/>
        <w:t>Tabel</w:t>
      </w:r>
      <w:r>
        <w:rPr>
          <w:spacing w:val="-2"/>
        </w:rPr>
        <w:t> </w:t>
      </w:r>
      <w:r>
        <w:rPr>
          <w:spacing w:val="-5"/>
        </w:rPr>
        <w:t>4.5</w:t>
      </w:r>
    </w:p>
    <w:p>
      <w:pPr>
        <w:spacing w:before="139"/>
        <w:ind w:left="3835" w:right="0" w:firstLine="0"/>
        <w:jc w:val="left"/>
        <w:rPr>
          <w:b/>
          <w:sz w:val="24"/>
        </w:rPr>
      </w:pPr>
      <w:r>
        <w:rPr>
          <w:b/>
          <w:sz w:val="24"/>
        </w:rPr>
        <w:t>Hasil</w:t>
      </w:r>
      <w:r>
        <w:rPr>
          <w:b/>
          <w:spacing w:val="-1"/>
          <w:sz w:val="24"/>
        </w:rPr>
        <w:t> </w:t>
      </w:r>
      <w:r>
        <w:rPr>
          <w:b/>
          <w:sz w:val="24"/>
        </w:rPr>
        <w:t>Uji Koefisien </w:t>
      </w:r>
      <w:r>
        <w:rPr>
          <w:b/>
          <w:spacing w:val="-2"/>
          <w:sz w:val="24"/>
        </w:rPr>
        <w:t>Determinasi</w:t>
      </w:r>
    </w:p>
    <w:p>
      <w:pPr>
        <w:pStyle w:val="BodyText"/>
        <w:spacing w:before="136"/>
        <w:rPr>
          <w:b/>
          <w:sz w:val="20"/>
        </w:rPr>
      </w:pPr>
      <w:r>
        <w:rPr>
          <w:b/>
          <w:sz w:val="20"/>
        </w:rPr>
        <mc:AlternateContent>
          <mc:Choice Requires="wps">
            <w:drawing>
              <wp:anchor distT="0" distB="0" distL="0" distR="0" allowOverlap="1" layoutInCell="1" locked="0" behindDoc="1" simplePos="0" relativeHeight="487619584">
                <wp:simplePos x="0" y="0"/>
                <wp:positionH relativeFrom="page">
                  <wp:posOffset>2162810</wp:posOffset>
                </wp:positionH>
                <wp:positionV relativeFrom="paragraph">
                  <wp:posOffset>248082</wp:posOffset>
                </wp:positionV>
                <wp:extent cx="4147820" cy="27940"/>
                <wp:effectExtent l="0" t="0" r="0" b="0"/>
                <wp:wrapTopAndBottom/>
                <wp:docPr id="340" name="Graphic 340"/>
                <wp:cNvGraphicFramePr>
                  <a:graphicFrameLocks/>
                </wp:cNvGraphicFramePr>
                <a:graphic>
                  <a:graphicData uri="http://schemas.microsoft.com/office/word/2010/wordprocessingShape">
                    <wps:wsp>
                      <wps:cNvPr id="340" name="Graphic 340"/>
                      <wps:cNvSpPr/>
                      <wps:spPr>
                        <a:xfrm>
                          <a:off x="0" y="0"/>
                          <a:ext cx="4147820" cy="27940"/>
                        </a:xfrm>
                        <a:custGeom>
                          <a:avLst/>
                          <a:gdLst/>
                          <a:ahLst/>
                          <a:cxnLst/>
                          <a:rect l="l" t="t" r="r" b="b"/>
                          <a:pathLst>
                            <a:path w="4147820" h="27940">
                              <a:moveTo>
                                <a:pt x="1280414" y="18288"/>
                              </a:moveTo>
                              <a:lnTo>
                                <a:pt x="0" y="18288"/>
                              </a:lnTo>
                              <a:lnTo>
                                <a:pt x="0" y="27432"/>
                              </a:lnTo>
                              <a:lnTo>
                                <a:pt x="1280414" y="27432"/>
                              </a:lnTo>
                              <a:lnTo>
                                <a:pt x="1280414" y="18288"/>
                              </a:lnTo>
                              <a:close/>
                            </a:path>
                            <a:path w="4147820" h="27940">
                              <a:moveTo>
                                <a:pt x="1280414" y="0"/>
                              </a:moveTo>
                              <a:lnTo>
                                <a:pt x="0" y="0"/>
                              </a:lnTo>
                              <a:lnTo>
                                <a:pt x="0" y="9144"/>
                              </a:lnTo>
                              <a:lnTo>
                                <a:pt x="1280414" y="9144"/>
                              </a:lnTo>
                              <a:lnTo>
                                <a:pt x="1280414" y="0"/>
                              </a:lnTo>
                              <a:close/>
                            </a:path>
                            <a:path w="4147820" h="27940">
                              <a:moveTo>
                                <a:pt x="2800210" y="18288"/>
                              </a:moveTo>
                              <a:lnTo>
                                <a:pt x="2800210" y="18288"/>
                              </a:lnTo>
                              <a:lnTo>
                                <a:pt x="1280541" y="18288"/>
                              </a:lnTo>
                              <a:lnTo>
                                <a:pt x="1280541" y="27432"/>
                              </a:lnTo>
                              <a:lnTo>
                                <a:pt x="2800210" y="27432"/>
                              </a:lnTo>
                              <a:lnTo>
                                <a:pt x="2800210" y="18288"/>
                              </a:lnTo>
                              <a:close/>
                            </a:path>
                            <a:path w="4147820" h="27940">
                              <a:moveTo>
                                <a:pt x="2800210" y="0"/>
                              </a:moveTo>
                              <a:lnTo>
                                <a:pt x="2800210" y="0"/>
                              </a:lnTo>
                              <a:lnTo>
                                <a:pt x="1280541" y="0"/>
                              </a:lnTo>
                              <a:lnTo>
                                <a:pt x="1280541" y="9144"/>
                              </a:lnTo>
                              <a:lnTo>
                                <a:pt x="2800210" y="9144"/>
                              </a:lnTo>
                              <a:lnTo>
                                <a:pt x="2800210" y="0"/>
                              </a:lnTo>
                              <a:close/>
                            </a:path>
                            <a:path w="4147820" h="27940">
                              <a:moveTo>
                                <a:pt x="3515283" y="18288"/>
                              </a:moveTo>
                              <a:lnTo>
                                <a:pt x="2800223" y="18288"/>
                              </a:lnTo>
                              <a:lnTo>
                                <a:pt x="2800223" y="27432"/>
                              </a:lnTo>
                              <a:lnTo>
                                <a:pt x="3515283" y="27432"/>
                              </a:lnTo>
                              <a:lnTo>
                                <a:pt x="3515283" y="18288"/>
                              </a:lnTo>
                              <a:close/>
                            </a:path>
                            <a:path w="4147820" h="27940">
                              <a:moveTo>
                                <a:pt x="3515283" y="0"/>
                              </a:moveTo>
                              <a:lnTo>
                                <a:pt x="2800223" y="0"/>
                              </a:lnTo>
                              <a:lnTo>
                                <a:pt x="2800223" y="9144"/>
                              </a:lnTo>
                              <a:lnTo>
                                <a:pt x="3515283" y="9144"/>
                              </a:lnTo>
                              <a:lnTo>
                                <a:pt x="3515283" y="0"/>
                              </a:lnTo>
                              <a:close/>
                            </a:path>
                            <a:path w="4147820" h="27940">
                              <a:moveTo>
                                <a:pt x="4147820" y="18288"/>
                              </a:moveTo>
                              <a:lnTo>
                                <a:pt x="3567176" y="18288"/>
                              </a:lnTo>
                              <a:lnTo>
                                <a:pt x="3515360" y="18288"/>
                              </a:lnTo>
                              <a:lnTo>
                                <a:pt x="3515360" y="27432"/>
                              </a:lnTo>
                              <a:lnTo>
                                <a:pt x="3567176" y="27432"/>
                              </a:lnTo>
                              <a:lnTo>
                                <a:pt x="4147820" y="27432"/>
                              </a:lnTo>
                              <a:lnTo>
                                <a:pt x="4147820" y="18288"/>
                              </a:lnTo>
                              <a:close/>
                            </a:path>
                            <a:path w="4147820" h="27940">
                              <a:moveTo>
                                <a:pt x="4147820" y="0"/>
                              </a:moveTo>
                              <a:lnTo>
                                <a:pt x="3567176" y="0"/>
                              </a:lnTo>
                              <a:lnTo>
                                <a:pt x="3515360" y="0"/>
                              </a:lnTo>
                              <a:lnTo>
                                <a:pt x="3515360" y="9144"/>
                              </a:lnTo>
                              <a:lnTo>
                                <a:pt x="3567176" y="9144"/>
                              </a:lnTo>
                              <a:lnTo>
                                <a:pt x="4147820" y="9144"/>
                              </a:lnTo>
                              <a:lnTo>
                                <a:pt x="414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70.300003pt;margin-top:19.534035pt;width:326.6pt;height:2.2pt;mso-position-horizontal-relative:page;mso-position-vertical-relative:paragraph;z-index:-15696896;mso-wrap-distance-left:0;mso-wrap-distance-right:0" id="docshape312" coordorigin="3406,391" coordsize="6532,44" path="m5422,419l3406,419,3406,434,5422,434,5422,419xm5422,391l3406,391,3406,405,5422,405,5422,391xm7816,419l7734,419,6609,419,6527,419,6527,419,5504,419,5423,419,5423,434,5504,434,6527,434,6527,434,6609,434,7734,434,7816,434,7816,419xm7816,391l7734,391,6609,391,6527,391,6527,391,5504,391,5423,391,5423,405,5504,405,6527,405,6527,405,6609,405,7734,405,7816,405,7816,391xm8942,419l7816,419,7816,434,8942,434,8942,419xm8942,391l7816,391,7816,405,8942,405,8942,391xm9938,419l9024,419,8942,419,8942,434,9024,434,9938,434,9938,419xm9938,391l9024,391,8942,391,8942,405,9024,405,9938,405,9938,391xe" filled="true" fillcolor="#000000" stroked="false">
                <v:path arrowok="t"/>
                <v:fill type="solid"/>
                <w10:wrap type="topAndBottom"/>
              </v:shape>
            </w:pict>
          </mc:Fallback>
        </mc:AlternateContent>
      </w:r>
    </w:p>
    <w:p>
      <w:pPr>
        <w:pStyle w:val="BodyText"/>
        <w:tabs>
          <w:tab w:pos="4005" w:val="left" w:leader="none"/>
          <w:tab w:pos="5349" w:val="left" w:leader="none"/>
          <w:tab w:pos="7524" w:val="left" w:leader="none"/>
        </w:tabs>
        <w:spacing w:line="398" w:lineRule="auto" w:before="90"/>
        <w:ind w:left="1989" w:right="787"/>
      </w:pPr>
      <w:r>
        <w:rPr>
          <w:spacing w:val="-2"/>
        </w:rPr>
        <w:t>R-squared</w:t>
      </w:r>
      <w:r>
        <w:rPr/>
        <w:tab/>
      </w:r>
      <w:r>
        <w:rPr>
          <w:spacing w:val="-2"/>
        </w:rPr>
        <w:t>0.690875</w:t>
      </w:r>
      <w:r>
        <w:rPr/>
        <w:tab/>
        <w:t>Mean dependent var</w:t>
        <w:tab/>
      </w:r>
      <w:r>
        <w:rPr>
          <w:spacing w:val="-2"/>
        </w:rPr>
        <w:t>5.253252 </w:t>
      </w:r>
      <w:r>
        <w:rPr/>
        <w:t>Adjusted</w:t>
      </w:r>
      <w:r>
        <w:rPr>
          <w:spacing w:val="-2"/>
        </w:rPr>
        <w:t> </w:t>
      </w:r>
      <w:r>
        <w:rPr/>
        <w:t>R-squared</w:t>
      </w:r>
      <w:r>
        <w:rPr>
          <w:spacing w:val="43"/>
        </w:rPr>
        <w:t> </w:t>
      </w:r>
      <w:r>
        <w:rPr>
          <w:spacing w:val="-2"/>
        </w:rPr>
        <w:t>0.668393</w:t>
      </w:r>
      <w:r>
        <w:rPr/>
        <w:tab/>
        <w:t>S.D.</w:t>
      </w:r>
      <w:r>
        <w:rPr>
          <w:spacing w:val="-4"/>
        </w:rPr>
        <w:t> </w:t>
      </w:r>
      <w:r>
        <w:rPr/>
        <w:t>dependent</w:t>
      </w:r>
      <w:r>
        <w:rPr>
          <w:spacing w:val="-2"/>
        </w:rPr>
        <w:t> </w:t>
      </w:r>
      <w:r>
        <w:rPr>
          <w:spacing w:val="-5"/>
        </w:rPr>
        <w:t>var</w:t>
      </w:r>
      <w:r>
        <w:rPr/>
        <w:tab/>
      </w:r>
      <w:r>
        <w:rPr>
          <w:spacing w:val="-2"/>
        </w:rPr>
        <w:t>0.136958</w:t>
      </w:r>
    </w:p>
    <w:p>
      <w:pPr>
        <w:pStyle w:val="BodyText"/>
        <w:spacing w:before="9"/>
        <w:rPr>
          <w:sz w:val="5"/>
        </w:rPr>
      </w:pPr>
      <w:r>
        <w:rPr>
          <w:sz w:val="5"/>
        </w:rPr>
        <mc:AlternateContent>
          <mc:Choice Requires="wps">
            <w:drawing>
              <wp:anchor distT="0" distB="0" distL="0" distR="0" allowOverlap="1" layoutInCell="1" locked="0" behindDoc="1" simplePos="0" relativeHeight="487620096">
                <wp:simplePos x="0" y="0"/>
                <wp:positionH relativeFrom="page">
                  <wp:posOffset>2162810</wp:posOffset>
                </wp:positionH>
                <wp:positionV relativeFrom="paragraph">
                  <wp:posOffset>57503</wp:posOffset>
                </wp:positionV>
                <wp:extent cx="4147820" cy="27940"/>
                <wp:effectExtent l="0" t="0" r="0" b="0"/>
                <wp:wrapTopAndBottom/>
                <wp:docPr id="341" name="Graphic 341"/>
                <wp:cNvGraphicFramePr>
                  <a:graphicFrameLocks/>
                </wp:cNvGraphicFramePr>
                <a:graphic>
                  <a:graphicData uri="http://schemas.microsoft.com/office/word/2010/wordprocessingShape">
                    <wps:wsp>
                      <wps:cNvPr id="341" name="Graphic 341"/>
                      <wps:cNvSpPr/>
                      <wps:spPr>
                        <a:xfrm>
                          <a:off x="0" y="0"/>
                          <a:ext cx="4147820" cy="27940"/>
                        </a:xfrm>
                        <a:custGeom>
                          <a:avLst/>
                          <a:gdLst/>
                          <a:ahLst/>
                          <a:cxnLst/>
                          <a:rect l="l" t="t" r="r" b="b"/>
                          <a:pathLst>
                            <a:path w="4147820" h="27940">
                              <a:moveTo>
                                <a:pt x="1280414" y="18288"/>
                              </a:moveTo>
                              <a:lnTo>
                                <a:pt x="0" y="18288"/>
                              </a:lnTo>
                              <a:lnTo>
                                <a:pt x="0" y="27432"/>
                              </a:lnTo>
                              <a:lnTo>
                                <a:pt x="1280414" y="27432"/>
                              </a:lnTo>
                              <a:lnTo>
                                <a:pt x="1280414" y="18288"/>
                              </a:lnTo>
                              <a:close/>
                            </a:path>
                            <a:path w="4147820" h="27940">
                              <a:moveTo>
                                <a:pt x="1280414" y="0"/>
                              </a:moveTo>
                              <a:lnTo>
                                <a:pt x="0" y="0"/>
                              </a:lnTo>
                              <a:lnTo>
                                <a:pt x="0" y="9156"/>
                              </a:lnTo>
                              <a:lnTo>
                                <a:pt x="1280414" y="9156"/>
                              </a:lnTo>
                              <a:lnTo>
                                <a:pt x="1280414" y="0"/>
                              </a:lnTo>
                              <a:close/>
                            </a:path>
                            <a:path w="4147820" h="27940">
                              <a:moveTo>
                                <a:pt x="2800210" y="18288"/>
                              </a:moveTo>
                              <a:lnTo>
                                <a:pt x="2800210" y="18288"/>
                              </a:lnTo>
                              <a:lnTo>
                                <a:pt x="1280541" y="18288"/>
                              </a:lnTo>
                              <a:lnTo>
                                <a:pt x="1280541" y="27432"/>
                              </a:lnTo>
                              <a:lnTo>
                                <a:pt x="2800210" y="27432"/>
                              </a:lnTo>
                              <a:lnTo>
                                <a:pt x="2800210" y="18288"/>
                              </a:lnTo>
                              <a:close/>
                            </a:path>
                            <a:path w="4147820" h="27940">
                              <a:moveTo>
                                <a:pt x="2800210" y="0"/>
                              </a:moveTo>
                              <a:lnTo>
                                <a:pt x="2800210" y="0"/>
                              </a:lnTo>
                              <a:lnTo>
                                <a:pt x="1280541" y="0"/>
                              </a:lnTo>
                              <a:lnTo>
                                <a:pt x="1280541" y="9156"/>
                              </a:lnTo>
                              <a:lnTo>
                                <a:pt x="2800210" y="9156"/>
                              </a:lnTo>
                              <a:lnTo>
                                <a:pt x="2800210" y="0"/>
                              </a:lnTo>
                              <a:close/>
                            </a:path>
                            <a:path w="4147820" h="27940">
                              <a:moveTo>
                                <a:pt x="3515283" y="18288"/>
                              </a:moveTo>
                              <a:lnTo>
                                <a:pt x="2800223" y="18288"/>
                              </a:lnTo>
                              <a:lnTo>
                                <a:pt x="2800223" y="27432"/>
                              </a:lnTo>
                              <a:lnTo>
                                <a:pt x="3515283" y="27432"/>
                              </a:lnTo>
                              <a:lnTo>
                                <a:pt x="3515283" y="18288"/>
                              </a:lnTo>
                              <a:close/>
                            </a:path>
                            <a:path w="4147820" h="27940">
                              <a:moveTo>
                                <a:pt x="3515283" y="0"/>
                              </a:moveTo>
                              <a:lnTo>
                                <a:pt x="2800223" y="0"/>
                              </a:lnTo>
                              <a:lnTo>
                                <a:pt x="2800223" y="9156"/>
                              </a:lnTo>
                              <a:lnTo>
                                <a:pt x="3515283" y="9156"/>
                              </a:lnTo>
                              <a:lnTo>
                                <a:pt x="3515283" y="0"/>
                              </a:lnTo>
                              <a:close/>
                            </a:path>
                            <a:path w="4147820" h="27940">
                              <a:moveTo>
                                <a:pt x="4147820" y="18288"/>
                              </a:moveTo>
                              <a:lnTo>
                                <a:pt x="3567176" y="18288"/>
                              </a:lnTo>
                              <a:lnTo>
                                <a:pt x="3515360" y="18288"/>
                              </a:lnTo>
                              <a:lnTo>
                                <a:pt x="3515360" y="27432"/>
                              </a:lnTo>
                              <a:lnTo>
                                <a:pt x="3567176" y="27432"/>
                              </a:lnTo>
                              <a:lnTo>
                                <a:pt x="4147820" y="27432"/>
                              </a:lnTo>
                              <a:lnTo>
                                <a:pt x="4147820" y="18288"/>
                              </a:lnTo>
                              <a:close/>
                            </a:path>
                            <a:path w="4147820" h="27940">
                              <a:moveTo>
                                <a:pt x="4147820" y="0"/>
                              </a:moveTo>
                              <a:lnTo>
                                <a:pt x="3567176" y="0"/>
                              </a:lnTo>
                              <a:lnTo>
                                <a:pt x="3515360" y="0"/>
                              </a:lnTo>
                              <a:lnTo>
                                <a:pt x="3515360" y="9156"/>
                              </a:lnTo>
                              <a:lnTo>
                                <a:pt x="3567176" y="9156"/>
                              </a:lnTo>
                              <a:lnTo>
                                <a:pt x="4147820" y="9156"/>
                              </a:lnTo>
                              <a:lnTo>
                                <a:pt x="414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70.300003pt;margin-top:4.527866pt;width:326.6pt;height:2.2pt;mso-position-horizontal-relative:page;mso-position-vertical-relative:paragraph;z-index:-15696384;mso-wrap-distance-left:0;mso-wrap-distance-right:0" id="docshape313" coordorigin="3406,91" coordsize="6532,44" path="m5422,119l3406,119,3406,134,5422,134,5422,119xm5422,91l3406,91,3406,105,5422,105,5422,91xm7816,119l7734,119,6609,119,6527,119,6527,119,5504,119,5423,119,5423,134,5504,134,6527,134,6527,134,6609,134,7734,134,7816,134,7816,119xm7816,91l7734,91,6609,91,6527,91,6527,91,5504,91,5423,91,5423,105,5504,105,6527,105,6527,105,6609,105,7734,105,7816,105,7816,91xm8942,119l7816,119,7816,134,8942,134,8942,119xm8942,91l7816,91,7816,105,8942,105,8942,91xm9938,119l9024,119,8942,119,8942,134,9024,134,9938,134,9938,119xm9938,91l9024,91,8942,91,8942,105,9024,105,9938,105,9938,91xe" filled="true" fillcolor="#000000" stroked="false">
                <v:path arrowok="t"/>
                <v:fill type="solid"/>
                <w10:wrap type="topAndBottom"/>
              </v:shape>
            </w:pict>
          </mc:Fallback>
        </mc:AlternateContent>
      </w:r>
    </w:p>
    <w:p>
      <w:pPr>
        <w:pStyle w:val="BodyText"/>
        <w:spacing w:before="90"/>
        <w:ind w:left="1866"/>
        <w:jc w:val="both"/>
      </w:pPr>
      <w:r>
        <w:rPr/>
        <w:t>Sumber:</w:t>
      </w:r>
      <w:r>
        <w:rPr>
          <w:spacing w:val="-2"/>
        </w:rPr>
        <w:t> </w:t>
      </w:r>
      <w:r>
        <w:rPr/>
        <w:t>Output</w:t>
      </w:r>
      <w:r>
        <w:rPr>
          <w:spacing w:val="-1"/>
        </w:rPr>
        <w:t> </w:t>
      </w:r>
      <w:r>
        <w:rPr>
          <w:i/>
        </w:rPr>
        <w:t>eviews</w:t>
      </w:r>
      <w:r>
        <w:rPr/>
        <w:t>,</w:t>
      </w:r>
      <w:r>
        <w:rPr>
          <w:spacing w:val="-2"/>
        </w:rPr>
        <w:t> </w:t>
      </w:r>
      <w:r>
        <w:rPr/>
        <w:t>data</w:t>
      </w:r>
      <w:r>
        <w:rPr>
          <w:spacing w:val="-3"/>
        </w:rPr>
        <w:t> </w:t>
      </w:r>
      <w:r>
        <w:rPr/>
        <w:t>diolah</w:t>
      </w:r>
      <w:r>
        <w:rPr>
          <w:spacing w:val="-1"/>
        </w:rPr>
        <w:t> </w:t>
      </w:r>
      <w:r>
        <w:rPr>
          <w:spacing w:val="-2"/>
        </w:rPr>
        <w:t>(2025)</w:t>
      </w:r>
    </w:p>
    <w:p>
      <w:pPr>
        <w:pStyle w:val="BodyText"/>
        <w:spacing w:line="360" w:lineRule="auto" w:before="139"/>
        <w:ind w:left="1866" w:right="163" w:firstLine="316"/>
        <w:jc w:val="both"/>
      </w:pPr>
      <w:r>
        <w:rPr/>
        <w:t>Dari Tabel 4.5 menunjukan bahwa hasil uji koefisien determinasi sebesar 0.668393 atau 66,84% yang berarti bahwa kemampuan variabel independen yang terdiri Indeks Keyakinan Konsumen, nilai tukar, inflasi, dan</w:t>
      </w:r>
      <w:r>
        <w:rPr>
          <w:spacing w:val="-9"/>
        </w:rPr>
        <w:t> </w:t>
      </w:r>
      <w:r>
        <w:rPr/>
        <w:t>Indeks</w:t>
      </w:r>
      <w:r>
        <w:rPr>
          <w:spacing w:val="-9"/>
        </w:rPr>
        <w:t> </w:t>
      </w:r>
      <w:r>
        <w:rPr/>
        <w:t>Produksi</w:t>
      </w:r>
      <w:r>
        <w:rPr>
          <w:spacing w:val="-8"/>
        </w:rPr>
        <w:t> </w:t>
      </w:r>
      <w:r>
        <w:rPr/>
        <w:t>Industri</w:t>
      </w:r>
      <w:r>
        <w:rPr>
          <w:spacing w:val="-7"/>
        </w:rPr>
        <w:t> </w:t>
      </w:r>
      <w:r>
        <w:rPr/>
        <w:t>untuk</w:t>
      </w:r>
      <w:r>
        <w:rPr>
          <w:spacing w:val="-10"/>
        </w:rPr>
        <w:t> </w:t>
      </w:r>
      <w:r>
        <w:rPr/>
        <w:t>menjelaskan</w:t>
      </w:r>
      <w:r>
        <w:rPr>
          <w:spacing w:val="-9"/>
        </w:rPr>
        <w:t> </w:t>
      </w:r>
      <w:r>
        <w:rPr/>
        <w:t>variabel</w:t>
      </w:r>
      <w:r>
        <w:rPr>
          <w:spacing w:val="-8"/>
        </w:rPr>
        <w:t> </w:t>
      </w:r>
      <w:r>
        <w:rPr/>
        <w:t>dependen</w:t>
      </w:r>
      <w:r>
        <w:rPr>
          <w:spacing w:val="-9"/>
        </w:rPr>
        <w:t> </w:t>
      </w:r>
      <w:r>
        <w:rPr/>
        <w:t>sebesar 66,84%, sedangkan sisanya sebesar 33,16% dijelaskan oleh variabel lain diluar model penelitian.</w:t>
      </w:r>
    </w:p>
    <w:p>
      <w:pPr>
        <w:pStyle w:val="Heading2"/>
        <w:numPr>
          <w:ilvl w:val="3"/>
          <w:numId w:val="24"/>
        </w:numPr>
        <w:tabs>
          <w:tab w:pos="1866" w:val="left" w:leader="none"/>
        </w:tabs>
        <w:spacing w:line="274" w:lineRule="exact" w:before="0" w:after="0"/>
        <w:ind w:left="1866" w:right="0" w:hanging="360"/>
        <w:jc w:val="both"/>
      </w:pPr>
      <w:r>
        <w:rPr/>
        <w:t>Uji</w:t>
      </w:r>
      <w:r>
        <w:rPr>
          <w:spacing w:val="-3"/>
        </w:rPr>
        <w:t> </w:t>
      </w:r>
      <w:r>
        <w:rPr/>
        <w:t>Statistik</w:t>
      </w:r>
      <w:r>
        <w:rPr>
          <w:spacing w:val="-1"/>
        </w:rPr>
        <w:t> </w:t>
      </w:r>
      <w:r>
        <w:rPr/>
        <w:t>T</w:t>
      </w:r>
      <w:r>
        <w:rPr>
          <w:spacing w:val="-3"/>
        </w:rPr>
        <w:t> </w:t>
      </w:r>
      <w:r>
        <w:rPr/>
        <w:t>(Uji</w:t>
      </w:r>
      <w:r>
        <w:rPr>
          <w:spacing w:val="-2"/>
        </w:rPr>
        <w:t> Parsial)</w:t>
      </w:r>
    </w:p>
    <w:p>
      <w:pPr>
        <w:pStyle w:val="BodyText"/>
        <w:spacing w:line="360" w:lineRule="auto" w:before="139"/>
        <w:ind w:left="1866" w:right="162" w:firstLine="316"/>
        <w:jc w:val="both"/>
      </w:pPr>
      <w:r>
        <w:rPr/>
        <w:t>Uji</w:t>
      </w:r>
      <w:r>
        <w:rPr>
          <w:spacing w:val="-14"/>
        </w:rPr>
        <w:t> </w:t>
      </w:r>
      <w:r>
        <w:rPr/>
        <w:t>T</w:t>
      </w:r>
      <w:r>
        <w:rPr>
          <w:spacing w:val="-14"/>
        </w:rPr>
        <w:t> </w:t>
      </w:r>
      <w:r>
        <w:rPr/>
        <w:t>(Uji</w:t>
      </w:r>
      <w:r>
        <w:rPr>
          <w:spacing w:val="-13"/>
        </w:rPr>
        <w:t> </w:t>
      </w:r>
      <w:r>
        <w:rPr/>
        <w:t>Parsial)</w:t>
      </w:r>
      <w:r>
        <w:rPr>
          <w:spacing w:val="-14"/>
        </w:rPr>
        <w:t> </w:t>
      </w:r>
      <w:r>
        <w:rPr/>
        <w:t>adalah</w:t>
      </w:r>
      <w:r>
        <w:rPr>
          <w:spacing w:val="-14"/>
        </w:rPr>
        <w:t> </w:t>
      </w:r>
      <w:r>
        <w:rPr/>
        <w:t>uji</w:t>
      </w:r>
      <w:r>
        <w:rPr>
          <w:spacing w:val="-13"/>
        </w:rPr>
        <w:t> </w:t>
      </w:r>
      <w:r>
        <w:rPr/>
        <w:t>yang</w:t>
      </w:r>
      <w:r>
        <w:rPr>
          <w:spacing w:val="-14"/>
        </w:rPr>
        <w:t> </w:t>
      </w:r>
      <w:r>
        <w:rPr/>
        <w:t>dilakukan</w:t>
      </w:r>
      <w:r>
        <w:rPr>
          <w:spacing w:val="-14"/>
        </w:rPr>
        <w:t> </w:t>
      </w:r>
      <w:r>
        <w:rPr/>
        <w:t>untuk</w:t>
      </w:r>
      <w:r>
        <w:rPr>
          <w:spacing w:val="-15"/>
        </w:rPr>
        <w:t> </w:t>
      </w:r>
      <w:r>
        <w:rPr/>
        <w:t>melihat</w:t>
      </w:r>
      <w:r>
        <w:rPr>
          <w:spacing w:val="-14"/>
        </w:rPr>
        <w:t> </w:t>
      </w:r>
      <w:r>
        <w:rPr/>
        <w:t>apakah</w:t>
      </w:r>
      <w:r>
        <w:rPr>
          <w:spacing w:val="-14"/>
        </w:rPr>
        <w:t> </w:t>
      </w:r>
      <w:r>
        <w:rPr/>
        <w:t>suatu variabel independen berpengaruh atau tidak terhadap variabel dependen dengan hipotesisnya apabila nilai signifikan &gt; 0.05 maka hipotesis ditolak yang berarti variabel independen tidak memiliki pengaruh yang signifikan terhadap</w:t>
      </w:r>
      <w:r>
        <w:rPr>
          <w:spacing w:val="-5"/>
        </w:rPr>
        <w:t> </w:t>
      </w:r>
      <w:r>
        <w:rPr/>
        <w:t>variabel</w:t>
      </w:r>
      <w:r>
        <w:rPr>
          <w:spacing w:val="-5"/>
        </w:rPr>
        <w:t> </w:t>
      </w:r>
      <w:r>
        <w:rPr/>
        <w:t>dependen.</w:t>
      </w:r>
      <w:r>
        <w:rPr>
          <w:spacing w:val="-5"/>
        </w:rPr>
        <w:t> </w:t>
      </w:r>
      <w:r>
        <w:rPr/>
        <w:t>Apabila</w:t>
      </w:r>
      <w:r>
        <w:rPr>
          <w:spacing w:val="-6"/>
        </w:rPr>
        <w:t> </w:t>
      </w:r>
      <w:r>
        <w:rPr/>
        <w:t>nilai</w:t>
      </w:r>
      <w:r>
        <w:rPr>
          <w:spacing w:val="-5"/>
        </w:rPr>
        <w:t> </w:t>
      </w:r>
      <w:r>
        <w:rPr/>
        <w:t>signifikan</w:t>
      </w:r>
      <w:r>
        <w:rPr>
          <w:spacing w:val="-5"/>
        </w:rPr>
        <w:t> </w:t>
      </w:r>
      <w:r>
        <w:rPr/>
        <w:t>&lt;</w:t>
      </w:r>
      <w:r>
        <w:rPr>
          <w:spacing w:val="-6"/>
        </w:rPr>
        <w:t> </w:t>
      </w:r>
      <w:r>
        <w:rPr/>
        <w:t>0.05</w:t>
      </w:r>
      <w:r>
        <w:rPr>
          <w:spacing w:val="-5"/>
        </w:rPr>
        <w:t> </w:t>
      </w:r>
      <w:r>
        <w:rPr/>
        <w:t>maka</w:t>
      </w:r>
      <w:r>
        <w:rPr>
          <w:spacing w:val="-7"/>
        </w:rPr>
        <w:t> </w:t>
      </w:r>
      <w:r>
        <w:rPr/>
        <w:t>hipotesis diterima yang berarti variabel independen memiliki pengaruh yang signifikan terhadap variabel dependen. Berikut hasil output uji 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9"/>
        <w:rPr>
          <w:sz w:val="20"/>
        </w:rPr>
      </w:pPr>
      <w:r>
        <w:rPr>
          <w:sz w:val="20"/>
        </w:rPr>
        <mc:AlternateContent>
          <mc:Choice Requires="wps">
            <w:drawing>
              <wp:anchor distT="0" distB="0" distL="0" distR="0" allowOverlap="1" layoutInCell="1" locked="0" behindDoc="1" simplePos="0" relativeHeight="487620608">
                <wp:simplePos x="0" y="0"/>
                <wp:positionH relativeFrom="page">
                  <wp:posOffset>914704</wp:posOffset>
                </wp:positionH>
                <wp:positionV relativeFrom="paragraph">
                  <wp:posOffset>199014</wp:posOffset>
                </wp:positionV>
                <wp:extent cx="1829435" cy="9525"/>
                <wp:effectExtent l="0" t="0" r="0" b="0"/>
                <wp:wrapTopAndBottom/>
                <wp:docPr id="342" name="Graphic 342"/>
                <wp:cNvGraphicFramePr>
                  <a:graphicFrameLocks/>
                </wp:cNvGraphicFramePr>
                <a:graphic>
                  <a:graphicData uri="http://schemas.microsoft.com/office/word/2010/wordprocessingShape">
                    <wps:wsp>
                      <wps:cNvPr id="342" name="Graphic 342"/>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670472pt;width:144.020pt;height:.72003pt;mso-position-horizontal-relative:page;mso-position-vertical-relative:paragraph;z-index:-15695872;mso-wrap-distance-left:0;mso-wrap-distance-right:0" id="docshape314" filled="true" fillcolor="#000000" stroked="false">
                <v:fill type="solid"/>
                <w10:wrap type="topAndBottom"/>
              </v:rect>
            </w:pict>
          </mc:Fallback>
        </mc:AlternateContent>
      </w:r>
    </w:p>
    <w:p>
      <w:pPr>
        <w:tabs>
          <w:tab w:pos="1239" w:val="left" w:leader="none"/>
          <w:tab w:pos="2613" w:val="left" w:leader="none"/>
          <w:tab w:pos="3508" w:val="left" w:leader="none"/>
          <w:tab w:pos="4571" w:val="left" w:leader="none"/>
          <w:tab w:pos="5866" w:val="left" w:leader="none"/>
          <w:tab w:pos="6338" w:val="left" w:leader="none"/>
          <w:tab w:pos="7079" w:val="left" w:leader="none"/>
          <w:tab w:pos="8050" w:val="left" w:leader="none"/>
          <w:tab w:pos="8519" w:val="left" w:leader="none"/>
        </w:tabs>
        <w:spacing w:before="101"/>
        <w:ind w:left="23" w:right="161" w:firstLine="719"/>
        <w:jc w:val="left"/>
        <w:rPr>
          <w:sz w:val="20"/>
        </w:rPr>
      </w:pPr>
      <w:bookmarkStart w:name="_bookmark159" w:id="160"/>
      <w:bookmarkEnd w:id="160"/>
      <w:r>
        <w:rPr/>
      </w:r>
      <w:r>
        <w:rPr>
          <w:sz w:val="20"/>
          <w:vertAlign w:val="superscript"/>
        </w:rPr>
        <w:t>96</w:t>
      </w:r>
      <w:r>
        <w:rPr>
          <w:sz w:val="20"/>
          <w:vertAlign w:val="baseline"/>
        </w:rPr>
        <w:t> Gangga Anuraga and Muhammad Indrasetianingsih, Artanti Athoillah, ‘PELATIHAN PENGUJIAN </w:t>
      </w:r>
      <w:r>
        <w:rPr>
          <w:spacing w:val="-2"/>
          <w:sz w:val="20"/>
          <w:vertAlign w:val="baseline"/>
        </w:rPr>
        <w:t>HIPOTESIS</w:t>
      </w:r>
      <w:r>
        <w:rPr>
          <w:sz w:val="20"/>
          <w:vertAlign w:val="baseline"/>
        </w:rPr>
        <w:tab/>
      </w:r>
      <w:r>
        <w:rPr>
          <w:spacing w:val="-2"/>
          <w:sz w:val="20"/>
          <w:vertAlign w:val="baseline"/>
        </w:rPr>
        <w:t>STATISTIKA</w:t>
      </w:r>
      <w:r>
        <w:rPr>
          <w:sz w:val="20"/>
          <w:vertAlign w:val="baseline"/>
        </w:rPr>
        <w:tab/>
      </w:r>
      <w:r>
        <w:rPr>
          <w:spacing w:val="-2"/>
          <w:sz w:val="20"/>
          <w:vertAlign w:val="baseline"/>
        </w:rPr>
        <w:t>DASAR</w:t>
      </w:r>
      <w:r>
        <w:rPr>
          <w:sz w:val="20"/>
          <w:vertAlign w:val="baseline"/>
        </w:rPr>
        <w:tab/>
      </w:r>
      <w:r>
        <w:rPr>
          <w:spacing w:val="-2"/>
          <w:sz w:val="20"/>
          <w:vertAlign w:val="baseline"/>
        </w:rPr>
        <w:t>DENGAN</w:t>
      </w:r>
      <w:r>
        <w:rPr>
          <w:sz w:val="20"/>
          <w:vertAlign w:val="baseline"/>
        </w:rPr>
        <w:tab/>
      </w:r>
      <w:r>
        <w:rPr>
          <w:spacing w:val="-2"/>
          <w:sz w:val="20"/>
          <w:vertAlign w:val="baseline"/>
        </w:rPr>
        <w:t>SOFTWARE</w:t>
      </w:r>
      <w:r>
        <w:rPr>
          <w:sz w:val="20"/>
          <w:vertAlign w:val="baseline"/>
        </w:rPr>
        <w:tab/>
      </w:r>
      <w:r>
        <w:rPr>
          <w:spacing w:val="-5"/>
          <w:sz w:val="20"/>
          <w:vertAlign w:val="baseline"/>
        </w:rPr>
        <w:t>R’,</w:t>
      </w:r>
      <w:r>
        <w:rPr>
          <w:sz w:val="20"/>
          <w:vertAlign w:val="baseline"/>
        </w:rPr>
        <w:tab/>
      </w:r>
      <w:r>
        <w:rPr>
          <w:i/>
          <w:spacing w:val="-2"/>
          <w:sz w:val="20"/>
          <w:vertAlign w:val="baseline"/>
        </w:rPr>
        <w:t>Jurnal</w:t>
      </w:r>
      <w:r>
        <w:rPr>
          <w:i/>
          <w:sz w:val="20"/>
          <w:vertAlign w:val="baseline"/>
        </w:rPr>
        <w:tab/>
      </w:r>
      <w:r>
        <w:rPr>
          <w:i/>
          <w:spacing w:val="-2"/>
          <w:sz w:val="20"/>
          <w:vertAlign w:val="baseline"/>
        </w:rPr>
        <w:t>Budimas</w:t>
      </w:r>
      <w:r>
        <w:rPr>
          <w:spacing w:val="-2"/>
          <w:sz w:val="20"/>
          <w:vertAlign w:val="baseline"/>
        </w:rPr>
        <w:t>,</w:t>
      </w:r>
      <w:r>
        <w:rPr>
          <w:sz w:val="20"/>
          <w:vertAlign w:val="baseline"/>
        </w:rPr>
        <w:tab/>
      </w:r>
      <w:r>
        <w:rPr>
          <w:spacing w:val="-5"/>
          <w:sz w:val="20"/>
          <w:vertAlign w:val="baseline"/>
        </w:rPr>
        <w:t>3.2</w:t>
      </w:r>
      <w:r>
        <w:rPr>
          <w:sz w:val="20"/>
          <w:vertAlign w:val="baseline"/>
        </w:rPr>
        <w:tab/>
      </w:r>
      <w:r>
        <w:rPr>
          <w:spacing w:val="-2"/>
          <w:sz w:val="20"/>
          <w:vertAlign w:val="baseline"/>
        </w:rPr>
        <w:t>(2021)</w:t>
      </w:r>
    </w:p>
    <w:p>
      <w:pPr>
        <w:spacing w:before="1"/>
        <w:ind w:left="23" w:right="0" w:firstLine="0"/>
        <w:jc w:val="left"/>
        <w:rPr>
          <w:sz w:val="20"/>
        </w:rPr>
      </w:pPr>
      <w:hyperlink r:id="rId21">
        <w:r>
          <w:rPr>
            <w:spacing w:val="-2"/>
            <w:sz w:val="20"/>
          </w:rPr>
          <w:t>&lt;http://ejurnalmalahayati.ac.id/index.php/kreativitas/article/view/3511/pdf</w:t>
        </w:r>
      </w:hyperlink>
      <w:r>
        <w:rPr>
          <w:spacing w:val="-2"/>
          <w:sz w:val="20"/>
        </w:rPr>
        <w:t>&gt;.</w:t>
      </w:r>
    </w:p>
    <w:p>
      <w:pPr>
        <w:spacing w:after="0"/>
        <w:jc w:val="left"/>
        <w:rPr>
          <w:sz w:val="20"/>
        </w:rPr>
        <w:sectPr>
          <w:pgSz w:w="11910" w:h="16840"/>
          <w:pgMar w:header="0" w:footer="1000" w:top="1360" w:bottom="1200" w:left="1417" w:right="1275"/>
        </w:sectPr>
      </w:pPr>
    </w:p>
    <w:p>
      <w:pPr>
        <w:pStyle w:val="Heading2"/>
        <w:spacing w:line="360" w:lineRule="auto" w:before="60"/>
        <w:ind w:left="4853" w:right="3148"/>
        <w:jc w:val="center"/>
      </w:pPr>
      <w:r>
        <w:rPr/>
        <w:t>Tabel 4.6 Hasil Uji</w:t>
      </w:r>
      <w:r>
        <w:rPr>
          <w:spacing w:val="1"/>
        </w:rPr>
        <w:t> </w:t>
      </w:r>
      <w:r>
        <w:rPr>
          <w:spacing w:val="-10"/>
        </w:rPr>
        <w:t>T</w:t>
      </w:r>
    </w:p>
    <w:p>
      <w:pPr>
        <w:pStyle w:val="BodyText"/>
        <w:spacing w:before="9"/>
        <w:rPr>
          <w:b/>
          <w:sz w:val="19"/>
        </w:rPr>
      </w:pPr>
      <w:r>
        <w:rPr>
          <w:b/>
          <w:sz w:val="19"/>
        </w:rPr>
        <mc:AlternateContent>
          <mc:Choice Requires="wps">
            <w:drawing>
              <wp:anchor distT="0" distB="0" distL="0" distR="0" allowOverlap="1" layoutInCell="1" locked="0" behindDoc="1" simplePos="0" relativeHeight="487621120">
                <wp:simplePos x="0" y="0"/>
                <wp:positionH relativeFrom="page">
                  <wp:posOffset>2115566</wp:posOffset>
                </wp:positionH>
                <wp:positionV relativeFrom="paragraph">
                  <wp:posOffset>159810</wp:posOffset>
                </wp:positionV>
                <wp:extent cx="4147820" cy="27940"/>
                <wp:effectExtent l="0" t="0" r="0" b="0"/>
                <wp:wrapTopAndBottom/>
                <wp:docPr id="343" name="Graphic 343"/>
                <wp:cNvGraphicFramePr>
                  <a:graphicFrameLocks/>
                </wp:cNvGraphicFramePr>
                <a:graphic>
                  <a:graphicData uri="http://schemas.microsoft.com/office/word/2010/wordprocessingShape">
                    <wps:wsp>
                      <wps:cNvPr id="343" name="Graphic 343"/>
                      <wps:cNvSpPr/>
                      <wps:spPr>
                        <a:xfrm>
                          <a:off x="0" y="0"/>
                          <a:ext cx="4147820" cy="27940"/>
                        </a:xfrm>
                        <a:custGeom>
                          <a:avLst/>
                          <a:gdLst/>
                          <a:ahLst/>
                          <a:cxnLst/>
                          <a:rect l="l" t="t" r="r" b="b"/>
                          <a:pathLst>
                            <a:path w="4147820" h="27940">
                              <a:moveTo>
                                <a:pt x="1280414" y="18300"/>
                              </a:moveTo>
                              <a:lnTo>
                                <a:pt x="0" y="18300"/>
                              </a:lnTo>
                              <a:lnTo>
                                <a:pt x="0" y="27432"/>
                              </a:lnTo>
                              <a:lnTo>
                                <a:pt x="1280414" y="27432"/>
                              </a:lnTo>
                              <a:lnTo>
                                <a:pt x="1280414" y="18300"/>
                              </a:lnTo>
                              <a:close/>
                            </a:path>
                            <a:path w="4147820" h="27940">
                              <a:moveTo>
                                <a:pt x="1280414" y="0"/>
                              </a:moveTo>
                              <a:lnTo>
                                <a:pt x="0" y="0"/>
                              </a:lnTo>
                              <a:lnTo>
                                <a:pt x="0" y="9144"/>
                              </a:lnTo>
                              <a:lnTo>
                                <a:pt x="1280414" y="9144"/>
                              </a:lnTo>
                              <a:lnTo>
                                <a:pt x="1280414" y="0"/>
                              </a:lnTo>
                              <a:close/>
                            </a:path>
                            <a:path w="4147820" h="27940">
                              <a:moveTo>
                                <a:pt x="3515271" y="18300"/>
                              </a:moveTo>
                              <a:lnTo>
                                <a:pt x="3515271" y="18300"/>
                              </a:lnTo>
                              <a:lnTo>
                                <a:pt x="1280541" y="18300"/>
                              </a:lnTo>
                              <a:lnTo>
                                <a:pt x="1280541" y="27432"/>
                              </a:lnTo>
                              <a:lnTo>
                                <a:pt x="3515271" y="27432"/>
                              </a:lnTo>
                              <a:lnTo>
                                <a:pt x="3515271" y="18300"/>
                              </a:lnTo>
                              <a:close/>
                            </a:path>
                            <a:path w="4147820" h="27940">
                              <a:moveTo>
                                <a:pt x="3515271" y="0"/>
                              </a:moveTo>
                              <a:lnTo>
                                <a:pt x="3515271" y="0"/>
                              </a:lnTo>
                              <a:lnTo>
                                <a:pt x="1280541" y="0"/>
                              </a:lnTo>
                              <a:lnTo>
                                <a:pt x="1280541" y="9144"/>
                              </a:lnTo>
                              <a:lnTo>
                                <a:pt x="3515271" y="9144"/>
                              </a:lnTo>
                              <a:lnTo>
                                <a:pt x="3515271" y="0"/>
                              </a:lnTo>
                              <a:close/>
                            </a:path>
                            <a:path w="4147820" h="27940">
                              <a:moveTo>
                                <a:pt x="4147807" y="18300"/>
                              </a:moveTo>
                              <a:lnTo>
                                <a:pt x="3567176" y="18300"/>
                              </a:lnTo>
                              <a:lnTo>
                                <a:pt x="3515360" y="18300"/>
                              </a:lnTo>
                              <a:lnTo>
                                <a:pt x="3515360" y="27432"/>
                              </a:lnTo>
                              <a:lnTo>
                                <a:pt x="3567176" y="27432"/>
                              </a:lnTo>
                              <a:lnTo>
                                <a:pt x="4147807" y="27432"/>
                              </a:lnTo>
                              <a:lnTo>
                                <a:pt x="4147807" y="18300"/>
                              </a:lnTo>
                              <a:close/>
                            </a:path>
                            <a:path w="4147820" h="27940">
                              <a:moveTo>
                                <a:pt x="4147807" y="0"/>
                              </a:moveTo>
                              <a:lnTo>
                                <a:pt x="3567176" y="0"/>
                              </a:lnTo>
                              <a:lnTo>
                                <a:pt x="3515360" y="0"/>
                              </a:lnTo>
                              <a:lnTo>
                                <a:pt x="3515360" y="9144"/>
                              </a:lnTo>
                              <a:lnTo>
                                <a:pt x="3567176" y="9144"/>
                              </a:lnTo>
                              <a:lnTo>
                                <a:pt x="4147807" y="9144"/>
                              </a:lnTo>
                              <a:lnTo>
                                <a:pt x="41478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66.580002pt;margin-top:12.583482pt;width:326.6pt;height:2.2pt;mso-position-horizontal-relative:page;mso-position-vertical-relative:paragraph;z-index:-15695360;mso-wrap-distance-left:0;mso-wrap-distance-right:0" id="docshape315" coordorigin="3332,252" coordsize="6532,44" path="m5348,280l3332,280,3332,295,5348,295,5348,280xm5348,252l3332,252,3332,266,5348,266,5348,252xm8867,280l7739,280,7657,280,6534,280,6453,280,6453,280,5430,280,5348,280,5348,295,5430,295,6453,295,6453,295,6534,295,7657,295,7739,295,8867,295,8867,280xm8867,252l7739,252,7657,252,6534,252,6453,252,6453,252,5430,252,5348,252,5348,266,5430,266,6453,266,6453,266,6534,266,7657,266,7739,266,8867,266,8867,252xm9864,280l8949,280,8868,280,8868,295,8949,295,9864,295,9864,280xm9864,252l8949,252,8868,252,8868,266,8949,266,9864,266,9864,252xe" filled="true" fillcolor="#000000" stroked="false">
                <v:path arrowok="t"/>
                <v:fill type="solid"/>
                <w10:wrap type="topAndBottom"/>
              </v:shape>
            </w:pict>
          </mc:Fallback>
        </mc:AlternateContent>
      </w:r>
    </w:p>
    <w:p>
      <w:pPr>
        <w:pStyle w:val="BodyText"/>
        <w:tabs>
          <w:tab w:pos="3931" w:val="left" w:leader="none"/>
        </w:tabs>
        <w:spacing w:before="90"/>
        <w:ind w:left="1914"/>
        <w:jc w:val="both"/>
      </w:pPr>
      <w:r>
        <w:rPr>
          <w:spacing w:val="-2"/>
        </w:rPr>
        <w:t>Variable</w:t>
      </w:r>
      <w:r>
        <w:rPr/>
        <w:tab/>
        <w:t>Coefficient</w:t>
      </w:r>
      <w:r>
        <w:rPr>
          <w:spacing w:val="-33"/>
        </w:rPr>
        <w:t> </w:t>
      </w:r>
      <w:r>
        <w:rPr/>
        <w:t>Std.</w:t>
      </w:r>
      <w:r>
        <w:rPr>
          <w:spacing w:val="-1"/>
        </w:rPr>
        <w:t> </w:t>
      </w:r>
      <w:r>
        <w:rPr/>
        <w:t>Error</w:t>
      </w:r>
      <w:r>
        <w:rPr>
          <w:spacing w:val="67"/>
        </w:rPr>
        <w:t>  </w:t>
      </w:r>
      <w:r>
        <w:rPr/>
        <w:t>t-Statistic</w:t>
      </w:r>
      <w:r>
        <w:rPr>
          <w:spacing w:val="53"/>
          <w:w w:val="150"/>
        </w:rPr>
        <w:t>  </w:t>
      </w:r>
      <w:r>
        <w:rPr>
          <w:spacing w:val="-2"/>
        </w:rPr>
        <w:t>Prob.</w:t>
      </w:r>
    </w:p>
    <w:p>
      <w:pPr>
        <w:pStyle w:val="BodyText"/>
        <w:spacing w:before="66"/>
        <w:rPr>
          <w:sz w:val="20"/>
        </w:rPr>
      </w:pPr>
    </w:p>
    <w:tbl>
      <w:tblPr>
        <w:tblW w:w="0" w:type="auto"/>
        <w:jc w:val="left"/>
        <w:tblInd w:w="1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80"/>
        <w:gridCol w:w="1577"/>
        <w:gridCol w:w="1114"/>
        <w:gridCol w:w="1246"/>
        <w:gridCol w:w="1110"/>
      </w:tblGrid>
      <w:tr>
        <w:trPr>
          <w:trHeight w:val="461" w:hRule="atLeast"/>
        </w:trPr>
        <w:tc>
          <w:tcPr>
            <w:tcW w:w="1480" w:type="dxa"/>
            <w:tcBorders>
              <w:top w:val="double" w:sz="6" w:space="0" w:color="000000"/>
            </w:tcBorders>
          </w:tcPr>
          <w:p>
            <w:pPr>
              <w:pStyle w:val="TableParagraph"/>
              <w:spacing w:line="240" w:lineRule="auto" w:before="89"/>
              <w:ind w:left="0"/>
              <w:rPr>
                <w:sz w:val="24"/>
              </w:rPr>
            </w:pPr>
            <w:r>
              <w:rPr>
                <w:spacing w:val="-10"/>
                <w:sz w:val="24"/>
              </w:rPr>
              <w:t>C</w:t>
            </w:r>
          </w:p>
        </w:tc>
        <w:tc>
          <w:tcPr>
            <w:tcW w:w="1577" w:type="dxa"/>
            <w:tcBorders>
              <w:top w:val="double" w:sz="6" w:space="0" w:color="000000"/>
            </w:tcBorders>
          </w:tcPr>
          <w:p>
            <w:pPr>
              <w:pStyle w:val="TableParagraph"/>
              <w:spacing w:line="240" w:lineRule="auto" w:before="89"/>
              <w:ind w:left="0" w:right="59"/>
              <w:jc w:val="right"/>
              <w:rPr>
                <w:sz w:val="24"/>
              </w:rPr>
            </w:pPr>
            <w:r>
              <w:rPr>
                <w:spacing w:val="-2"/>
                <w:sz w:val="24"/>
              </w:rPr>
              <w:t>-3.118369</w:t>
            </w:r>
          </w:p>
        </w:tc>
        <w:tc>
          <w:tcPr>
            <w:tcW w:w="1114" w:type="dxa"/>
            <w:tcBorders>
              <w:top w:val="double" w:sz="6" w:space="0" w:color="000000"/>
            </w:tcBorders>
          </w:tcPr>
          <w:p>
            <w:pPr>
              <w:pStyle w:val="TableParagraph"/>
              <w:spacing w:line="240" w:lineRule="auto" w:before="89"/>
              <w:ind w:left="0" w:right="85"/>
              <w:jc w:val="center"/>
              <w:rPr>
                <w:sz w:val="24"/>
              </w:rPr>
            </w:pPr>
            <w:r>
              <w:rPr>
                <w:spacing w:val="-2"/>
                <w:sz w:val="24"/>
              </w:rPr>
              <w:t>2.371615</w:t>
            </w:r>
          </w:p>
        </w:tc>
        <w:tc>
          <w:tcPr>
            <w:tcW w:w="1246" w:type="dxa"/>
            <w:tcBorders>
              <w:top w:val="double" w:sz="6" w:space="0" w:color="000000"/>
            </w:tcBorders>
          </w:tcPr>
          <w:p>
            <w:pPr>
              <w:pStyle w:val="TableParagraph"/>
              <w:spacing w:line="240" w:lineRule="auto" w:before="89"/>
              <w:ind w:left="76" w:right="34"/>
              <w:jc w:val="center"/>
              <w:rPr>
                <w:sz w:val="24"/>
              </w:rPr>
            </w:pPr>
            <w:r>
              <w:rPr>
                <w:spacing w:val="-2"/>
                <w:sz w:val="24"/>
              </w:rPr>
              <w:t>-1.314872</w:t>
            </w:r>
          </w:p>
        </w:tc>
        <w:tc>
          <w:tcPr>
            <w:tcW w:w="1110" w:type="dxa"/>
            <w:tcBorders>
              <w:top w:val="double" w:sz="6" w:space="0" w:color="000000"/>
            </w:tcBorders>
          </w:tcPr>
          <w:p>
            <w:pPr>
              <w:pStyle w:val="TableParagraph"/>
              <w:spacing w:line="240" w:lineRule="auto" w:before="89"/>
              <w:ind w:left="118"/>
              <w:rPr>
                <w:sz w:val="24"/>
              </w:rPr>
            </w:pPr>
            <w:r>
              <w:rPr>
                <w:spacing w:val="-2"/>
                <w:sz w:val="24"/>
              </w:rPr>
              <w:t>0.1940</w:t>
            </w:r>
          </w:p>
        </w:tc>
      </w:tr>
      <w:tr>
        <w:trPr>
          <w:trHeight w:val="457" w:hRule="atLeast"/>
        </w:trPr>
        <w:tc>
          <w:tcPr>
            <w:tcW w:w="1480" w:type="dxa"/>
          </w:tcPr>
          <w:p>
            <w:pPr>
              <w:pStyle w:val="TableParagraph"/>
              <w:spacing w:line="240" w:lineRule="auto" w:before="86"/>
              <w:ind w:left="0"/>
              <w:rPr>
                <w:sz w:val="24"/>
              </w:rPr>
            </w:pPr>
            <w:r>
              <w:rPr>
                <w:spacing w:val="-2"/>
                <w:sz w:val="24"/>
              </w:rPr>
              <w:t>LOG(X1)</w:t>
            </w:r>
          </w:p>
        </w:tc>
        <w:tc>
          <w:tcPr>
            <w:tcW w:w="1577" w:type="dxa"/>
          </w:tcPr>
          <w:p>
            <w:pPr>
              <w:pStyle w:val="TableParagraph"/>
              <w:spacing w:line="240" w:lineRule="auto" w:before="86"/>
              <w:ind w:left="0" w:right="138"/>
              <w:jc w:val="right"/>
              <w:rPr>
                <w:sz w:val="24"/>
              </w:rPr>
            </w:pPr>
            <w:r>
              <w:rPr>
                <w:spacing w:val="-2"/>
                <w:sz w:val="24"/>
              </w:rPr>
              <w:t>0.423724</w:t>
            </w:r>
          </w:p>
        </w:tc>
        <w:tc>
          <w:tcPr>
            <w:tcW w:w="1114" w:type="dxa"/>
          </w:tcPr>
          <w:p>
            <w:pPr>
              <w:pStyle w:val="TableParagraph"/>
              <w:spacing w:line="240" w:lineRule="auto" w:before="86"/>
              <w:ind w:left="0" w:right="85"/>
              <w:jc w:val="center"/>
              <w:rPr>
                <w:sz w:val="24"/>
              </w:rPr>
            </w:pPr>
            <w:r>
              <w:rPr>
                <w:spacing w:val="-2"/>
                <w:sz w:val="24"/>
              </w:rPr>
              <w:t>0.100708</w:t>
            </w:r>
          </w:p>
        </w:tc>
        <w:tc>
          <w:tcPr>
            <w:tcW w:w="1246" w:type="dxa"/>
          </w:tcPr>
          <w:p>
            <w:pPr>
              <w:pStyle w:val="TableParagraph"/>
              <w:spacing w:line="240" w:lineRule="auto" w:before="86"/>
              <w:ind w:left="42" w:right="76"/>
              <w:jc w:val="center"/>
              <w:rPr>
                <w:sz w:val="24"/>
              </w:rPr>
            </w:pPr>
            <w:r>
              <w:rPr>
                <w:spacing w:val="-2"/>
                <w:sz w:val="24"/>
              </w:rPr>
              <w:t>4.207465</w:t>
            </w:r>
          </w:p>
        </w:tc>
        <w:tc>
          <w:tcPr>
            <w:tcW w:w="1110" w:type="dxa"/>
          </w:tcPr>
          <w:p>
            <w:pPr>
              <w:pStyle w:val="TableParagraph"/>
              <w:spacing w:line="240" w:lineRule="auto" w:before="86"/>
              <w:ind w:left="118"/>
              <w:rPr>
                <w:sz w:val="24"/>
              </w:rPr>
            </w:pPr>
            <w:r>
              <w:rPr>
                <w:spacing w:val="-2"/>
                <w:sz w:val="24"/>
              </w:rPr>
              <w:t>0.0001</w:t>
            </w:r>
          </w:p>
        </w:tc>
      </w:tr>
      <w:tr>
        <w:trPr>
          <w:trHeight w:val="457" w:hRule="atLeast"/>
        </w:trPr>
        <w:tc>
          <w:tcPr>
            <w:tcW w:w="1480" w:type="dxa"/>
          </w:tcPr>
          <w:p>
            <w:pPr>
              <w:pStyle w:val="TableParagraph"/>
              <w:spacing w:line="240" w:lineRule="auto" w:before="85"/>
              <w:ind w:left="0"/>
              <w:rPr>
                <w:sz w:val="24"/>
              </w:rPr>
            </w:pPr>
            <w:r>
              <w:rPr>
                <w:spacing w:val="-2"/>
                <w:sz w:val="24"/>
              </w:rPr>
              <w:t>LOG(X2)</w:t>
            </w:r>
          </w:p>
        </w:tc>
        <w:tc>
          <w:tcPr>
            <w:tcW w:w="1577" w:type="dxa"/>
          </w:tcPr>
          <w:p>
            <w:pPr>
              <w:pStyle w:val="TableParagraph"/>
              <w:spacing w:line="240" w:lineRule="auto" w:before="85"/>
              <w:ind w:left="0" w:right="138"/>
              <w:jc w:val="right"/>
              <w:rPr>
                <w:sz w:val="24"/>
              </w:rPr>
            </w:pPr>
            <w:r>
              <w:rPr>
                <w:spacing w:val="-2"/>
                <w:sz w:val="24"/>
              </w:rPr>
              <w:t>0.417918</w:t>
            </w:r>
          </w:p>
        </w:tc>
        <w:tc>
          <w:tcPr>
            <w:tcW w:w="1114" w:type="dxa"/>
          </w:tcPr>
          <w:p>
            <w:pPr>
              <w:pStyle w:val="TableParagraph"/>
              <w:spacing w:line="240" w:lineRule="auto" w:before="85"/>
              <w:ind w:left="0" w:right="85"/>
              <w:jc w:val="center"/>
              <w:rPr>
                <w:sz w:val="24"/>
              </w:rPr>
            </w:pPr>
            <w:r>
              <w:rPr>
                <w:spacing w:val="-2"/>
                <w:sz w:val="24"/>
              </w:rPr>
              <w:t>0.262263</w:t>
            </w:r>
          </w:p>
        </w:tc>
        <w:tc>
          <w:tcPr>
            <w:tcW w:w="1246" w:type="dxa"/>
          </w:tcPr>
          <w:p>
            <w:pPr>
              <w:pStyle w:val="TableParagraph"/>
              <w:spacing w:line="240" w:lineRule="auto" w:before="85"/>
              <w:ind w:left="42" w:right="76"/>
              <w:jc w:val="center"/>
              <w:rPr>
                <w:sz w:val="24"/>
              </w:rPr>
            </w:pPr>
            <w:r>
              <w:rPr>
                <w:spacing w:val="-2"/>
                <w:sz w:val="24"/>
              </w:rPr>
              <w:t>1.593509</w:t>
            </w:r>
          </w:p>
        </w:tc>
        <w:tc>
          <w:tcPr>
            <w:tcW w:w="1110" w:type="dxa"/>
          </w:tcPr>
          <w:p>
            <w:pPr>
              <w:pStyle w:val="TableParagraph"/>
              <w:spacing w:line="240" w:lineRule="auto" w:before="85"/>
              <w:ind w:left="118"/>
              <w:rPr>
                <w:sz w:val="24"/>
              </w:rPr>
            </w:pPr>
            <w:r>
              <w:rPr>
                <w:spacing w:val="-2"/>
                <w:sz w:val="24"/>
              </w:rPr>
              <w:t>0.1168</w:t>
            </w:r>
          </w:p>
        </w:tc>
      </w:tr>
      <w:tr>
        <w:trPr>
          <w:trHeight w:val="458" w:hRule="atLeast"/>
        </w:trPr>
        <w:tc>
          <w:tcPr>
            <w:tcW w:w="1480" w:type="dxa"/>
          </w:tcPr>
          <w:p>
            <w:pPr>
              <w:pStyle w:val="TableParagraph"/>
              <w:spacing w:line="240" w:lineRule="auto" w:before="86"/>
              <w:ind w:left="0"/>
              <w:rPr>
                <w:sz w:val="24"/>
              </w:rPr>
            </w:pPr>
            <w:r>
              <w:rPr>
                <w:spacing w:val="-5"/>
                <w:sz w:val="24"/>
              </w:rPr>
              <w:t>X3</w:t>
            </w:r>
          </w:p>
        </w:tc>
        <w:tc>
          <w:tcPr>
            <w:tcW w:w="1577" w:type="dxa"/>
          </w:tcPr>
          <w:p>
            <w:pPr>
              <w:pStyle w:val="TableParagraph"/>
              <w:spacing w:line="240" w:lineRule="auto" w:before="86"/>
              <w:ind w:left="0" w:right="138"/>
              <w:jc w:val="right"/>
              <w:rPr>
                <w:sz w:val="24"/>
              </w:rPr>
            </w:pPr>
            <w:r>
              <w:rPr>
                <w:spacing w:val="-2"/>
                <w:sz w:val="24"/>
              </w:rPr>
              <w:t>0.005605</w:t>
            </w:r>
          </w:p>
        </w:tc>
        <w:tc>
          <w:tcPr>
            <w:tcW w:w="1114" w:type="dxa"/>
          </w:tcPr>
          <w:p>
            <w:pPr>
              <w:pStyle w:val="TableParagraph"/>
              <w:spacing w:line="240" w:lineRule="auto" w:before="86"/>
              <w:ind w:left="0" w:right="85"/>
              <w:jc w:val="center"/>
              <w:rPr>
                <w:sz w:val="24"/>
              </w:rPr>
            </w:pPr>
            <w:r>
              <w:rPr>
                <w:spacing w:val="-2"/>
                <w:sz w:val="24"/>
              </w:rPr>
              <w:t>0.009170</w:t>
            </w:r>
          </w:p>
        </w:tc>
        <w:tc>
          <w:tcPr>
            <w:tcW w:w="1246" w:type="dxa"/>
          </w:tcPr>
          <w:p>
            <w:pPr>
              <w:pStyle w:val="TableParagraph"/>
              <w:spacing w:line="240" w:lineRule="auto" w:before="86"/>
              <w:ind w:left="42" w:right="76"/>
              <w:jc w:val="center"/>
              <w:rPr>
                <w:sz w:val="24"/>
              </w:rPr>
            </w:pPr>
            <w:r>
              <w:rPr>
                <w:spacing w:val="-2"/>
                <w:sz w:val="24"/>
              </w:rPr>
              <w:t>0.611198</w:t>
            </w:r>
          </w:p>
        </w:tc>
        <w:tc>
          <w:tcPr>
            <w:tcW w:w="1110" w:type="dxa"/>
          </w:tcPr>
          <w:p>
            <w:pPr>
              <w:pStyle w:val="TableParagraph"/>
              <w:spacing w:line="240" w:lineRule="auto" w:before="86"/>
              <w:ind w:left="118"/>
              <w:rPr>
                <w:sz w:val="24"/>
              </w:rPr>
            </w:pPr>
            <w:r>
              <w:rPr>
                <w:spacing w:val="-2"/>
                <w:sz w:val="24"/>
              </w:rPr>
              <w:t>0.5436</w:t>
            </w:r>
          </w:p>
        </w:tc>
      </w:tr>
      <w:tr>
        <w:trPr>
          <w:trHeight w:val="362" w:hRule="atLeast"/>
        </w:trPr>
        <w:tc>
          <w:tcPr>
            <w:tcW w:w="1480" w:type="dxa"/>
          </w:tcPr>
          <w:p>
            <w:pPr>
              <w:pStyle w:val="TableParagraph"/>
              <w:spacing w:line="256" w:lineRule="exact" w:before="86"/>
              <w:ind w:left="0"/>
              <w:rPr>
                <w:sz w:val="24"/>
              </w:rPr>
            </w:pPr>
            <w:r>
              <w:rPr>
                <w:spacing w:val="-2"/>
                <w:sz w:val="24"/>
              </w:rPr>
              <w:t>LOG(X4)</w:t>
            </w:r>
          </w:p>
        </w:tc>
        <w:tc>
          <w:tcPr>
            <w:tcW w:w="1577" w:type="dxa"/>
          </w:tcPr>
          <w:p>
            <w:pPr>
              <w:pStyle w:val="TableParagraph"/>
              <w:spacing w:line="256" w:lineRule="exact" w:before="86"/>
              <w:ind w:left="0" w:right="138"/>
              <w:jc w:val="right"/>
              <w:rPr>
                <w:sz w:val="24"/>
              </w:rPr>
            </w:pPr>
            <w:r>
              <w:rPr>
                <w:spacing w:val="-2"/>
                <w:sz w:val="24"/>
              </w:rPr>
              <w:t>0.469894</w:t>
            </w:r>
          </w:p>
        </w:tc>
        <w:tc>
          <w:tcPr>
            <w:tcW w:w="1114" w:type="dxa"/>
          </w:tcPr>
          <w:p>
            <w:pPr>
              <w:pStyle w:val="TableParagraph"/>
              <w:spacing w:line="256" w:lineRule="exact" w:before="86"/>
              <w:ind w:left="0" w:right="85"/>
              <w:jc w:val="center"/>
              <w:rPr>
                <w:sz w:val="24"/>
              </w:rPr>
            </w:pPr>
            <w:r>
              <w:rPr>
                <w:spacing w:val="-2"/>
                <w:sz w:val="24"/>
              </w:rPr>
              <w:t>0.163297</w:t>
            </w:r>
          </w:p>
        </w:tc>
        <w:tc>
          <w:tcPr>
            <w:tcW w:w="1246" w:type="dxa"/>
          </w:tcPr>
          <w:p>
            <w:pPr>
              <w:pStyle w:val="TableParagraph"/>
              <w:spacing w:line="256" w:lineRule="exact" w:before="86"/>
              <w:ind w:left="42" w:right="76"/>
              <w:jc w:val="center"/>
              <w:rPr>
                <w:sz w:val="24"/>
              </w:rPr>
            </w:pPr>
            <w:r>
              <w:rPr>
                <w:spacing w:val="-2"/>
                <w:sz w:val="24"/>
              </w:rPr>
              <w:t>2.877535</w:t>
            </w:r>
          </w:p>
        </w:tc>
        <w:tc>
          <w:tcPr>
            <w:tcW w:w="1110" w:type="dxa"/>
          </w:tcPr>
          <w:p>
            <w:pPr>
              <w:pStyle w:val="TableParagraph"/>
              <w:spacing w:line="256" w:lineRule="exact" w:before="86"/>
              <w:ind w:left="118"/>
              <w:rPr>
                <w:sz w:val="24"/>
              </w:rPr>
            </w:pPr>
            <w:r>
              <w:rPr>
                <w:spacing w:val="-2"/>
                <w:sz w:val="24"/>
              </w:rPr>
              <w:t>0.0057</w:t>
            </w:r>
          </w:p>
        </w:tc>
      </w:tr>
    </w:tbl>
    <w:p>
      <w:pPr>
        <w:pStyle w:val="BodyText"/>
        <w:spacing w:before="9"/>
        <w:rPr>
          <w:sz w:val="19"/>
        </w:rPr>
      </w:pPr>
      <w:r>
        <w:rPr>
          <w:sz w:val="19"/>
        </w:rPr>
        <mc:AlternateContent>
          <mc:Choice Requires="wps">
            <w:drawing>
              <wp:anchor distT="0" distB="0" distL="0" distR="0" allowOverlap="1" layoutInCell="1" locked="0" behindDoc="1" simplePos="0" relativeHeight="487621632">
                <wp:simplePos x="0" y="0"/>
                <wp:positionH relativeFrom="page">
                  <wp:posOffset>2115566</wp:posOffset>
                </wp:positionH>
                <wp:positionV relativeFrom="paragraph">
                  <wp:posOffset>159892</wp:posOffset>
                </wp:positionV>
                <wp:extent cx="4147820" cy="27940"/>
                <wp:effectExtent l="0" t="0" r="0" b="0"/>
                <wp:wrapTopAndBottom/>
                <wp:docPr id="344" name="Graphic 344"/>
                <wp:cNvGraphicFramePr>
                  <a:graphicFrameLocks/>
                </wp:cNvGraphicFramePr>
                <a:graphic>
                  <a:graphicData uri="http://schemas.microsoft.com/office/word/2010/wordprocessingShape">
                    <wps:wsp>
                      <wps:cNvPr id="344" name="Graphic 344"/>
                      <wps:cNvSpPr/>
                      <wps:spPr>
                        <a:xfrm>
                          <a:off x="0" y="0"/>
                          <a:ext cx="4147820" cy="27940"/>
                        </a:xfrm>
                        <a:custGeom>
                          <a:avLst/>
                          <a:gdLst/>
                          <a:ahLst/>
                          <a:cxnLst/>
                          <a:rect l="l" t="t" r="r" b="b"/>
                          <a:pathLst>
                            <a:path w="4147820" h="27940">
                              <a:moveTo>
                                <a:pt x="1280414" y="18288"/>
                              </a:moveTo>
                              <a:lnTo>
                                <a:pt x="0" y="18288"/>
                              </a:lnTo>
                              <a:lnTo>
                                <a:pt x="0" y="27432"/>
                              </a:lnTo>
                              <a:lnTo>
                                <a:pt x="1280414" y="27432"/>
                              </a:lnTo>
                              <a:lnTo>
                                <a:pt x="1280414" y="18288"/>
                              </a:lnTo>
                              <a:close/>
                            </a:path>
                            <a:path w="4147820" h="27940">
                              <a:moveTo>
                                <a:pt x="1280414" y="0"/>
                              </a:moveTo>
                              <a:lnTo>
                                <a:pt x="0" y="0"/>
                              </a:lnTo>
                              <a:lnTo>
                                <a:pt x="0" y="9144"/>
                              </a:lnTo>
                              <a:lnTo>
                                <a:pt x="1280414" y="9144"/>
                              </a:lnTo>
                              <a:lnTo>
                                <a:pt x="1280414" y="0"/>
                              </a:lnTo>
                              <a:close/>
                            </a:path>
                            <a:path w="4147820" h="27940">
                              <a:moveTo>
                                <a:pt x="3515271" y="18288"/>
                              </a:moveTo>
                              <a:lnTo>
                                <a:pt x="3515271" y="18288"/>
                              </a:lnTo>
                              <a:lnTo>
                                <a:pt x="1280541" y="18288"/>
                              </a:lnTo>
                              <a:lnTo>
                                <a:pt x="1280541" y="27432"/>
                              </a:lnTo>
                              <a:lnTo>
                                <a:pt x="3515271" y="27432"/>
                              </a:lnTo>
                              <a:lnTo>
                                <a:pt x="3515271" y="18288"/>
                              </a:lnTo>
                              <a:close/>
                            </a:path>
                            <a:path w="4147820" h="27940">
                              <a:moveTo>
                                <a:pt x="3515271" y="0"/>
                              </a:moveTo>
                              <a:lnTo>
                                <a:pt x="3515271" y="0"/>
                              </a:lnTo>
                              <a:lnTo>
                                <a:pt x="1280541" y="0"/>
                              </a:lnTo>
                              <a:lnTo>
                                <a:pt x="1280541" y="9144"/>
                              </a:lnTo>
                              <a:lnTo>
                                <a:pt x="3515271" y="9144"/>
                              </a:lnTo>
                              <a:lnTo>
                                <a:pt x="3515271" y="0"/>
                              </a:lnTo>
                              <a:close/>
                            </a:path>
                            <a:path w="4147820" h="27940">
                              <a:moveTo>
                                <a:pt x="4147807" y="18288"/>
                              </a:moveTo>
                              <a:lnTo>
                                <a:pt x="3567176" y="18288"/>
                              </a:lnTo>
                              <a:lnTo>
                                <a:pt x="3515360" y="18288"/>
                              </a:lnTo>
                              <a:lnTo>
                                <a:pt x="3515360" y="27432"/>
                              </a:lnTo>
                              <a:lnTo>
                                <a:pt x="3567176" y="27432"/>
                              </a:lnTo>
                              <a:lnTo>
                                <a:pt x="4147807" y="27432"/>
                              </a:lnTo>
                              <a:lnTo>
                                <a:pt x="4147807" y="18288"/>
                              </a:lnTo>
                              <a:close/>
                            </a:path>
                            <a:path w="4147820" h="27940">
                              <a:moveTo>
                                <a:pt x="4147807" y="0"/>
                              </a:moveTo>
                              <a:lnTo>
                                <a:pt x="3567176" y="0"/>
                              </a:lnTo>
                              <a:lnTo>
                                <a:pt x="3515360" y="0"/>
                              </a:lnTo>
                              <a:lnTo>
                                <a:pt x="3515360" y="9144"/>
                              </a:lnTo>
                              <a:lnTo>
                                <a:pt x="3567176" y="9144"/>
                              </a:lnTo>
                              <a:lnTo>
                                <a:pt x="4147807" y="9144"/>
                              </a:lnTo>
                              <a:lnTo>
                                <a:pt x="41478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66.580002pt;margin-top:12.589973pt;width:326.6pt;height:2.2pt;mso-position-horizontal-relative:page;mso-position-vertical-relative:paragraph;z-index:-15694848;mso-wrap-distance-left:0;mso-wrap-distance-right:0" id="docshape316" coordorigin="3332,252" coordsize="6532,44" path="m5348,281l3332,281,3332,295,5348,295,5348,281xm5348,252l3332,252,3332,266,5348,266,5348,252xm8867,281l7739,281,7657,281,6534,281,6453,281,6453,281,5430,281,5348,281,5348,295,5430,295,6453,295,6453,295,6534,295,7657,295,7739,295,8867,295,8867,281xm8867,252l7739,252,7657,252,6534,252,6453,252,6453,252,5430,252,5348,252,5348,266,5430,266,6453,266,6453,266,6534,266,7657,266,7739,266,8867,266,8867,252xm9864,281l8949,281,8868,281,8868,295,8949,295,9864,295,9864,281xm9864,252l8949,252,8868,252,8868,266,8949,266,9864,266,9864,252xe" filled="true" fillcolor="#000000" stroked="false">
                <v:path arrowok="t"/>
                <v:fill type="solid"/>
                <w10:wrap type="topAndBottom"/>
              </v:shape>
            </w:pict>
          </mc:Fallback>
        </mc:AlternateContent>
      </w:r>
    </w:p>
    <w:p>
      <w:pPr>
        <w:pStyle w:val="BodyText"/>
        <w:spacing w:before="227"/>
        <w:ind w:left="1866"/>
        <w:jc w:val="both"/>
      </w:pPr>
      <w:r>
        <w:rPr/>
        <w:t>Sumber:</w:t>
      </w:r>
      <w:r>
        <w:rPr>
          <w:spacing w:val="-2"/>
        </w:rPr>
        <w:t> </w:t>
      </w:r>
      <w:r>
        <w:rPr/>
        <w:t>Output</w:t>
      </w:r>
      <w:r>
        <w:rPr>
          <w:spacing w:val="-1"/>
        </w:rPr>
        <w:t> </w:t>
      </w:r>
      <w:r>
        <w:rPr>
          <w:i/>
        </w:rPr>
        <w:t>eviews</w:t>
      </w:r>
      <w:r>
        <w:rPr/>
        <w:t>,</w:t>
      </w:r>
      <w:r>
        <w:rPr>
          <w:spacing w:val="-1"/>
        </w:rPr>
        <w:t> </w:t>
      </w:r>
      <w:r>
        <w:rPr/>
        <w:t>data</w:t>
      </w:r>
      <w:r>
        <w:rPr>
          <w:spacing w:val="-2"/>
        </w:rPr>
        <w:t> </w:t>
      </w:r>
      <w:r>
        <w:rPr/>
        <w:t>diolah</w:t>
      </w:r>
      <w:r>
        <w:rPr>
          <w:spacing w:val="-1"/>
        </w:rPr>
        <w:t> </w:t>
      </w:r>
      <w:r>
        <w:rPr>
          <w:spacing w:val="-2"/>
        </w:rPr>
        <w:t>(2025)</w:t>
      </w:r>
    </w:p>
    <w:p>
      <w:pPr>
        <w:pStyle w:val="BodyText"/>
        <w:spacing w:line="360" w:lineRule="auto" w:before="137"/>
        <w:ind w:left="1866" w:right="162" w:firstLine="316"/>
        <w:jc w:val="both"/>
      </w:pPr>
      <w:r>
        <w:rPr/>
        <w:t>Berdasarkan</w:t>
      </w:r>
      <w:r>
        <w:rPr>
          <w:spacing w:val="-4"/>
        </w:rPr>
        <w:t> </w:t>
      </w:r>
      <w:r>
        <w:rPr/>
        <w:t>hasil</w:t>
      </w:r>
      <w:r>
        <w:rPr>
          <w:spacing w:val="-2"/>
        </w:rPr>
        <w:t> </w:t>
      </w:r>
      <w:r>
        <w:rPr/>
        <w:t>olah</w:t>
      </w:r>
      <w:r>
        <w:rPr>
          <w:spacing w:val="-4"/>
        </w:rPr>
        <w:t> </w:t>
      </w:r>
      <w:r>
        <w:rPr/>
        <w:t>data</w:t>
      </w:r>
      <w:r>
        <w:rPr>
          <w:spacing w:val="-4"/>
        </w:rPr>
        <w:t> </w:t>
      </w:r>
      <w:r>
        <w:rPr/>
        <w:t>eviews</w:t>
      </w:r>
      <w:r>
        <w:rPr>
          <w:spacing w:val="-4"/>
        </w:rPr>
        <w:t> </w:t>
      </w:r>
      <w:r>
        <w:rPr/>
        <w:t>pada</w:t>
      </w:r>
      <w:r>
        <w:rPr>
          <w:spacing w:val="-5"/>
        </w:rPr>
        <w:t> </w:t>
      </w:r>
      <w:r>
        <w:rPr/>
        <w:t>tabel</w:t>
      </w:r>
      <w:r>
        <w:rPr>
          <w:spacing w:val="-4"/>
        </w:rPr>
        <w:t> </w:t>
      </w:r>
      <w:r>
        <w:rPr/>
        <w:t>4.6</w:t>
      </w:r>
      <w:r>
        <w:rPr>
          <w:spacing w:val="-2"/>
        </w:rPr>
        <w:t> </w:t>
      </w:r>
      <w:r>
        <w:rPr/>
        <w:t>dari</w:t>
      </w:r>
      <w:r>
        <w:rPr>
          <w:spacing w:val="-4"/>
        </w:rPr>
        <w:t> </w:t>
      </w:r>
      <w:r>
        <w:rPr/>
        <w:t>hasil</w:t>
      </w:r>
      <w:r>
        <w:rPr>
          <w:spacing w:val="-3"/>
        </w:rPr>
        <w:t> </w:t>
      </w:r>
      <w:r>
        <w:rPr/>
        <w:t>Uji</w:t>
      </w:r>
      <w:r>
        <w:rPr>
          <w:spacing w:val="-4"/>
        </w:rPr>
        <w:t> </w:t>
      </w:r>
      <w:r>
        <w:rPr/>
        <w:t>T</w:t>
      </w:r>
      <w:r>
        <w:rPr>
          <w:spacing w:val="-4"/>
        </w:rPr>
        <w:t> </w:t>
      </w:r>
      <w:r>
        <w:rPr/>
        <w:t>dapat disimpulkan sebagai berikut:</w:t>
      </w:r>
    </w:p>
    <w:p>
      <w:pPr>
        <w:pStyle w:val="ListParagraph"/>
        <w:numPr>
          <w:ilvl w:val="4"/>
          <w:numId w:val="24"/>
        </w:numPr>
        <w:tabs>
          <w:tab w:pos="2585" w:val="left" w:leader="none"/>
          <w:tab w:pos="2587" w:val="left" w:leader="none"/>
        </w:tabs>
        <w:spacing w:line="360" w:lineRule="auto" w:before="0" w:after="0"/>
        <w:ind w:left="2587" w:right="159" w:hanging="361"/>
        <w:jc w:val="both"/>
        <w:rPr>
          <w:sz w:val="24"/>
        </w:rPr>
      </w:pPr>
      <w:r>
        <w:rPr>
          <w:sz w:val="24"/>
        </w:rPr>
        <w:t>Hasil pengujian analisis regresi menunjukan hasil t-statistic untuk variabel independen Indeks Keyakinan Konsumen (X1) sebesar 4,207465 dengan nilai koefisien regresi sebesar 0,423724 dan nilai probabilitas sebesar 0.0001 &lt; 0,05 maka dapat disimpulkan bahwa Indeks</w:t>
      </w:r>
      <w:r>
        <w:rPr>
          <w:spacing w:val="-1"/>
          <w:sz w:val="24"/>
        </w:rPr>
        <w:t> </w:t>
      </w:r>
      <w:r>
        <w:rPr>
          <w:sz w:val="24"/>
        </w:rPr>
        <w:t>Keyakinan</w:t>
      </w:r>
      <w:r>
        <w:rPr>
          <w:spacing w:val="-1"/>
          <w:sz w:val="24"/>
        </w:rPr>
        <w:t> </w:t>
      </w:r>
      <w:r>
        <w:rPr>
          <w:sz w:val="24"/>
        </w:rPr>
        <w:t>Konsumen berpengaruh</w:t>
      </w:r>
      <w:r>
        <w:rPr>
          <w:spacing w:val="-2"/>
          <w:sz w:val="24"/>
        </w:rPr>
        <w:t> </w:t>
      </w:r>
      <w:r>
        <w:rPr>
          <w:sz w:val="24"/>
        </w:rPr>
        <w:t>positif</w:t>
      </w:r>
      <w:r>
        <w:rPr>
          <w:spacing w:val="-2"/>
          <w:sz w:val="24"/>
        </w:rPr>
        <w:t> </w:t>
      </w:r>
      <w:r>
        <w:rPr>
          <w:sz w:val="24"/>
        </w:rPr>
        <w:t>dan</w:t>
      </w:r>
      <w:r>
        <w:rPr>
          <w:spacing w:val="-1"/>
          <w:sz w:val="24"/>
        </w:rPr>
        <w:t> </w:t>
      </w:r>
      <w:r>
        <w:rPr>
          <w:sz w:val="24"/>
        </w:rPr>
        <w:t>berpengaruh signifikan terhadap Indeks Saham Syariah Indonesia. Oleh karena itu hipotesis pertama (H1) diterima.</w:t>
      </w:r>
    </w:p>
    <w:p>
      <w:pPr>
        <w:pStyle w:val="ListParagraph"/>
        <w:numPr>
          <w:ilvl w:val="4"/>
          <w:numId w:val="24"/>
        </w:numPr>
        <w:tabs>
          <w:tab w:pos="2585" w:val="left" w:leader="none"/>
          <w:tab w:pos="2587" w:val="left" w:leader="none"/>
        </w:tabs>
        <w:spacing w:line="360" w:lineRule="auto" w:before="2" w:after="0"/>
        <w:ind w:left="2587" w:right="161" w:hanging="361"/>
        <w:jc w:val="both"/>
        <w:rPr>
          <w:sz w:val="24"/>
        </w:rPr>
      </w:pPr>
      <w:r>
        <w:rPr>
          <w:sz w:val="24"/>
        </w:rPr>
        <w:t>Hasil pengujian analisis regresi menunjukan hasil t-statistic untuk variabel</w:t>
      </w:r>
      <w:r>
        <w:rPr>
          <w:spacing w:val="-4"/>
          <w:sz w:val="24"/>
        </w:rPr>
        <w:t> </w:t>
      </w:r>
      <w:r>
        <w:rPr>
          <w:sz w:val="24"/>
        </w:rPr>
        <w:t>independen</w:t>
      </w:r>
      <w:r>
        <w:rPr>
          <w:spacing w:val="-2"/>
          <w:sz w:val="24"/>
        </w:rPr>
        <w:t> </w:t>
      </w:r>
      <w:r>
        <w:rPr>
          <w:sz w:val="24"/>
        </w:rPr>
        <w:t>nilai</w:t>
      </w:r>
      <w:r>
        <w:rPr>
          <w:spacing w:val="-4"/>
          <w:sz w:val="24"/>
        </w:rPr>
        <w:t> </w:t>
      </w:r>
      <w:r>
        <w:rPr>
          <w:sz w:val="24"/>
        </w:rPr>
        <w:t>tukar</w:t>
      </w:r>
      <w:r>
        <w:rPr>
          <w:spacing w:val="-4"/>
          <w:sz w:val="24"/>
        </w:rPr>
        <w:t> </w:t>
      </w:r>
      <w:r>
        <w:rPr>
          <w:sz w:val="24"/>
        </w:rPr>
        <w:t>(X2)</w:t>
      </w:r>
      <w:r>
        <w:rPr>
          <w:spacing w:val="-6"/>
          <w:sz w:val="24"/>
        </w:rPr>
        <w:t> </w:t>
      </w:r>
      <w:r>
        <w:rPr>
          <w:sz w:val="24"/>
        </w:rPr>
        <w:t>sebesar</w:t>
      </w:r>
      <w:r>
        <w:rPr>
          <w:spacing w:val="-3"/>
          <w:sz w:val="24"/>
        </w:rPr>
        <w:t> </w:t>
      </w:r>
      <w:r>
        <w:rPr>
          <w:sz w:val="24"/>
        </w:rPr>
        <w:t>1,593509</w:t>
      </w:r>
      <w:r>
        <w:rPr>
          <w:spacing w:val="-4"/>
          <w:sz w:val="24"/>
        </w:rPr>
        <w:t> </w:t>
      </w:r>
      <w:r>
        <w:rPr>
          <w:sz w:val="24"/>
        </w:rPr>
        <w:t>dengan</w:t>
      </w:r>
      <w:r>
        <w:rPr>
          <w:spacing w:val="-4"/>
          <w:sz w:val="24"/>
        </w:rPr>
        <w:t> </w:t>
      </w:r>
      <w:r>
        <w:rPr>
          <w:sz w:val="24"/>
        </w:rPr>
        <w:t>nilai koefisien regresi sebesar 0,417918 dan nilai probabilitas sebesar 0,1168 &gt; 0,05 maka dapat disimpulkan bahwa nilai </w:t>
      </w:r>
      <w:r>
        <w:rPr>
          <w:sz w:val="24"/>
        </w:rPr>
        <w:t>tukar berpengaruh positif dan tidak signifikan terhadap Indeks Saham. Syariah Indonesia. Oleh karena itu hipotesis pertama (H2) ditolak.</w:t>
      </w:r>
    </w:p>
    <w:p>
      <w:pPr>
        <w:pStyle w:val="ListParagraph"/>
        <w:numPr>
          <w:ilvl w:val="4"/>
          <w:numId w:val="24"/>
        </w:numPr>
        <w:tabs>
          <w:tab w:pos="2585" w:val="left" w:leader="none"/>
          <w:tab w:pos="2587" w:val="left" w:leader="none"/>
        </w:tabs>
        <w:spacing w:line="360" w:lineRule="auto" w:before="0" w:after="0"/>
        <w:ind w:left="2587" w:right="162" w:hanging="361"/>
        <w:jc w:val="both"/>
        <w:rPr>
          <w:sz w:val="24"/>
        </w:rPr>
      </w:pPr>
      <w:r>
        <w:rPr>
          <w:sz w:val="24"/>
        </w:rPr>
        <w:t>Hasil pengujian analisis regresi menunjukan hasil t-statistic untuk variabel independen inflasi (X3) sebesar 0,611198 dengan nilai koefisien regresi sebesar 0,005605 dan nilai probabilitas sebesar 0,5436 &gt; 0,05 maka dapat disimpulkan bahwa inflasi berpengaruh positif dan tidak signifikan terhadap Indeks Saham Syariah Indonesia. Oleh karena itu hipotesis pertama (H3) ditolak.</w:t>
      </w:r>
    </w:p>
    <w:p>
      <w:pPr>
        <w:pStyle w:val="ListParagraph"/>
        <w:spacing w:after="0" w:line="360" w:lineRule="auto"/>
        <w:jc w:val="both"/>
        <w:rPr>
          <w:sz w:val="24"/>
        </w:rPr>
        <w:sectPr>
          <w:pgSz w:w="11910" w:h="16840"/>
          <w:pgMar w:header="0" w:footer="1000" w:top="1360" w:bottom="1200" w:left="1417" w:right="1275"/>
        </w:sectPr>
      </w:pPr>
    </w:p>
    <w:p>
      <w:pPr>
        <w:pStyle w:val="ListParagraph"/>
        <w:numPr>
          <w:ilvl w:val="4"/>
          <w:numId w:val="24"/>
        </w:numPr>
        <w:tabs>
          <w:tab w:pos="2585" w:val="left" w:leader="none"/>
          <w:tab w:pos="2587" w:val="left" w:leader="none"/>
        </w:tabs>
        <w:spacing w:line="360" w:lineRule="auto" w:before="60" w:after="0"/>
        <w:ind w:left="2587" w:right="162" w:hanging="361"/>
        <w:jc w:val="both"/>
        <w:rPr>
          <w:sz w:val="24"/>
        </w:rPr>
      </w:pPr>
      <w:r>
        <w:rPr>
          <w:sz w:val="24"/>
        </w:rPr>
        <w:t>Hasil pengujian analisis regresi menunjukan hasil t-statistic untuk variabel independen Indeks Produksi Industri (X4) sebesar 2,877535 dengan nilai koefisien regresi sebesar 0,469894 dan nilai probabilitas sebesar 0,0057 &lt; 0.05 maka dapat disimpulkan bahwa Indeks Produksi Industri berpengaruh positif dan berpengaruh signifikan terhadap Indeks Saham Syariah Indonesia. Oleh karena itu hipotesis pertama (H4) diterima.</w:t>
      </w:r>
    </w:p>
    <w:p>
      <w:pPr>
        <w:pStyle w:val="Heading2"/>
        <w:numPr>
          <w:ilvl w:val="2"/>
          <w:numId w:val="24"/>
        </w:numPr>
        <w:tabs>
          <w:tab w:pos="1463" w:val="left" w:leader="none"/>
        </w:tabs>
        <w:spacing w:line="240" w:lineRule="auto" w:before="161" w:after="0"/>
        <w:ind w:left="1463" w:right="0" w:hanging="732"/>
        <w:jc w:val="both"/>
      </w:pPr>
      <w:bookmarkStart w:name="_bookmark160" w:id="161"/>
      <w:bookmarkEnd w:id="161"/>
      <w:r>
        <w:rPr>
          <w:b w:val="0"/>
        </w:rPr>
      </w:r>
      <w:r>
        <w:rPr/>
        <w:t>Uji</w:t>
      </w:r>
      <w:r>
        <w:rPr>
          <w:spacing w:val="-3"/>
        </w:rPr>
        <w:t> </w:t>
      </w:r>
      <w:r>
        <w:rPr/>
        <w:t>Analisis</w:t>
      </w:r>
      <w:r>
        <w:rPr>
          <w:spacing w:val="-2"/>
        </w:rPr>
        <w:t> </w:t>
      </w:r>
      <w:r>
        <w:rPr/>
        <w:t>Regresi</w:t>
      </w:r>
      <w:r>
        <w:rPr>
          <w:spacing w:val="-2"/>
        </w:rPr>
        <w:t> </w:t>
      </w:r>
      <w:r>
        <w:rPr/>
        <w:t>Linear</w:t>
      </w:r>
      <w:r>
        <w:rPr>
          <w:spacing w:val="-3"/>
        </w:rPr>
        <w:t> </w:t>
      </w:r>
      <w:r>
        <w:rPr>
          <w:spacing w:val="-2"/>
        </w:rPr>
        <w:t>Berganda</w:t>
      </w:r>
    </w:p>
    <w:p>
      <w:pPr>
        <w:pStyle w:val="BodyText"/>
        <w:spacing w:before="21"/>
        <w:rPr>
          <w:b/>
        </w:rPr>
      </w:pPr>
    </w:p>
    <w:p>
      <w:pPr>
        <w:pStyle w:val="BodyText"/>
        <w:spacing w:line="360" w:lineRule="auto"/>
        <w:ind w:left="1463" w:right="163" w:firstLine="720"/>
        <w:jc w:val="both"/>
      </w:pPr>
      <w:r>
        <w:rPr/>
        <w:t>Hubungan antara variabel independen dan dependen dijelaskan oleh model regresi linier berganda. Regresi linier berganda juga digunakan untuk menentukan arah hubungan positif dan negatif dari setiap variabel. Selain itu, model</w:t>
      </w:r>
      <w:r>
        <w:rPr>
          <w:spacing w:val="-4"/>
        </w:rPr>
        <w:t> </w:t>
      </w:r>
      <w:r>
        <w:rPr/>
        <w:t>ini</w:t>
      </w:r>
      <w:r>
        <w:rPr>
          <w:spacing w:val="-4"/>
        </w:rPr>
        <w:t> </w:t>
      </w:r>
      <w:r>
        <w:rPr/>
        <w:t>juga</w:t>
      </w:r>
      <w:r>
        <w:rPr>
          <w:spacing w:val="-4"/>
        </w:rPr>
        <w:t> </w:t>
      </w:r>
      <w:r>
        <w:rPr/>
        <w:t>dapat</w:t>
      </w:r>
      <w:r>
        <w:rPr>
          <w:spacing w:val="-4"/>
        </w:rPr>
        <w:t> </w:t>
      </w:r>
      <w:r>
        <w:rPr/>
        <w:t>meramalkan</w:t>
      </w:r>
      <w:r>
        <w:rPr>
          <w:spacing w:val="-4"/>
        </w:rPr>
        <w:t> </w:t>
      </w:r>
      <w:r>
        <w:rPr/>
        <w:t>nilai</w:t>
      </w:r>
      <w:r>
        <w:rPr>
          <w:spacing w:val="-4"/>
        </w:rPr>
        <w:t> </w:t>
      </w:r>
      <w:r>
        <w:rPr/>
        <w:t>variabel</w:t>
      </w:r>
      <w:r>
        <w:rPr>
          <w:spacing w:val="-4"/>
        </w:rPr>
        <w:t> </w:t>
      </w:r>
      <w:r>
        <w:rPr/>
        <w:t>dependen</w:t>
      </w:r>
      <w:r>
        <w:rPr>
          <w:spacing w:val="-4"/>
        </w:rPr>
        <w:t> </w:t>
      </w:r>
      <w:r>
        <w:rPr/>
        <w:t>apabila</w:t>
      </w:r>
      <w:r>
        <w:rPr>
          <w:spacing w:val="-5"/>
        </w:rPr>
        <w:t> </w:t>
      </w:r>
      <w:r>
        <w:rPr/>
        <w:t>nilai</w:t>
      </w:r>
      <w:r>
        <w:rPr>
          <w:spacing w:val="-4"/>
        </w:rPr>
        <w:t> </w:t>
      </w:r>
      <w:r>
        <w:rPr/>
        <w:t>variabel independen mengalami kenaikan atau penurunan. Uji regresi linear berganda pada penelitian ini menghasilkan analisis sebagai berikut:</w:t>
      </w:r>
    </w:p>
    <w:p>
      <w:pPr>
        <w:pStyle w:val="Heading2"/>
        <w:spacing w:before="1"/>
        <w:ind w:left="4783"/>
      </w:pPr>
      <w:r>
        <w:rPr/>
        <w:t>Tabel</w:t>
      </w:r>
      <w:r>
        <w:rPr>
          <w:spacing w:val="-2"/>
        </w:rPr>
        <w:t> </w:t>
      </w:r>
      <w:r>
        <w:rPr>
          <w:spacing w:val="-5"/>
        </w:rPr>
        <w:t>4.7</w:t>
      </w:r>
    </w:p>
    <w:p>
      <w:pPr>
        <w:spacing w:before="139"/>
        <w:ind w:left="3230" w:right="0" w:firstLine="0"/>
        <w:jc w:val="left"/>
        <w:rPr>
          <w:b/>
          <w:sz w:val="24"/>
        </w:rPr>
      </w:pPr>
      <w:r>
        <w:rPr>
          <w:b/>
          <w:sz w:val="24"/>
        </w:rPr>
        <w:t>Hasil</w:t>
      </w:r>
      <w:r>
        <w:rPr>
          <w:b/>
          <w:spacing w:val="-4"/>
          <w:sz w:val="24"/>
        </w:rPr>
        <w:t> </w:t>
      </w:r>
      <w:r>
        <w:rPr>
          <w:b/>
          <w:sz w:val="24"/>
        </w:rPr>
        <w:t>Analisis</w:t>
      </w:r>
      <w:r>
        <w:rPr>
          <w:b/>
          <w:spacing w:val="-3"/>
          <w:sz w:val="24"/>
        </w:rPr>
        <w:t> </w:t>
      </w:r>
      <w:r>
        <w:rPr>
          <w:b/>
          <w:sz w:val="24"/>
        </w:rPr>
        <w:t>Regresi</w:t>
      </w:r>
      <w:r>
        <w:rPr>
          <w:b/>
          <w:spacing w:val="-2"/>
          <w:sz w:val="24"/>
        </w:rPr>
        <w:t> </w:t>
      </w:r>
      <w:r>
        <w:rPr>
          <w:b/>
          <w:sz w:val="24"/>
        </w:rPr>
        <w:t>Linear</w:t>
      </w:r>
      <w:r>
        <w:rPr>
          <w:b/>
          <w:spacing w:val="-2"/>
          <w:sz w:val="24"/>
        </w:rPr>
        <w:t> Berganda</w:t>
      </w:r>
    </w:p>
    <w:p>
      <w:pPr>
        <w:pStyle w:val="BodyText"/>
        <w:spacing w:before="133"/>
        <w:rPr>
          <w:b/>
          <w:sz w:val="20"/>
        </w:rPr>
      </w:pPr>
      <w:r>
        <w:rPr>
          <w:b/>
          <w:sz w:val="20"/>
        </w:rPr>
        <mc:AlternateContent>
          <mc:Choice Requires="wps">
            <w:drawing>
              <wp:anchor distT="0" distB="0" distL="0" distR="0" allowOverlap="1" layoutInCell="1" locked="0" behindDoc="1" simplePos="0" relativeHeight="487622144">
                <wp:simplePos x="0" y="0"/>
                <wp:positionH relativeFrom="page">
                  <wp:posOffset>2115566</wp:posOffset>
                </wp:positionH>
                <wp:positionV relativeFrom="paragraph">
                  <wp:posOffset>246361</wp:posOffset>
                </wp:positionV>
                <wp:extent cx="4147820" cy="27940"/>
                <wp:effectExtent l="0" t="0" r="0" b="0"/>
                <wp:wrapTopAndBottom/>
                <wp:docPr id="345" name="Graphic 345"/>
                <wp:cNvGraphicFramePr>
                  <a:graphicFrameLocks/>
                </wp:cNvGraphicFramePr>
                <a:graphic>
                  <a:graphicData uri="http://schemas.microsoft.com/office/word/2010/wordprocessingShape">
                    <wps:wsp>
                      <wps:cNvPr id="345" name="Graphic 345"/>
                      <wps:cNvSpPr/>
                      <wps:spPr>
                        <a:xfrm>
                          <a:off x="0" y="0"/>
                          <a:ext cx="4147820" cy="27940"/>
                        </a:xfrm>
                        <a:custGeom>
                          <a:avLst/>
                          <a:gdLst/>
                          <a:ahLst/>
                          <a:cxnLst/>
                          <a:rect l="l" t="t" r="r" b="b"/>
                          <a:pathLst>
                            <a:path w="4147820" h="27940">
                              <a:moveTo>
                                <a:pt x="1280414" y="18275"/>
                              </a:moveTo>
                              <a:lnTo>
                                <a:pt x="0" y="18275"/>
                              </a:lnTo>
                              <a:lnTo>
                                <a:pt x="0" y="27419"/>
                              </a:lnTo>
                              <a:lnTo>
                                <a:pt x="1280414" y="27419"/>
                              </a:lnTo>
                              <a:lnTo>
                                <a:pt x="1280414" y="18275"/>
                              </a:lnTo>
                              <a:close/>
                            </a:path>
                            <a:path w="4147820" h="27940">
                              <a:moveTo>
                                <a:pt x="1280414" y="0"/>
                              </a:moveTo>
                              <a:lnTo>
                                <a:pt x="0" y="0"/>
                              </a:lnTo>
                              <a:lnTo>
                                <a:pt x="0" y="9131"/>
                              </a:lnTo>
                              <a:lnTo>
                                <a:pt x="1280414" y="9131"/>
                              </a:lnTo>
                              <a:lnTo>
                                <a:pt x="1280414" y="0"/>
                              </a:lnTo>
                              <a:close/>
                            </a:path>
                            <a:path w="4147820" h="27940">
                              <a:moveTo>
                                <a:pt x="3515271" y="18275"/>
                              </a:moveTo>
                              <a:lnTo>
                                <a:pt x="3515271" y="18275"/>
                              </a:lnTo>
                              <a:lnTo>
                                <a:pt x="1280541" y="18275"/>
                              </a:lnTo>
                              <a:lnTo>
                                <a:pt x="1280541" y="27419"/>
                              </a:lnTo>
                              <a:lnTo>
                                <a:pt x="3515271" y="27419"/>
                              </a:lnTo>
                              <a:lnTo>
                                <a:pt x="3515271" y="18275"/>
                              </a:lnTo>
                              <a:close/>
                            </a:path>
                            <a:path w="4147820" h="27940">
                              <a:moveTo>
                                <a:pt x="3515271" y="0"/>
                              </a:moveTo>
                              <a:lnTo>
                                <a:pt x="3515271" y="0"/>
                              </a:lnTo>
                              <a:lnTo>
                                <a:pt x="1280541" y="0"/>
                              </a:lnTo>
                              <a:lnTo>
                                <a:pt x="1280541" y="9131"/>
                              </a:lnTo>
                              <a:lnTo>
                                <a:pt x="3515271" y="9131"/>
                              </a:lnTo>
                              <a:lnTo>
                                <a:pt x="3515271" y="0"/>
                              </a:lnTo>
                              <a:close/>
                            </a:path>
                            <a:path w="4147820" h="27940">
                              <a:moveTo>
                                <a:pt x="4147807" y="18275"/>
                              </a:moveTo>
                              <a:lnTo>
                                <a:pt x="3567176" y="18275"/>
                              </a:lnTo>
                              <a:lnTo>
                                <a:pt x="3515360" y="18275"/>
                              </a:lnTo>
                              <a:lnTo>
                                <a:pt x="3515360" y="27419"/>
                              </a:lnTo>
                              <a:lnTo>
                                <a:pt x="3567176" y="27419"/>
                              </a:lnTo>
                              <a:lnTo>
                                <a:pt x="4147807" y="27419"/>
                              </a:lnTo>
                              <a:lnTo>
                                <a:pt x="4147807" y="18275"/>
                              </a:lnTo>
                              <a:close/>
                            </a:path>
                            <a:path w="4147820" h="27940">
                              <a:moveTo>
                                <a:pt x="4147807" y="0"/>
                              </a:moveTo>
                              <a:lnTo>
                                <a:pt x="3567176" y="0"/>
                              </a:lnTo>
                              <a:lnTo>
                                <a:pt x="3515360" y="0"/>
                              </a:lnTo>
                              <a:lnTo>
                                <a:pt x="3515360" y="9131"/>
                              </a:lnTo>
                              <a:lnTo>
                                <a:pt x="3567176" y="9131"/>
                              </a:lnTo>
                              <a:lnTo>
                                <a:pt x="4147807" y="9131"/>
                              </a:lnTo>
                              <a:lnTo>
                                <a:pt x="41478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66.580002pt;margin-top:19.398520pt;width:326.6pt;height:2.2pt;mso-position-horizontal-relative:page;mso-position-vertical-relative:paragraph;z-index:-15694336;mso-wrap-distance-left:0;mso-wrap-distance-right:0" id="docshape317" coordorigin="3332,388" coordsize="6532,44" path="m5348,417l3332,417,3332,431,5348,431,5348,417xm5348,388l3332,388,3332,402,5348,402,5348,388xm8867,417l7739,417,7657,417,6534,417,6453,417,6453,417,5430,417,5348,417,5348,431,5430,431,6453,431,6453,431,6534,431,7657,431,7739,431,8867,431,8867,417xm8867,388l7739,388,7657,388,6534,388,6453,388,6453,388,5430,388,5348,388,5348,402,5430,402,6453,402,6453,402,6534,402,7657,402,7739,402,8867,402,8867,388xm9864,417l8949,417,8868,417,8868,431,8949,431,9864,431,9864,417xm9864,388l8949,388,8868,388,8868,402,8949,402,9864,402,9864,388xe" filled="true" fillcolor="#000000" stroked="false">
                <v:path arrowok="t"/>
                <v:fill type="solid"/>
                <w10:wrap type="topAndBottom"/>
              </v:shape>
            </w:pict>
          </mc:Fallback>
        </mc:AlternateContent>
      </w:r>
    </w:p>
    <w:p>
      <w:pPr>
        <w:pStyle w:val="BodyText"/>
        <w:tabs>
          <w:tab w:pos="3931" w:val="left" w:leader="none"/>
        </w:tabs>
        <w:spacing w:before="93"/>
        <w:ind w:left="1914"/>
        <w:jc w:val="both"/>
      </w:pPr>
      <w:r>
        <w:rPr>
          <w:spacing w:val="-2"/>
        </w:rPr>
        <w:t>Variable</w:t>
      </w:r>
      <w:r>
        <w:rPr/>
        <w:tab/>
        <w:t>Coefficient</w:t>
      </w:r>
      <w:r>
        <w:rPr>
          <w:spacing w:val="-33"/>
        </w:rPr>
        <w:t> </w:t>
      </w:r>
      <w:r>
        <w:rPr/>
        <w:t>Std.</w:t>
      </w:r>
      <w:r>
        <w:rPr>
          <w:spacing w:val="-1"/>
        </w:rPr>
        <w:t> </w:t>
      </w:r>
      <w:r>
        <w:rPr/>
        <w:t>Error</w:t>
      </w:r>
      <w:r>
        <w:rPr>
          <w:spacing w:val="67"/>
        </w:rPr>
        <w:t>  </w:t>
      </w:r>
      <w:r>
        <w:rPr/>
        <w:t>t-Statistic</w:t>
      </w:r>
      <w:r>
        <w:rPr>
          <w:spacing w:val="53"/>
          <w:w w:val="150"/>
        </w:rPr>
        <w:t>  </w:t>
      </w:r>
      <w:r>
        <w:rPr>
          <w:spacing w:val="-2"/>
        </w:rPr>
        <w:t>Prob.</w:t>
      </w:r>
    </w:p>
    <w:p>
      <w:pPr>
        <w:pStyle w:val="BodyText"/>
        <w:spacing w:before="63" w:after="1"/>
        <w:rPr>
          <w:sz w:val="20"/>
        </w:rPr>
      </w:pPr>
    </w:p>
    <w:tbl>
      <w:tblPr>
        <w:tblW w:w="0" w:type="auto"/>
        <w:jc w:val="left"/>
        <w:tblInd w:w="1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80"/>
        <w:gridCol w:w="1577"/>
        <w:gridCol w:w="1114"/>
        <w:gridCol w:w="1246"/>
        <w:gridCol w:w="1110"/>
      </w:tblGrid>
      <w:tr>
        <w:trPr>
          <w:trHeight w:val="461" w:hRule="atLeast"/>
        </w:trPr>
        <w:tc>
          <w:tcPr>
            <w:tcW w:w="1480" w:type="dxa"/>
            <w:tcBorders>
              <w:top w:val="double" w:sz="6" w:space="0" w:color="000000"/>
            </w:tcBorders>
          </w:tcPr>
          <w:p>
            <w:pPr>
              <w:pStyle w:val="TableParagraph"/>
              <w:spacing w:line="240" w:lineRule="auto" w:before="89"/>
              <w:ind w:left="0"/>
              <w:rPr>
                <w:sz w:val="24"/>
              </w:rPr>
            </w:pPr>
            <w:r>
              <w:rPr>
                <w:spacing w:val="-10"/>
                <w:sz w:val="24"/>
              </w:rPr>
              <w:t>C</w:t>
            </w:r>
          </w:p>
        </w:tc>
        <w:tc>
          <w:tcPr>
            <w:tcW w:w="1577" w:type="dxa"/>
            <w:tcBorders>
              <w:top w:val="double" w:sz="6" w:space="0" w:color="000000"/>
            </w:tcBorders>
          </w:tcPr>
          <w:p>
            <w:pPr>
              <w:pStyle w:val="TableParagraph"/>
              <w:spacing w:line="240" w:lineRule="auto" w:before="89"/>
              <w:ind w:left="0" w:right="59"/>
              <w:jc w:val="right"/>
              <w:rPr>
                <w:sz w:val="24"/>
              </w:rPr>
            </w:pPr>
            <w:r>
              <w:rPr>
                <w:spacing w:val="-2"/>
                <w:sz w:val="24"/>
              </w:rPr>
              <w:t>-3.118369</w:t>
            </w:r>
          </w:p>
        </w:tc>
        <w:tc>
          <w:tcPr>
            <w:tcW w:w="1114" w:type="dxa"/>
            <w:tcBorders>
              <w:top w:val="double" w:sz="6" w:space="0" w:color="000000"/>
            </w:tcBorders>
          </w:tcPr>
          <w:p>
            <w:pPr>
              <w:pStyle w:val="TableParagraph"/>
              <w:spacing w:line="240" w:lineRule="auto" w:before="89"/>
              <w:ind w:left="0" w:right="85"/>
              <w:jc w:val="center"/>
              <w:rPr>
                <w:sz w:val="24"/>
              </w:rPr>
            </w:pPr>
            <w:r>
              <w:rPr>
                <w:spacing w:val="-2"/>
                <w:sz w:val="24"/>
              </w:rPr>
              <w:t>2.371615</w:t>
            </w:r>
          </w:p>
        </w:tc>
        <w:tc>
          <w:tcPr>
            <w:tcW w:w="1246" w:type="dxa"/>
            <w:tcBorders>
              <w:top w:val="double" w:sz="6" w:space="0" w:color="000000"/>
            </w:tcBorders>
          </w:tcPr>
          <w:p>
            <w:pPr>
              <w:pStyle w:val="TableParagraph"/>
              <w:spacing w:line="240" w:lineRule="auto" w:before="89"/>
              <w:ind w:left="76" w:right="34"/>
              <w:jc w:val="center"/>
              <w:rPr>
                <w:sz w:val="24"/>
              </w:rPr>
            </w:pPr>
            <w:r>
              <w:rPr>
                <w:spacing w:val="-2"/>
                <w:sz w:val="24"/>
              </w:rPr>
              <w:t>-1.314872</w:t>
            </w:r>
          </w:p>
        </w:tc>
        <w:tc>
          <w:tcPr>
            <w:tcW w:w="1110" w:type="dxa"/>
            <w:tcBorders>
              <w:top w:val="double" w:sz="6" w:space="0" w:color="000000"/>
            </w:tcBorders>
          </w:tcPr>
          <w:p>
            <w:pPr>
              <w:pStyle w:val="TableParagraph"/>
              <w:spacing w:line="240" w:lineRule="auto" w:before="89"/>
              <w:ind w:left="118"/>
              <w:rPr>
                <w:sz w:val="24"/>
              </w:rPr>
            </w:pPr>
            <w:r>
              <w:rPr>
                <w:spacing w:val="-2"/>
                <w:sz w:val="24"/>
              </w:rPr>
              <w:t>0.1940</w:t>
            </w:r>
          </w:p>
        </w:tc>
      </w:tr>
      <w:tr>
        <w:trPr>
          <w:trHeight w:val="458" w:hRule="atLeast"/>
        </w:trPr>
        <w:tc>
          <w:tcPr>
            <w:tcW w:w="1480" w:type="dxa"/>
          </w:tcPr>
          <w:p>
            <w:pPr>
              <w:pStyle w:val="TableParagraph"/>
              <w:spacing w:line="240" w:lineRule="auto" w:before="86"/>
              <w:ind w:left="0"/>
              <w:rPr>
                <w:sz w:val="24"/>
              </w:rPr>
            </w:pPr>
            <w:r>
              <w:rPr>
                <w:spacing w:val="-2"/>
                <w:sz w:val="24"/>
              </w:rPr>
              <w:t>LOG(X1)</w:t>
            </w:r>
          </w:p>
        </w:tc>
        <w:tc>
          <w:tcPr>
            <w:tcW w:w="1577" w:type="dxa"/>
          </w:tcPr>
          <w:p>
            <w:pPr>
              <w:pStyle w:val="TableParagraph"/>
              <w:spacing w:line="240" w:lineRule="auto" w:before="86"/>
              <w:ind w:left="0" w:right="138"/>
              <w:jc w:val="right"/>
              <w:rPr>
                <w:sz w:val="24"/>
              </w:rPr>
            </w:pPr>
            <w:r>
              <w:rPr>
                <w:spacing w:val="-2"/>
                <w:sz w:val="24"/>
              </w:rPr>
              <w:t>0.423724</w:t>
            </w:r>
          </w:p>
        </w:tc>
        <w:tc>
          <w:tcPr>
            <w:tcW w:w="1114" w:type="dxa"/>
          </w:tcPr>
          <w:p>
            <w:pPr>
              <w:pStyle w:val="TableParagraph"/>
              <w:spacing w:line="240" w:lineRule="auto" w:before="86"/>
              <w:ind w:left="0" w:right="85"/>
              <w:jc w:val="center"/>
              <w:rPr>
                <w:sz w:val="24"/>
              </w:rPr>
            </w:pPr>
            <w:r>
              <w:rPr>
                <w:spacing w:val="-2"/>
                <w:sz w:val="24"/>
              </w:rPr>
              <w:t>0.100708</w:t>
            </w:r>
          </w:p>
        </w:tc>
        <w:tc>
          <w:tcPr>
            <w:tcW w:w="1246" w:type="dxa"/>
          </w:tcPr>
          <w:p>
            <w:pPr>
              <w:pStyle w:val="TableParagraph"/>
              <w:spacing w:line="240" w:lineRule="auto" w:before="86"/>
              <w:ind w:left="42" w:right="76"/>
              <w:jc w:val="center"/>
              <w:rPr>
                <w:sz w:val="24"/>
              </w:rPr>
            </w:pPr>
            <w:r>
              <w:rPr>
                <w:spacing w:val="-2"/>
                <w:sz w:val="24"/>
              </w:rPr>
              <w:t>4.207465</w:t>
            </w:r>
          </w:p>
        </w:tc>
        <w:tc>
          <w:tcPr>
            <w:tcW w:w="1110" w:type="dxa"/>
          </w:tcPr>
          <w:p>
            <w:pPr>
              <w:pStyle w:val="TableParagraph"/>
              <w:spacing w:line="240" w:lineRule="auto" w:before="86"/>
              <w:ind w:left="118"/>
              <w:rPr>
                <w:sz w:val="24"/>
              </w:rPr>
            </w:pPr>
            <w:r>
              <w:rPr>
                <w:spacing w:val="-2"/>
                <w:sz w:val="24"/>
              </w:rPr>
              <w:t>0.0001</w:t>
            </w:r>
          </w:p>
        </w:tc>
      </w:tr>
      <w:tr>
        <w:trPr>
          <w:trHeight w:val="457" w:hRule="atLeast"/>
        </w:trPr>
        <w:tc>
          <w:tcPr>
            <w:tcW w:w="1480" w:type="dxa"/>
          </w:tcPr>
          <w:p>
            <w:pPr>
              <w:pStyle w:val="TableParagraph"/>
              <w:spacing w:line="240" w:lineRule="auto" w:before="86"/>
              <w:ind w:left="0"/>
              <w:rPr>
                <w:sz w:val="24"/>
              </w:rPr>
            </w:pPr>
            <w:r>
              <w:rPr>
                <w:spacing w:val="-2"/>
                <w:sz w:val="24"/>
              </w:rPr>
              <w:t>LOG(X2)</w:t>
            </w:r>
          </w:p>
        </w:tc>
        <w:tc>
          <w:tcPr>
            <w:tcW w:w="1577" w:type="dxa"/>
          </w:tcPr>
          <w:p>
            <w:pPr>
              <w:pStyle w:val="TableParagraph"/>
              <w:spacing w:line="240" w:lineRule="auto" w:before="86"/>
              <w:ind w:left="0" w:right="138"/>
              <w:jc w:val="right"/>
              <w:rPr>
                <w:sz w:val="24"/>
              </w:rPr>
            </w:pPr>
            <w:r>
              <w:rPr>
                <w:spacing w:val="-2"/>
                <w:sz w:val="24"/>
              </w:rPr>
              <w:t>0.417918</w:t>
            </w:r>
          </w:p>
        </w:tc>
        <w:tc>
          <w:tcPr>
            <w:tcW w:w="1114" w:type="dxa"/>
          </w:tcPr>
          <w:p>
            <w:pPr>
              <w:pStyle w:val="TableParagraph"/>
              <w:spacing w:line="240" w:lineRule="auto" w:before="86"/>
              <w:ind w:left="0" w:right="85"/>
              <w:jc w:val="center"/>
              <w:rPr>
                <w:sz w:val="24"/>
              </w:rPr>
            </w:pPr>
            <w:r>
              <w:rPr>
                <w:spacing w:val="-2"/>
                <w:sz w:val="24"/>
              </w:rPr>
              <w:t>0.262263</w:t>
            </w:r>
          </w:p>
        </w:tc>
        <w:tc>
          <w:tcPr>
            <w:tcW w:w="1246" w:type="dxa"/>
          </w:tcPr>
          <w:p>
            <w:pPr>
              <w:pStyle w:val="TableParagraph"/>
              <w:spacing w:line="240" w:lineRule="auto" w:before="86"/>
              <w:ind w:left="42" w:right="76"/>
              <w:jc w:val="center"/>
              <w:rPr>
                <w:sz w:val="24"/>
              </w:rPr>
            </w:pPr>
            <w:r>
              <w:rPr>
                <w:spacing w:val="-2"/>
                <w:sz w:val="24"/>
              </w:rPr>
              <w:t>1.593509</w:t>
            </w:r>
          </w:p>
        </w:tc>
        <w:tc>
          <w:tcPr>
            <w:tcW w:w="1110" w:type="dxa"/>
          </w:tcPr>
          <w:p>
            <w:pPr>
              <w:pStyle w:val="TableParagraph"/>
              <w:spacing w:line="240" w:lineRule="auto" w:before="86"/>
              <w:ind w:left="118"/>
              <w:rPr>
                <w:sz w:val="24"/>
              </w:rPr>
            </w:pPr>
            <w:r>
              <w:rPr>
                <w:spacing w:val="-2"/>
                <w:sz w:val="24"/>
              </w:rPr>
              <w:t>0.1168</w:t>
            </w:r>
          </w:p>
        </w:tc>
      </w:tr>
      <w:tr>
        <w:trPr>
          <w:trHeight w:val="457" w:hRule="atLeast"/>
        </w:trPr>
        <w:tc>
          <w:tcPr>
            <w:tcW w:w="1480" w:type="dxa"/>
          </w:tcPr>
          <w:p>
            <w:pPr>
              <w:pStyle w:val="TableParagraph"/>
              <w:spacing w:line="240" w:lineRule="auto" w:before="85"/>
              <w:ind w:left="0"/>
              <w:rPr>
                <w:sz w:val="24"/>
              </w:rPr>
            </w:pPr>
            <w:r>
              <w:rPr>
                <w:spacing w:val="-5"/>
                <w:sz w:val="24"/>
              </w:rPr>
              <w:t>X3</w:t>
            </w:r>
          </w:p>
        </w:tc>
        <w:tc>
          <w:tcPr>
            <w:tcW w:w="1577" w:type="dxa"/>
          </w:tcPr>
          <w:p>
            <w:pPr>
              <w:pStyle w:val="TableParagraph"/>
              <w:spacing w:line="240" w:lineRule="auto" w:before="85"/>
              <w:ind w:left="0" w:right="138"/>
              <w:jc w:val="right"/>
              <w:rPr>
                <w:sz w:val="24"/>
              </w:rPr>
            </w:pPr>
            <w:r>
              <w:rPr>
                <w:spacing w:val="-2"/>
                <w:sz w:val="24"/>
              </w:rPr>
              <w:t>0.005605</w:t>
            </w:r>
          </w:p>
        </w:tc>
        <w:tc>
          <w:tcPr>
            <w:tcW w:w="1114" w:type="dxa"/>
          </w:tcPr>
          <w:p>
            <w:pPr>
              <w:pStyle w:val="TableParagraph"/>
              <w:spacing w:line="240" w:lineRule="auto" w:before="85"/>
              <w:ind w:left="0" w:right="85"/>
              <w:jc w:val="center"/>
              <w:rPr>
                <w:sz w:val="24"/>
              </w:rPr>
            </w:pPr>
            <w:r>
              <w:rPr>
                <w:spacing w:val="-2"/>
                <w:sz w:val="24"/>
              </w:rPr>
              <w:t>0.009170</w:t>
            </w:r>
          </w:p>
        </w:tc>
        <w:tc>
          <w:tcPr>
            <w:tcW w:w="1246" w:type="dxa"/>
          </w:tcPr>
          <w:p>
            <w:pPr>
              <w:pStyle w:val="TableParagraph"/>
              <w:spacing w:line="240" w:lineRule="auto" w:before="85"/>
              <w:ind w:left="42" w:right="76"/>
              <w:jc w:val="center"/>
              <w:rPr>
                <w:sz w:val="24"/>
              </w:rPr>
            </w:pPr>
            <w:r>
              <w:rPr>
                <w:spacing w:val="-2"/>
                <w:sz w:val="24"/>
              </w:rPr>
              <w:t>0.611198</w:t>
            </w:r>
          </w:p>
        </w:tc>
        <w:tc>
          <w:tcPr>
            <w:tcW w:w="1110" w:type="dxa"/>
          </w:tcPr>
          <w:p>
            <w:pPr>
              <w:pStyle w:val="TableParagraph"/>
              <w:spacing w:line="240" w:lineRule="auto" w:before="85"/>
              <w:ind w:left="118"/>
              <w:rPr>
                <w:sz w:val="24"/>
              </w:rPr>
            </w:pPr>
            <w:r>
              <w:rPr>
                <w:spacing w:val="-2"/>
                <w:sz w:val="24"/>
              </w:rPr>
              <w:t>0.5436</w:t>
            </w:r>
          </w:p>
        </w:tc>
      </w:tr>
      <w:tr>
        <w:trPr>
          <w:trHeight w:val="362" w:hRule="atLeast"/>
        </w:trPr>
        <w:tc>
          <w:tcPr>
            <w:tcW w:w="1480" w:type="dxa"/>
          </w:tcPr>
          <w:p>
            <w:pPr>
              <w:pStyle w:val="TableParagraph"/>
              <w:spacing w:line="256" w:lineRule="exact" w:before="86"/>
              <w:ind w:left="0"/>
              <w:rPr>
                <w:sz w:val="24"/>
              </w:rPr>
            </w:pPr>
            <w:r>
              <w:rPr>
                <w:spacing w:val="-2"/>
                <w:sz w:val="24"/>
              </w:rPr>
              <w:t>LOG(X4)</w:t>
            </w:r>
          </w:p>
        </w:tc>
        <w:tc>
          <w:tcPr>
            <w:tcW w:w="1577" w:type="dxa"/>
          </w:tcPr>
          <w:p>
            <w:pPr>
              <w:pStyle w:val="TableParagraph"/>
              <w:spacing w:line="256" w:lineRule="exact" w:before="86"/>
              <w:ind w:left="0" w:right="138"/>
              <w:jc w:val="right"/>
              <w:rPr>
                <w:sz w:val="24"/>
              </w:rPr>
            </w:pPr>
            <w:r>
              <w:rPr>
                <w:spacing w:val="-2"/>
                <w:sz w:val="24"/>
              </w:rPr>
              <w:t>0.469894</w:t>
            </w:r>
          </w:p>
        </w:tc>
        <w:tc>
          <w:tcPr>
            <w:tcW w:w="1114" w:type="dxa"/>
          </w:tcPr>
          <w:p>
            <w:pPr>
              <w:pStyle w:val="TableParagraph"/>
              <w:spacing w:line="256" w:lineRule="exact" w:before="86"/>
              <w:ind w:left="0" w:right="85"/>
              <w:jc w:val="center"/>
              <w:rPr>
                <w:sz w:val="24"/>
              </w:rPr>
            </w:pPr>
            <w:r>
              <w:rPr>
                <w:spacing w:val="-2"/>
                <w:sz w:val="24"/>
              </w:rPr>
              <w:t>0.163297</w:t>
            </w:r>
          </w:p>
        </w:tc>
        <w:tc>
          <w:tcPr>
            <w:tcW w:w="1246" w:type="dxa"/>
          </w:tcPr>
          <w:p>
            <w:pPr>
              <w:pStyle w:val="TableParagraph"/>
              <w:spacing w:line="256" w:lineRule="exact" w:before="86"/>
              <w:ind w:left="42" w:right="76"/>
              <w:jc w:val="center"/>
              <w:rPr>
                <w:sz w:val="24"/>
              </w:rPr>
            </w:pPr>
            <w:r>
              <w:rPr>
                <w:spacing w:val="-2"/>
                <w:sz w:val="24"/>
              </w:rPr>
              <w:t>2.877535</w:t>
            </w:r>
          </w:p>
        </w:tc>
        <w:tc>
          <w:tcPr>
            <w:tcW w:w="1110" w:type="dxa"/>
          </w:tcPr>
          <w:p>
            <w:pPr>
              <w:pStyle w:val="TableParagraph"/>
              <w:spacing w:line="256" w:lineRule="exact" w:before="86"/>
              <w:ind w:left="118"/>
              <w:rPr>
                <w:sz w:val="24"/>
              </w:rPr>
            </w:pPr>
            <w:r>
              <w:rPr>
                <w:spacing w:val="-2"/>
                <w:sz w:val="24"/>
              </w:rPr>
              <w:t>0.0057</w:t>
            </w:r>
          </w:p>
        </w:tc>
      </w:tr>
    </w:tbl>
    <w:p>
      <w:pPr>
        <w:pStyle w:val="BodyText"/>
        <w:spacing w:before="8"/>
        <w:rPr>
          <w:sz w:val="19"/>
        </w:rPr>
      </w:pPr>
      <w:r>
        <w:rPr>
          <w:sz w:val="19"/>
        </w:rPr>
        <mc:AlternateContent>
          <mc:Choice Requires="wps">
            <w:drawing>
              <wp:anchor distT="0" distB="0" distL="0" distR="0" allowOverlap="1" layoutInCell="1" locked="0" behindDoc="1" simplePos="0" relativeHeight="487622656">
                <wp:simplePos x="0" y="0"/>
                <wp:positionH relativeFrom="page">
                  <wp:posOffset>2115566</wp:posOffset>
                </wp:positionH>
                <wp:positionV relativeFrom="paragraph">
                  <wp:posOffset>159511</wp:posOffset>
                </wp:positionV>
                <wp:extent cx="4147820" cy="27940"/>
                <wp:effectExtent l="0" t="0" r="0" b="0"/>
                <wp:wrapTopAndBottom/>
                <wp:docPr id="346" name="Graphic 346"/>
                <wp:cNvGraphicFramePr>
                  <a:graphicFrameLocks/>
                </wp:cNvGraphicFramePr>
                <a:graphic>
                  <a:graphicData uri="http://schemas.microsoft.com/office/word/2010/wordprocessingShape">
                    <wps:wsp>
                      <wps:cNvPr id="346" name="Graphic 346"/>
                      <wps:cNvSpPr/>
                      <wps:spPr>
                        <a:xfrm>
                          <a:off x="0" y="0"/>
                          <a:ext cx="4147820" cy="27940"/>
                        </a:xfrm>
                        <a:custGeom>
                          <a:avLst/>
                          <a:gdLst/>
                          <a:ahLst/>
                          <a:cxnLst/>
                          <a:rect l="l" t="t" r="r" b="b"/>
                          <a:pathLst>
                            <a:path w="4147820" h="27940">
                              <a:moveTo>
                                <a:pt x="1280414" y="18300"/>
                              </a:moveTo>
                              <a:lnTo>
                                <a:pt x="0" y="18300"/>
                              </a:lnTo>
                              <a:lnTo>
                                <a:pt x="0" y="27432"/>
                              </a:lnTo>
                              <a:lnTo>
                                <a:pt x="1280414" y="27432"/>
                              </a:lnTo>
                              <a:lnTo>
                                <a:pt x="1280414" y="18300"/>
                              </a:lnTo>
                              <a:close/>
                            </a:path>
                            <a:path w="4147820" h="27940">
                              <a:moveTo>
                                <a:pt x="1280414" y="0"/>
                              </a:moveTo>
                              <a:lnTo>
                                <a:pt x="0" y="0"/>
                              </a:lnTo>
                              <a:lnTo>
                                <a:pt x="0" y="9144"/>
                              </a:lnTo>
                              <a:lnTo>
                                <a:pt x="1280414" y="9144"/>
                              </a:lnTo>
                              <a:lnTo>
                                <a:pt x="1280414" y="0"/>
                              </a:lnTo>
                              <a:close/>
                            </a:path>
                            <a:path w="4147820" h="27940">
                              <a:moveTo>
                                <a:pt x="3515271" y="18300"/>
                              </a:moveTo>
                              <a:lnTo>
                                <a:pt x="3515271" y="18300"/>
                              </a:lnTo>
                              <a:lnTo>
                                <a:pt x="1280541" y="18300"/>
                              </a:lnTo>
                              <a:lnTo>
                                <a:pt x="1280541" y="27432"/>
                              </a:lnTo>
                              <a:lnTo>
                                <a:pt x="3515271" y="27432"/>
                              </a:lnTo>
                              <a:lnTo>
                                <a:pt x="3515271" y="18300"/>
                              </a:lnTo>
                              <a:close/>
                            </a:path>
                            <a:path w="4147820" h="27940">
                              <a:moveTo>
                                <a:pt x="3515271" y="0"/>
                              </a:moveTo>
                              <a:lnTo>
                                <a:pt x="3515271" y="0"/>
                              </a:lnTo>
                              <a:lnTo>
                                <a:pt x="1280541" y="0"/>
                              </a:lnTo>
                              <a:lnTo>
                                <a:pt x="1280541" y="9144"/>
                              </a:lnTo>
                              <a:lnTo>
                                <a:pt x="3515271" y="9144"/>
                              </a:lnTo>
                              <a:lnTo>
                                <a:pt x="3515271" y="0"/>
                              </a:lnTo>
                              <a:close/>
                            </a:path>
                            <a:path w="4147820" h="27940">
                              <a:moveTo>
                                <a:pt x="4147807" y="18300"/>
                              </a:moveTo>
                              <a:lnTo>
                                <a:pt x="3567176" y="18300"/>
                              </a:lnTo>
                              <a:lnTo>
                                <a:pt x="3515360" y="18300"/>
                              </a:lnTo>
                              <a:lnTo>
                                <a:pt x="3515360" y="27432"/>
                              </a:lnTo>
                              <a:lnTo>
                                <a:pt x="3567176" y="27432"/>
                              </a:lnTo>
                              <a:lnTo>
                                <a:pt x="4147807" y="27432"/>
                              </a:lnTo>
                              <a:lnTo>
                                <a:pt x="4147807" y="18300"/>
                              </a:lnTo>
                              <a:close/>
                            </a:path>
                            <a:path w="4147820" h="27940">
                              <a:moveTo>
                                <a:pt x="4147807" y="0"/>
                              </a:moveTo>
                              <a:lnTo>
                                <a:pt x="3567176" y="0"/>
                              </a:lnTo>
                              <a:lnTo>
                                <a:pt x="3515360" y="0"/>
                              </a:lnTo>
                              <a:lnTo>
                                <a:pt x="3515360" y="9144"/>
                              </a:lnTo>
                              <a:lnTo>
                                <a:pt x="3567176" y="9144"/>
                              </a:lnTo>
                              <a:lnTo>
                                <a:pt x="4147807" y="9144"/>
                              </a:lnTo>
                              <a:lnTo>
                                <a:pt x="41478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66.580002pt;margin-top:12.559988pt;width:326.6pt;height:2.2pt;mso-position-horizontal-relative:page;mso-position-vertical-relative:paragraph;z-index:-15693824;mso-wrap-distance-left:0;mso-wrap-distance-right:0" id="docshape318" coordorigin="3332,251" coordsize="6532,44" path="m5348,280l3332,280,3332,294,5348,294,5348,280xm5348,251l3332,251,3332,266,5348,266,5348,251xm8867,280l7739,280,7657,280,6534,280,6453,280,6453,280,5430,280,5348,280,5348,294,5430,294,6453,294,6453,294,6534,294,7657,294,7739,294,8867,294,8867,280xm8867,251l7739,251,7657,251,6534,251,6453,251,6453,251,5430,251,5348,251,5348,266,5430,266,6453,266,6453,266,6534,266,7657,266,7739,266,8867,266,8867,251xm9864,280l8949,280,8868,280,8868,294,8949,294,9864,294,9864,280xm9864,251l8949,251,8868,251,8868,266,8949,266,9864,266,9864,251xe" filled="true" fillcolor="#000000" stroked="false">
                <v:path arrowok="t"/>
                <v:fill type="solid"/>
                <w10:wrap type="topAndBottom"/>
              </v:shape>
            </w:pict>
          </mc:Fallback>
        </mc:AlternateContent>
      </w:r>
    </w:p>
    <w:p>
      <w:pPr>
        <w:pStyle w:val="BodyText"/>
        <w:spacing w:before="227"/>
        <w:ind w:left="1866"/>
        <w:jc w:val="both"/>
      </w:pPr>
      <w:r>
        <w:rPr/>
        <w:t>Sumber:</w:t>
      </w:r>
      <w:r>
        <w:rPr>
          <w:spacing w:val="-2"/>
        </w:rPr>
        <w:t> </w:t>
      </w:r>
      <w:r>
        <w:rPr/>
        <w:t>Output</w:t>
      </w:r>
      <w:r>
        <w:rPr>
          <w:spacing w:val="-1"/>
        </w:rPr>
        <w:t> </w:t>
      </w:r>
      <w:r>
        <w:rPr>
          <w:i/>
        </w:rPr>
        <w:t>eviews</w:t>
      </w:r>
      <w:r>
        <w:rPr/>
        <w:t>,</w:t>
      </w:r>
      <w:r>
        <w:rPr>
          <w:spacing w:val="-1"/>
        </w:rPr>
        <w:t> </w:t>
      </w:r>
      <w:r>
        <w:rPr/>
        <w:t>data</w:t>
      </w:r>
      <w:r>
        <w:rPr>
          <w:spacing w:val="-2"/>
        </w:rPr>
        <w:t> </w:t>
      </w:r>
      <w:r>
        <w:rPr/>
        <w:t>diolah</w:t>
      </w:r>
      <w:r>
        <w:rPr>
          <w:spacing w:val="-1"/>
        </w:rPr>
        <w:t> </w:t>
      </w:r>
      <w:r>
        <w:rPr>
          <w:spacing w:val="-2"/>
        </w:rPr>
        <w:t>(2025)</w:t>
      </w:r>
    </w:p>
    <w:p>
      <w:pPr>
        <w:pStyle w:val="BodyText"/>
        <w:spacing w:line="360" w:lineRule="auto" w:before="137"/>
        <w:ind w:left="1866" w:right="162" w:firstLine="316"/>
        <w:jc w:val="both"/>
      </w:pPr>
      <w:r>
        <w:rPr/>
        <w:t>Berdasarkan Tabel 4.7 ditemukan nilai koefisien tiap variabel yaitu Indeks</w:t>
      </w:r>
      <w:r>
        <w:rPr>
          <w:spacing w:val="-2"/>
        </w:rPr>
        <w:t> </w:t>
      </w:r>
      <w:r>
        <w:rPr/>
        <w:t>Keyakinan</w:t>
      </w:r>
      <w:r>
        <w:rPr>
          <w:spacing w:val="-2"/>
        </w:rPr>
        <w:t> </w:t>
      </w:r>
      <w:r>
        <w:rPr/>
        <w:t>Konsumen</w:t>
      </w:r>
      <w:r>
        <w:rPr>
          <w:spacing w:val="-3"/>
        </w:rPr>
        <w:t> </w:t>
      </w:r>
      <w:r>
        <w:rPr/>
        <w:t>=</w:t>
      </w:r>
      <w:r>
        <w:rPr>
          <w:spacing w:val="-3"/>
        </w:rPr>
        <w:t> </w:t>
      </w:r>
      <w:r>
        <w:rPr/>
        <w:t>0,423724,</w:t>
      </w:r>
      <w:r>
        <w:rPr>
          <w:spacing w:val="-2"/>
        </w:rPr>
        <w:t> </w:t>
      </w:r>
      <w:r>
        <w:rPr/>
        <w:t>nilai</w:t>
      </w:r>
      <w:r>
        <w:rPr>
          <w:spacing w:val="-2"/>
        </w:rPr>
        <w:t> </w:t>
      </w:r>
      <w:r>
        <w:rPr/>
        <w:t>tukar</w:t>
      </w:r>
      <w:r>
        <w:rPr>
          <w:spacing w:val="-3"/>
        </w:rPr>
        <w:t> </w:t>
      </w:r>
      <w:r>
        <w:rPr/>
        <w:t>=</w:t>
      </w:r>
      <w:r>
        <w:rPr>
          <w:spacing w:val="-3"/>
        </w:rPr>
        <w:t> </w:t>
      </w:r>
      <w:r>
        <w:rPr/>
        <w:t>0,417918,</w:t>
      </w:r>
      <w:r>
        <w:rPr>
          <w:spacing w:val="-2"/>
        </w:rPr>
        <w:t> </w:t>
      </w:r>
      <w:r>
        <w:rPr/>
        <w:t>inflasi</w:t>
      </w:r>
      <w:r>
        <w:rPr>
          <w:spacing w:val="-2"/>
        </w:rPr>
        <w:t> </w:t>
      </w:r>
      <w:r>
        <w:rPr/>
        <w:t>= 0,005605,</w:t>
      </w:r>
      <w:r>
        <w:rPr>
          <w:spacing w:val="-2"/>
        </w:rPr>
        <w:t> </w:t>
      </w:r>
      <w:r>
        <w:rPr/>
        <w:t>dan Indeks</w:t>
      </w:r>
      <w:r>
        <w:rPr>
          <w:spacing w:val="-2"/>
        </w:rPr>
        <w:t> </w:t>
      </w:r>
      <w:r>
        <w:rPr/>
        <w:t>Produksi</w:t>
      </w:r>
      <w:r>
        <w:rPr>
          <w:spacing w:val="-2"/>
        </w:rPr>
        <w:t> </w:t>
      </w:r>
      <w:r>
        <w:rPr/>
        <w:t>Industri</w:t>
      </w:r>
      <w:r>
        <w:rPr>
          <w:spacing w:val="-3"/>
        </w:rPr>
        <w:t> </w:t>
      </w:r>
      <w:r>
        <w:rPr/>
        <w:t>=</w:t>
      </w:r>
      <w:r>
        <w:rPr>
          <w:spacing w:val="-3"/>
        </w:rPr>
        <w:t> </w:t>
      </w:r>
      <w:r>
        <w:rPr/>
        <w:t>0,469894</w:t>
      </w:r>
      <w:r>
        <w:rPr>
          <w:spacing w:val="-2"/>
        </w:rPr>
        <w:t> </w:t>
      </w:r>
      <w:r>
        <w:rPr/>
        <w:t>dengan</w:t>
      </w:r>
      <w:r>
        <w:rPr>
          <w:spacing w:val="-2"/>
        </w:rPr>
        <w:t> </w:t>
      </w:r>
      <w:r>
        <w:rPr/>
        <w:t>nilai</w:t>
      </w:r>
      <w:r>
        <w:rPr>
          <w:spacing w:val="-2"/>
        </w:rPr>
        <w:t> </w:t>
      </w:r>
      <w:r>
        <w:rPr/>
        <w:t>konstanta sebesar -3,118369. Maka dari itu dapat ditarik menjadi model persamaan regresi yaitu:</w:t>
      </w:r>
    </w:p>
    <w:p>
      <w:pPr>
        <w:pStyle w:val="BodyText"/>
        <w:spacing w:before="2"/>
        <w:ind w:left="2443"/>
        <w:jc w:val="both"/>
      </w:pPr>
      <w:r>
        <w:rPr/>
        <w:t>Y</w:t>
      </w:r>
      <w:r>
        <w:rPr>
          <w:spacing w:val="-1"/>
        </w:rPr>
        <w:t> </w:t>
      </w:r>
      <w:r>
        <w:rPr/>
        <w:t>=</w:t>
      </w:r>
      <w:r>
        <w:rPr>
          <w:spacing w:val="-2"/>
        </w:rPr>
        <w:t> </w:t>
      </w:r>
      <w:r>
        <w:rPr/>
        <w:t>-3,118369 +</w:t>
      </w:r>
      <w:r>
        <w:rPr>
          <w:spacing w:val="-1"/>
        </w:rPr>
        <w:t> </w:t>
      </w:r>
      <w:r>
        <w:rPr/>
        <w:t>0,423724 +</w:t>
      </w:r>
      <w:r>
        <w:rPr>
          <w:spacing w:val="-1"/>
        </w:rPr>
        <w:t> </w:t>
      </w:r>
      <w:r>
        <w:rPr/>
        <w:t>0,417918 +</w:t>
      </w:r>
      <w:r>
        <w:rPr>
          <w:spacing w:val="-1"/>
        </w:rPr>
        <w:t> </w:t>
      </w:r>
      <w:r>
        <w:rPr/>
        <w:t>0,005605</w:t>
      </w:r>
      <w:r>
        <w:rPr>
          <w:spacing w:val="2"/>
        </w:rPr>
        <w:t> </w:t>
      </w:r>
      <w:r>
        <w:rPr/>
        <w:t>+ </w:t>
      </w:r>
      <w:r>
        <w:rPr>
          <w:spacing w:val="-2"/>
        </w:rPr>
        <w:t>0,469894</w:t>
      </w:r>
    </w:p>
    <w:p>
      <w:pPr>
        <w:pStyle w:val="BodyText"/>
        <w:spacing w:before="136"/>
        <w:ind w:left="1866"/>
        <w:jc w:val="both"/>
      </w:pPr>
      <w:r>
        <w:rPr/>
        <w:t>Dibawah</w:t>
      </w:r>
      <w:r>
        <w:rPr>
          <w:spacing w:val="-4"/>
        </w:rPr>
        <w:t> </w:t>
      </w:r>
      <w:r>
        <w:rPr/>
        <w:t>ini</w:t>
      </w:r>
      <w:r>
        <w:rPr>
          <w:spacing w:val="-2"/>
        </w:rPr>
        <w:t> </w:t>
      </w:r>
      <w:r>
        <w:rPr/>
        <w:t>merupakan</w:t>
      </w:r>
      <w:r>
        <w:rPr>
          <w:spacing w:val="-2"/>
        </w:rPr>
        <w:t> </w:t>
      </w:r>
      <w:r>
        <w:rPr/>
        <w:t>interpretasi persamaan</w:t>
      </w:r>
      <w:r>
        <w:rPr>
          <w:spacing w:val="-2"/>
        </w:rPr>
        <w:t> </w:t>
      </w:r>
      <w:r>
        <w:rPr/>
        <w:t>regresi</w:t>
      </w:r>
      <w:r>
        <w:rPr>
          <w:spacing w:val="-1"/>
        </w:rPr>
        <w:t> </w:t>
      </w:r>
      <w:r>
        <w:rPr/>
        <w:t>linear</w:t>
      </w:r>
      <w:r>
        <w:rPr>
          <w:spacing w:val="-1"/>
        </w:rPr>
        <w:t> </w:t>
      </w:r>
      <w:r>
        <w:rPr>
          <w:spacing w:val="-2"/>
        </w:rPr>
        <w:t>berganda:</w:t>
      </w:r>
    </w:p>
    <w:p>
      <w:pPr>
        <w:pStyle w:val="BodyText"/>
        <w:spacing w:after="0"/>
        <w:jc w:val="both"/>
        <w:sectPr>
          <w:pgSz w:w="11910" w:h="16840"/>
          <w:pgMar w:header="0" w:footer="1000" w:top="1360" w:bottom="1200" w:left="1417" w:right="1275"/>
        </w:sectPr>
      </w:pPr>
    </w:p>
    <w:p>
      <w:pPr>
        <w:pStyle w:val="ListParagraph"/>
        <w:numPr>
          <w:ilvl w:val="0"/>
          <w:numId w:val="25"/>
        </w:numPr>
        <w:tabs>
          <w:tab w:pos="2585" w:val="left" w:leader="none"/>
          <w:tab w:pos="2587" w:val="left" w:leader="none"/>
        </w:tabs>
        <w:spacing w:line="360" w:lineRule="auto" w:before="60" w:after="0"/>
        <w:ind w:left="2587" w:right="161" w:hanging="361"/>
        <w:jc w:val="both"/>
        <w:rPr>
          <w:sz w:val="24"/>
        </w:rPr>
      </w:pPr>
      <w:r>
        <w:rPr>
          <w:sz w:val="24"/>
        </w:rPr>
        <w:t>Koefisien Indeks Keyakinan Konsumen (X1) sebesar 0,423724 artinya</w:t>
      </w:r>
      <w:r>
        <w:rPr>
          <w:spacing w:val="-4"/>
          <w:sz w:val="24"/>
        </w:rPr>
        <w:t> </w:t>
      </w:r>
      <w:r>
        <w:rPr>
          <w:sz w:val="24"/>
        </w:rPr>
        <w:t>apabila</w:t>
      </w:r>
      <w:r>
        <w:rPr>
          <w:spacing w:val="-1"/>
          <w:sz w:val="24"/>
        </w:rPr>
        <w:t> </w:t>
      </w:r>
      <w:r>
        <w:rPr>
          <w:sz w:val="24"/>
        </w:rPr>
        <w:t>Indeks</w:t>
      </w:r>
      <w:r>
        <w:rPr>
          <w:spacing w:val="-3"/>
          <w:sz w:val="24"/>
        </w:rPr>
        <w:t> </w:t>
      </w:r>
      <w:r>
        <w:rPr>
          <w:sz w:val="24"/>
        </w:rPr>
        <w:t>Keyakinan</w:t>
      </w:r>
      <w:r>
        <w:rPr>
          <w:spacing w:val="-4"/>
          <w:sz w:val="24"/>
        </w:rPr>
        <w:t> </w:t>
      </w:r>
      <w:r>
        <w:rPr>
          <w:sz w:val="24"/>
        </w:rPr>
        <w:t>Konsumen</w:t>
      </w:r>
      <w:r>
        <w:rPr>
          <w:spacing w:val="-3"/>
          <w:sz w:val="24"/>
        </w:rPr>
        <w:t> </w:t>
      </w:r>
      <w:r>
        <w:rPr>
          <w:sz w:val="24"/>
        </w:rPr>
        <w:t>naik 1%</w:t>
      </w:r>
      <w:r>
        <w:rPr>
          <w:spacing w:val="-4"/>
          <w:sz w:val="24"/>
        </w:rPr>
        <w:t> </w:t>
      </w:r>
      <w:r>
        <w:rPr>
          <w:sz w:val="24"/>
        </w:rPr>
        <w:t>maka</w:t>
      </w:r>
      <w:r>
        <w:rPr>
          <w:spacing w:val="-5"/>
          <w:sz w:val="24"/>
        </w:rPr>
        <w:t> </w:t>
      </w:r>
      <w:r>
        <w:rPr>
          <w:sz w:val="24"/>
        </w:rPr>
        <w:t>Indeks Saham Syariah Indonesia (Y) akan mengalami kenaikan sebesar </w:t>
      </w:r>
      <w:r>
        <w:rPr>
          <w:spacing w:val="-2"/>
          <w:sz w:val="24"/>
        </w:rPr>
        <w:t>0,423724%.</w:t>
      </w:r>
    </w:p>
    <w:p>
      <w:pPr>
        <w:pStyle w:val="ListParagraph"/>
        <w:numPr>
          <w:ilvl w:val="0"/>
          <w:numId w:val="25"/>
        </w:numPr>
        <w:tabs>
          <w:tab w:pos="2585" w:val="left" w:leader="none"/>
          <w:tab w:pos="2587" w:val="left" w:leader="none"/>
        </w:tabs>
        <w:spacing w:line="360" w:lineRule="auto" w:before="1" w:after="0"/>
        <w:ind w:left="2587" w:right="163" w:hanging="361"/>
        <w:jc w:val="both"/>
        <w:rPr>
          <w:sz w:val="24"/>
        </w:rPr>
      </w:pPr>
      <w:r>
        <w:rPr>
          <w:sz w:val="24"/>
        </w:rPr>
        <w:t>Koefisien nilai tukar (X2) sebesar 0,417918 artinya apabila nilai tukar naik 1% maka Indeks Saham Syariah Indonesia (Y) akan mengalami kenaikan sebesar 0,417918%.</w:t>
      </w:r>
    </w:p>
    <w:p>
      <w:pPr>
        <w:pStyle w:val="ListParagraph"/>
        <w:numPr>
          <w:ilvl w:val="0"/>
          <w:numId w:val="25"/>
        </w:numPr>
        <w:tabs>
          <w:tab w:pos="2585" w:val="left" w:leader="none"/>
          <w:tab w:pos="2587" w:val="left" w:leader="none"/>
        </w:tabs>
        <w:spacing w:line="360" w:lineRule="auto" w:before="0" w:after="0"/>
        <w:ind w:left="2587" w:right="161" w:hanging="361"/>
        <w:jc w:val="both"/>
        <w:rPr>
          <w:sz w:val="24"/>
        </w:rPr>
      </w:pPr>
      <w:r>
        <w:rPr>
          <w:sz w:val="24"/>
        </w:rPr>
        <w:t>Koefisien</w:t>
      </w:r>
      <w:r>
        <w:rPr>
          <w:spacing w:val="-3"/>
          <w:sz w:val="24"/>
        </w:rPr>
        <w:t> </w:t>
      </w:r>
      <w:r>
        <w:rPr>
          <w:sz w:val="24"/>
        </w:rPr>
        <w:t>inflasi</w:t>
      </w:r>
      <w:r>
        <w:rPr>
          <w:spacing w:val="-1"/>
          <w:sz w:val="24"/>
        </w:rPr>
        <w:t> </w:t>
      </w:r>
      <w:r>
        <w:rPr>
          <w:sz w:val="24"/>
        </w:rPr>
        <w:t>(X3)</w:t>
      </w:r>
      <w:r>
        <w:rPr>
          <w:spacing w:val="-3"/>
          <w:sz w:val="24"/>
        </w:rPr>
        <w:t> </w:t>
      </w:r>
      <w:r>
        <w:rPr>
          <w:sz w:val="24"/>
        </w:rPr>
        <w:t>sebesar</w:t>
      </w:r>
      <w:r>
        <w:rPr>
          <w:spacing w:val="-2"/>
          <w:sz w:val="24"/>
        </w:rPr>
        <w:t> </w:t>
      </w:r>
      <w:r>
        <w:rPr>
          <w:sz w:val="24"/>
        </w:rPr>
        <w:t>0,005605</w:t>
      </w:r>
      <w:r>
        <w:rPr>
          <w:spacing w:val="-2"/>
          <w:sz w:val="24"/>
        </w:rPr>
        <w:t> </w:t>
      </w:r>
      <w:r>
        <w:rPr>
          <w:sz w:val="24"/>
        </w:rPr>
        <w:t>artinya</w:t>
      </w:r>
      <w:r>
        <w:rPr>
          <w:spacing w:val="-3"/>
          <w:sz w:val="24"/>
        </w:rPr>
        <w:t> </w:t>
      </w:r>
      <w:r>
        <w:rPr>
          <w:sz w:val="24"/>
        </w:rPr>
        <w:t>apabila</w:t>
      </w:r>
      <w:r>
        <w:rPr>
          <w:spacing w:val="-2"/>
          <w:sz w:val="24"/>
        </w:rPr>
        <w:t> </w:t>
      </w:r>
      <w:r>
        <w:rPr>
          <w:sz w:val="24"/>
        </w:rPr>
        <w:t>inflasi</w:t>
      </w:r>
      <w:r>
        <w:rPr>
          <w:spacing w:val="-1"/>
          <w:sz w:val="24"/>
        </w:rPr>
        <w:t> </w:t>
      </w:r>
      <w:r>
        <w:rPr>
          <w:sz w:val="24"/>
        </w:rPr>
        <w:t>naik 1% maka Indeks Saham Syariah Indonesia (Y) akan mengalami kenaikan sebesar 0,005605%.</w:t>
      </w:r>
    </w:p>
    <w:p>
      <w:pPr>
        <w:pStyle w:val="ListParagraph"/>
        <w:numPr>
          <w:ilvl w:val="0"/>
          <w:numId w:val="25"/>
        </w:numPr>
        <w:tabs>
          <w:tab w:pos="2585" w:val="left" w:leader="none"/>
          <w:tab w:pos="2587" w:val="left" w:leader="none"/>
        </w:tabs>
        <w:spacing w:line="360" w:lineRule="auto" w:before="1" w:after="0"/>
        <w:ind w:left="2587" w:right="160" w:hanging="361"/>
        <w:jc w:val="both"/>
        <w:rPr>
          <w:sz w:val="24"/>
        </w:rPr>
      </w:pPr>
      <w:r>
        <w:rPr>
          <w:sz w:val="24"/>
        </w:rPr>
        <w:t>Koefisien Indeks Produksi Industri (X4) sebesar 0,469894 artinya apabila inflasi naik 1% maka Indeks Saham Syariah Indonesia (Y) akan mengalami kenaikan sebesar 0,469894%.</w:t>
      </w:r>
    </w:p>
    <w:p>
      <w:pPr>
        <w:pStyle w:val="Heading2"/>
        <w:numPr>
          <w:ilvl w:val="1"/>
          <w:numId w:val="24"/>
        </w:numPr>
        <w:tabs>
          <w:tab w:pos="742" w:val="left" w:leader="none"/>
        </w:tabs>
        <w:spacing w:line="240" w:lineRule="auto" w:before="159" w:after="0"/>
        <w:ind w:left="742" w:right="0" w:hanging="359"/>
        <w:jc w:val="both"/>
      </w:pPr>
      <w:bookmarkStart w:name="_bookmark161" w:id="162"/>
      <w:bookmarkEnd w:id="162"/>
      <w:r>
        <w:rPr>
          <w:b w:val="0"/>
        </w:rPr>
      </w:r>
      <w:r>
        <w:rPr/>
        <w:t>Hasil dan</w:t>
      </w:r>
      <w:r>
        <w:rPr>
          <w:spacing w:val="1"/>
        </w:rPr>
        <w:t> </w:t>
      </w:r>
      <w:r>
        <w:rPr>
          <w:spacing w:val="-2"/>
        </w:rPr>
        <w:t>Pembahasan</w:t>
      </w:r>
    </w:p>
    <w:p>
      <w:pPr>
        <w:pStyle w:val="BodyText"/>
        <w:spacing w:before="22"/>
        <w:rPr>
          <w:b/>
        </w:rPr>
      </w:pPr>
    </w:p>
    <w:p>
      <w:pPr>
        <w:pStyle w:val="ListParagraph"/>
        <w:numPr>
          <w:ilvl w:val="2"/>
          <w:numId w:val="24"/>
        </w:numPr>
        <w:tabs>
          <w:tab w:pos="1463" w:val="left" w:leader="none"/>
        </w:tabs>
        <w:spacing w:line="360" w:lineRule="auto" w:before="0" w:after="0"/>
        <w:ind w:left="1463" w:right="163" w:hanging="732"/>
        <w:jc w:val="both"/>
        <w:rPr>
          <w:b/>
          <w:sz w:val="24"/>
        </w:rPr>
      </w:pPr>
      <w:bookmarkStart w:name="_bookmark162" w:id="163"/>
      <w:bookmarkEnd w:id="163"/>
      <w:r>
        <w:rPr/>
      </w:r>
      <w:r>
        <w:rPr>
          <w:b/>
          <w:sz w:val="24"/>
        </w:rPr>
        <w:t>Pengaruh Indeks</w:t>
      </w:r>
      <w:r>
        <w:rPr>
          <w:b/>
          <w:spacing w:val="-3"/>
          <w:sz w:val="24"/>
        </w:rPr>
        <w:t> </w:t>
      </w:r>
      <w:r>
        <w:rPr>
          <w:b/>
          <w:sz w:val="24"/>
        </w:rPr>
        <w:t>Keyakinan</w:t>
      </w:r>
      <w:r>
        <w:rPr>
          <w:b/>
          <w:spacing w:val="-2"/>
          <w:sz w:val="24"/>
        </w:rPr>
        <w:t> </w:t>
      </w:r>
      <w:r>
        <w:rPr>
          <w:b/>
          <w:sz w:val="24"/>
        </w:rPr>
        <w:t>Konsumen Terhadap Indeks</w:t>
      </w:r>
      <w:r>
        <w:rPr>
          <w:b/>
          <w:spacing w:val="-1"/>
          <w:sz w:val="24"/>
        </w:rPr>
        <w:t> </w:t>
      </w:r>
      <w:r>
        <w:rPr>
          <w:b/>
          <w:sz w:val="24"/>
        </w:rPr>
        <w:t>Saham</w:t>
      </w:r>
      <w:r>
        <w:rPr>
          <w:b/>
          <w:spacing w:val="-2"/>
          <w:sz w:val="24"/>
        </w:rPr>
        <w:t> </w:t>
      </w:r>
      <w:r>
        <w:rPr>
          <w:b/>
          <w:sz w:val="24"/>
        </w:rPr>
        <w:t>Syariah </w:t>
      </w:r>
      <w:r>
        <w:rPr>
          <w:b/>
          <w:spacing w:val="-2"/>
          <w:sz w:val="24"/>
        </w:rPr>
        <w:t>Indonesia</w:t>
      </w:r>
    </w:p>
    <w:p>
      <w:pPr>
        <w:pStyle w:val="BodyText"/>
        <w:spacing w:line="360" w:lineRule="auto" w:before="161"/>
        <w:ind w:left="1463" w:right="161" w:firstLine="720"/>
        <w:jc w:val="both"/>
      </w:pPr>
      <w:r>
        <w:rPr/>
        <w:t>Hasil pengujian analisis regresi menunjukan hasil t-statistic untuk variabel independen Indeks Keyakinan Konsumen (X1) sebesar 4,207465 dengan nilai koefisien regresi sebesar 0,423724 dan nilai probabilitas sebesar 0.0001 &lt; 0,05 maka dapat disimpulkan bahwa Indeks Keyakinan Konsumen berpengaruh</w:t>
      </w:r>
      <w:r>
        <w:rPr>
          <w:spacing w:val="-13"/>
        </w:rPr>
        <w:t> </w:t>
      </w:r>
      <w:r>
        <w:rPr/>
        <w:t>positif</w:t>
      </w:r>
      <w:r>
        <w:rPr>
          <w:spacing w:val="-13"/>
        </w:rPr>
        <w:t> </w:t>
      </w:r>
      <w:r>
        <w:rPr/>
        <w:t>dan</w:t>
      </w:r>
      <w:r>
        <w:rPr>
          <w:spacing w:val="-13"/>
        </w:rPr>
        <w:t> </w:t>
      </w:r>
      <w:r>
        <w:rPr/>
        <w:t>berpengaruh</w:t>
      </w:r>
      <w:r>
        <w:rPr>
          <w:spacing w:val="-13"/>
        </w:rPr>
        <w:t> </w:t>
      </w:r>
      <w:r>
        <w:rPr/>
        <w:t>signifikan</w:t>
      </w:r>
      <w:r>
        <w:rPr>
          <w:spacing w:val="-13"/>
        </w:rPr>
        <w:t> </w:t>
      </w:r>
      <w:r>
        <w:rPr/>
        <w:t>terhadap</w:t>
      </w:r>
      <w:r>
        <w:rPr>
          <w:spacing w:val="-10"/>
        </w:rPr>
        <w:t> </w:t>
      </w:r>
      <w:r>
        <w:rPr/>
        <w:t>Indeks</w:t>
      </w:r>
      <w:r>
        <w:rPr>
          <w:spacing w:val="-12"/>
        </w:rPr>
        <w:t> </w:t>
      </w:r>
      <w:r>
        <w:rPr/>
        <w:t>Saham</w:t>
      </w:r>
      <w:r>
        <w:rPr>
          <w:spacing w:val="-12"/>
        </w:rPr>
        <w:t> </w:t>
      </w:r>
      <w:r>
        <w:rPr/>
        <w:t>Syariah </w:t>
      </w:r>
      <w:r>
        <w:rPr>
          <w:spacing w:val="-2"/>
        </w:rPr>
        <w:t>Indonesia.</w:t>
      </w:r>
    </w:p>
    <w:p>
      <w:pPr>
        <w:pStyle w:val="BodyText"/>
        <w:spacing w:line="360" w:lineRule="auto" w:before="1"/>
        <w:ind w:left="1463" w:right="160" w:firstLine="720"/>
        <w:jc w:val="both"/>
      </w:pPr>
      <w:r>
        <w:rPr/>
        <w:t>Indeks</w:t>
      </w:r>
      <w:r>
        <w:rPr>
          <w:spacing w:val="80"/>
        </w:rPr>
        <w:t> </w:t>
      </w:r>
      <w:r>
        <w:rPr/>
        <w:t>Keyakinan</w:t>
      </w:r>
      <w:r>
        <w:rPr>
          <w:spacing w:val="80"/>
        </w:rPr>
        <w:t> </w:t>
      </w:r>
      <w:r>
        <w:rPr/>
        <w:t>Konsumen</w:t>
      </w:r>
      <w:r>
        <w:rPr>
          <w:spacing w:val="80"/>
        </w:rPr>
        <w:t> </w:t>
      </w:r>
      <w:r>
        <w:rPr/>
        <w:t>(IKK)</w:t>
      </w:r>
      <w:r>
        <w:rPr>
          <w:spacing w:val="80"/>
        </w:rPr>
        <w:t> </w:t>
      </w:r>
      <w:r>
        <w:rPr/>
        <w:t>merupakan salah</w:t>
      </w:r>
      <w:r>
        <w:rPr>
          <w:spacing w:val="80"/>
        </w:rPr>
        <w:t> </w:t>
      </w:r>
      <w:r>
        <w:rPr/>
        <w:t>satu indikator</w:t>
      </w:r>
      <w:r>
        <w:rPr>
          <w:spacing w:val="-3"/>
        </w:rPr>
        <w:t> </w:t>
      </w:r>
      <w:r>
        <w:rPr/>
        <w:t>penting</w:t>
      </w:r>
      <w:r>
        <w:rPr>
          <w:spacing w:val="40"/>
        </w:rPr>
        <w:t> </w:t>
      </w:r>
      <w:r>
        <w:rPr/>
        <w:t>yang</w:t>
      </w:r>
      <w:r>
        <w:rPr>
          <w:spacing w:val="-3"/>
        </w:rPr>
        <w:t> </w:t>
      </w:r>
      <w:r>
        <w:rPr/>
        <w:t>mencerminkan</w:t>
      </w:r>
      <w:r>
        <w:rPr>
          <w:spacing w:val="40"/>
        </w:rPr>
        <w:t> </w:t>
      </w:r>
      <w:r>
        <w:rPr/>
        <w:t>tingkat optimisme</w:t>
      </w:r>
      <w:r>
        <w:rPr>
          <w:spacing w:val="40"/>
        </w:rPr>
        <w:t> </w:t>
      </w:r>
      <w:r>
        <w:rPr/>
        <w:t>atau</w:t>
      </w:r>
      <w:r>
        <w:rPr>
          <w:spacing w:val="-3"/>
        </w:rPr>
        <w:t> </w:t>
      </w:r>
      <w:r>
        <w:rPr/>
        <w:t>pesimisme konsumen terhadap</w:t>
      </w:r>
      <w:r>
        <w:rPr>
          <w:spacing w:val="-3"/>
        </w:rPr>
        <w:t> </w:t>
      </w:r>
      <w:r>
        <w:rPr/>
        <w:t>kondisi ekonomi</w:t>
      </w:r>
      <w:r>
        <w:rPr>
          <w:spacing w:val="-2"/>
        </w:rPr>
        <w:t> </w:t>
      </w:r>
      <w:r>
        <w:rPr/>
        <w:t>saat ini dan</w:t>
      </w:r>
      <w:r>
        <w:rPr>
          <w:spacing w:val="-5"/>
        </w:rPr>
        <w:t> </w:t>
      </w:r>
      <w:r>
        <w:rPr/>
        <w:t>masa depan. Dalam</w:t>
      </w:r>
      <w:r>
        <w:rPr>
          <w:spacing w:val="-2"/>
        </w:rPr>
        <w:t> </w:t>
      </w:r>
      <w:r>
        <w:rPr/>
        <w:t>konteks pasar</w:t>
      </w:r>
      <w:r>
        <w:rPr>
          <w:spacing w:val="-4"/>
        </w:rPr>
        <w:t> </w:t>
      </w:r>
      <w:r>
        <w:rPr/>
        <w:t>modal, khususnya pasar saham</w:t>
      </w:r>
      <w:r>
        <w:rPr>
          <w:spacing w:val="-1"/>
        </w:rPr>
        <w:t> </w:t>
      </w:r>
      <w:r>
        <w:rPr/>
        <w:t>syariah yang</w:t>
      </w:r>
      <w:r>
        <w:rPr>
          <w:spacing w:val="-3"/>
        </w:rPr>
        <w:t> </w:t>
      </w:r>
      <w:r>
        <w:rPr/>
        <w:t>diwakili oleh</w:t>
      </w:r>
      <w:r>
        <w:rPr>
          <w:spacing w:val="-1"/>
        </w:rPr>
        <w:t> </w:t>
      </w:r>
      <w:r>
        <w:rPr/>
        <w:t>Indeks Saham Syariah</w:t>
      </w:r>
      <w:r>
        <w:rPr>
          <w:spacing w:val="-9"/>
        </w:rPr>
        <w:t> </w:t>
      </w:r>
      <w:r>
        <w:rPr/>
        <w:t>Indonesia</w:t>
      </w:r>
      <w:r>
        <w:rPr>
          <w:spacing w:val="-5"/>
        </w:rPr>
        <w:t> </w:t>
      </w:r>
      <w:r>
        <w:rPr/>
        <w:t>(ISSI),</w:t>
      </w:r>
      <w:r>
        <w:rPr>
          <w:spacing w:val="-8"/>
        </w:rPr>
        <w:t> </w:t>
      </w:r>
      <w:r>
        <w:rPr/>
        <w:t>IKK</w:t>
      </w:r>
      <w:r>
        <w:rPr>
          <w:spacing w:val="-13"/>
        </w:rPr>
        <w:t> </w:t>
      </w:r>
      <w:r>
        <w:rPr/>
        <w:t>dapat</w:t>
      </w:r>
      <w:r>
        <w:rPr>
          <w:spacing w:val="-3"/>
        </w:rPr>
        <w:t> </w:t>
      </w:r>
      <w:r>
        <w:rPr/>
        <w:t>menjadi</w:t>
      </w:r>
      <w:r>
        <w:rPr>
          <w:spacing w:val="-9"/>
        </w:rPr>
        <w:t> </w:t>
      </w:r>
      <w:r>
        <w:rPr/>
        <w:t>variabel</w:t>
      </w:r>
      <w:r>
        <w:rPr>
          <w:spacing w:val="-11"/>
        </w:rPr>
        <w:t> </w:t>
      </w:r>
      <w:r>
        <w:rPr/>
        <w:t>yang</w:t>
      </w:r>
      <w:r>
        <w:rPr>
          <w:spacing w:val="-12"/>
        </w:rPr>
        <w:t> </w:t>
      </w:r>
      <w:r>
        <w:rPr/>
        <w:t>sangat</w:t>
      </w:r>
      <w:r>
        <w:rPr>
          <w:spacing w:val="-4"/>
        </w:rPr>
        <w:t> </w:t>
      </w:r>
      <w:r>
        <w:rPr/>
        <w:t>berpengaruh karena</w:t>
      </w:r>
      <w:r>
        <w:rPr>
          <w:spacing w:val="-5"/>
        </w:rPr>
        <w:t> </w:t>
      </w:r>
      <w:r>
        <w:rPr/>
        <w:t>sentimen</w:t>
      </w:r>
      <w:r>
        <w:rPr>
          <w:spacing w:val="40"/>
        </w:rPr>
        <w:t> </w:t>
      </w:r>
      <w:r>
        <w:rPr/>
        <w:t>konsumen</w:t>
      </w:r>
      <w:r>
        <w:rPr>
          <w:spacing w:val="40"/>
        </w:rPr>
        <w:t> </w:t>
      </w:r>
      <w:r>
        <w:rPr/>
        <w:t>secara</w:t>
      </w:r>
      <w:r>
        <w:rPr>
          <w:spacing w:val="40"/>
        </w:rPr>
        <w:t> </w:t>
      </w:r>
      <w:r>
        <w:rPr/>
        <w:t>langsung memengaruhi</w:t>
      </w:r>
      <w:r>
        <w:rPr>
          <w:spacing w:val="40"/>
        </w:rPr>
        <w:t> </w:t>
      </w:r>
      <w:r>
        <w:rPr/>
        <w:t>pola</w:t>
      </w:r>
      <w:r>
        <w:rPr>
          <w:spacing w:val="-3"/>
        </w:rPr>
        <w:t> </w:t>
      </w:r>
      <w:r>
        <w:rPr/>
        <w:t>konsumsi, investasi, dan kepercayaan pasar</w:t>
      </w:r>
      <w:r>
        <w:rPr>
          <w:spacing w:val="-1"/>
        </w:rPr>
        <w:t> </w:t>
      </w:r>
      <w:r>
        <w:rPr/>
        <w:t>secara keseluruhan. Pengaruh IKK terhadap ISSI dapat dijelaskan melalui mekanisme diantaranya ialah ketika konsumen yakin</w:t>
      </w:r>
      <w:r>
        <w:rPr>
          <w:spacing w:val="-15"/>
        </w:rPr>
        <w:t> </w:t>
      </w:r>
      <w:r>
        <w:rPr/>
        <w:t>terhadap</w:t>
      </w:r>
      <w:r>
        <w:rPr>
          <w:spacing w:val="-15"/>
        </w:rPr>
        <w:t> </w:t>
      </w:r>
      <w:r>
        <w:rPr/>
        <w:t>kondisi</w:t>
      </w:r>
      <w:r>
        <w:rPr>
          <w:spacing w:val="-15"/>
        </w:rPr>
        <w:t> </w:t>
      </w:r>
      <w:r>
        <w:rPr/>
        <w:t>ekonomi,</w:t>
      </w:r>
      <w:r>
        <w:rPr>
          <w:spacing w:val="-15"/>
        </w:rPr>
        <w:t> </w:t>
      </w:r>
      <w:r>
        <w:rPr/>
        <w:t>mereka</w:t>
      </w:r>
      <w:r>
        <w:rPr>
          <w:spacing w:val="-15"/>
        </w:rPr>
        <w:t> </w:t>
      </w:r>
      <w:r>
        <w:rPr/>
        <w:t>lebih</w:t>
      </w:r>
      <w:r>
        <w:rPr>
          <w:spacing w:val="-15"/>
        </w:rPr>
        <w:t> </w:t>
      </w:r>
      <w:r>
        <w:rPr/>
        <w:t>cenderung</w:t>
      </w:r>
      <w:r>
        <w:rPr>
          <w:spacing w:val="-15"/>
        </w:rPr>
        <w:t> </w:t>
      </w:r>
      <w:r>
        <w:rPr/>
        <w:t>melakukan</w:t>
      </w:r>
      <w:r>
        <w:rPr>
          <w:spacing w:val="-15"/>
        </w:rPr>
        <w:t> </w:t>
      </w:r>
      <w:r>
        <w:rPr/>
        <w:t>pembelian barang</w:t>
      </w:r>
      <w:r>
        <w:rPr>
          <w:spacing w:val="24"/>
        </w:rPr>
        <w:t> </w:t>
      </w:r>
      <w:r>
        <w:rPr/>
        <w:t>dan</w:t>
      </w:r>
      <w:r>
        <w:rPr>
          <w:spacing w:val="27"/>
        </w:rPr>
        <w:t> </w:t>
      </w:r>
      <w:r>
        <w:rPr/>
        <w:t>jasa,</w:t>
      </w:r>
      <w:r>
        <w:rPr>
          <w:spacing w:val="26"/>
        </w:rPr>
        <w:t> </w:t>
      </w:r>
      <w:r>
        <w:rPr/>
        <w:t>sehingga</w:t>
      </w:r>
      <w:r>
        <w:rPr>
          <w:spacing w:val="26"/>
        </w:rPr>
        <w:t> </w:t>
      </w:r>
      <w:r>
        <w:rPr/>
        <w:t>meningkatkan</w:t>
      </w:r>
      <w:r>
        <w:rPr>
          <w:spacing w:val="26"/>
        </w:rPr>
        <w:t> </w:t>
      </w:r>
      <w:r>
        <w:rPr/>
        <w:t>pendapatan</w:t>
      </w:r>
      <w:r>
        <w:rPr>
          <w:spacing w:val="27"/>
        </w:rPr>
        <w:t> </w:t>
      </w:r>
      <w:r>
        <w:rPr/>
        <w:t>perusahaan.</w:t>
      </w:r>
      <w:r>
        <w:rPr>
          <w:spacing w:val="27"/>
        </w:rPr>
        <w:t> </w:t>
      </w:r>
      <w:r>
        <w:rPr>
          <w:spacing w:val="-2"/>
        </w:rPr>
        <w:t>Perusahaan</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1463" w:right="159"/>
        <w:jc w:val="both"/>
      </w:pPr>
      <w:r>
        <w:rPr/>
        <w:t>yang memenuhi kriteria syariah dan tercatat dalam ISSI akan mengalami peningkatan</w:t>
      </w:r>
      <w:r>
        <w:rPr>
          <w:spacing w:val="-4"/>
        </w:rPr>
        <w:t> </w:t>
      </w:r>
      <w:r>
        <w:rPr/>
        <w:t>laba,</w:t>
      </w:r>
      <w:r>
        <w:rPr>
          <w:spacing w:val="-4"/>
        </w:rPr>
        <w:t> </w:t>
      </w:r>
      <w:r>
        <w:rPr/>
        <w:t>yang</w:t>
      </w:r>
      <w:r>
        <w:rPr>
          <w:spacing w:val="-4"/>
        </w:rPr>
        <w:t> </w:t>
      </w:r>
      <w:r>
        <w:rPr/>
        <w:t>berdampak</w:t>
      </w:r>
      <w:r>
        <w:rPr>
          <w:spacing w:val="-4"/>
        </w:rPr>
        <w:t> </w:t>
      </w:r>
      <w:r>
        <w:rPr/>
        <w:t>positif</w:t>
      </w:r>
      <w:r>
        <w:rPr>
          <w:spacing w:val="-4"/>
        </w:rPr>
        <w:t> </w:t>
      </w:r>
      <w:r>
        <w:rPr/>
        <w:t>pada</w:t>
      </w:r>
      <w:r>
        <w:rPr>
          <w:spacing w:val="-5"/>
        </w:rPr>
        <w:t> </w:t>
      </w:r>
      <w:r>
        <w:rPr/>
        <w:t>harga</w:t>
      </w:r>
      <w:r>
        <w:rPr>
          <w:spacing w:val="-6"/>
        </w:rPr>
        <w:t> </w:t>
      </w:r>
      <w:r>
        <w:rPr/>
        <w:t>saham</w:t>
      </w:r>
      <w:r>
        <w:rPr>
          <w:spacing w:val="-4"/>
        </w:rPr>
        <w:t> </w:t>
      </w:r>
      <w:r>
        <w:rPr/>
        <w:t>mereka.</w:t>
      </w:r>
      <w:r>
        <w:rPr>
          <w:spacing w:val="-4"/>
        </w:rPr>
        <w:t> </w:t>
      </w:r>
      <w:r>
        <w:rPr/>
        <w:t>Selain</w:t>
      </w:r>
      <w:r>
        <w:rPr>
          <w:spacing w:val="-4"/>
        </w:rPr>
        <w:t> </w:t>
      </w:r>
      <w:r>
        <w:rPr/>
        <w:t>itu IKK yang tinggi juga meningkatkan kepercayaan investor terhadap stabilitas ekonomi dan prospek pasar modal syariah. Investor cenderung melakukan investasi lebih besar di saham syariah, sehingga mendorong kenaikan ISSI. Terakhir yakni Indeks Keyakinan konsumen yang positif dapat menciptakan efek psikologis yang luas di pasar modal, memperkuat optimisme investor dan mempercepat pergerakan harga saham syariah ke arah yang positif. Dengan demikian, IKK menjadi indikator penting yang dapat digunakan oleh investor, perusahaan, dan regulator untuk memahami dan mengantisipasi pergerakan pasar saham syariah. Penguatan dan pemantauan IKK secara berkala akan mendukung</w:t>
      </w:r>
      <w:r>
        <w:rPr>
          <w:spacing w:val="-12"/>
        </w:rPr>
        <w:t> </w:t>
      </w:r>
      <w:r>
        <w:rPr/>
        <w:t>stabilitas</w:t>
      </w:r>
      <w:r>
        <w:rPr>
          <w:spacing w:val="-12"/>
        </w:rPr>
        <w:t> </w:t>
      </w:r>
      <w:r>
        <w:rPr/>
        <w:t>dan</w:t>
      </w:r>
      <w:r>
        <w:rPr>
          <w:spacing w:val="-12"/>
        </w:rPr>
        <w:t> </w:t>
      </w:r>
      <w:r>
        <w:rPr/>
        <w:t>pertumbuhan</w:t>
      </w:r>
      <w:r>
        <w:rPr>
          <w:spacing w:val="-12"/>
        </w:rPr>
        <w:t> </w:t>
      </w:r>
      <w:r>
        <w:rPr/>
        <w:t>pasar</w:t>
      </w:r>
      <w:r>
        <w:rPr>
          <w:spacing w:val="-12"/>
        </w:rPr>
        <w:t> </w:t>
      </w:r>
      <w:r>
        <w:rPr/>
        <w:t>modal</w:t>
      </w:r>
      <w:r>
        <w:rPr>
          <w:spacing w:val="-11"/>
        </w:rPr>
        <w:t> </w:t>
      </w:r>
      <w:r>
        <w:rPr/>
        <w:t>syariah</w:t>
      </w:r>
      <w:r>
        <w:rPr>
          <w:spacing w:val="-12"/>
        </w:rPr>
        <w:t> </w:t>
      </w:r>
      <w:r>
        <w:rPr/>
        <w:t>di</w:t>
      </w:r>
      <w:r>
        <w:rPr>
          <w:spacing w:val="-11"/>
        </w:rPr>
        <w:t> </w:t>
      </w:r>
      <w:r>
        <w:rPr/>
        <w:t>Indonesia</w:t>
      </w:r>
      <w:r>
        <w:rPr>
          <w:spacing w:val="-12"/>
        </w:rPr>
        <w:t> </w:t>
      </w:r>
      <w:r>
        <w:rPr/>
        <w:t>secara berkelanjutan.</w:t>
      </w:r>
      <w:r>
        <w:rPr>
          <w:spacing w:val="-2"/>
        </w:rPr>
        <w:t> </w:t>
      </w:r>
      <w:r>
        <w:rPr/>
        <w:t>Berdasarkan</w:t>
      </w:r>
      <w:r>
        <w:rPr>
          <w:spacing w:val="-4"/>
        </w:rPr>
        <w:t> </w:t>
      </w:r>
      <w:r>
        <w:rPr/>
        <w:t>pernyataan</w:t>
      </w:r>
      <w:r>
        <w:rPr>
          <w:spacing w:val="-4"/>
        </w:rPr>
        <w:t> </w:t>
      </w:r>
      <w:r>
        <w:rPr/>
        <w:t>diatas</w:t>
      </w:r>
      <w:r>
        <w:rPr>
          <w:spacing w:val="-2"/>
        </w:rPr>
        <w:t> </w:t>
      </w:r>
      <w:r>
        <w:rPr/>
        <w:t>maka</w:t>
      </w:r>
      <w:r>
        <w:rPr>
          <w:spacing w:val="-5"/>
        </w:rPr>
        <w:t> </w:t>
      </w:r>
      <w:r>
        <w:rPr/>
        <w:t>sesuai</w:t>
      </w:r>
      <w:r>
        <w:rPr>
          <w:spacing w:val="-2"/>
        </w:rPr>
        <w:t> </w:t>
      </w:r>
      <w:r>
        <w:rPr/>
        <w:t>dengan</w:t>
      </w:r>
      <w:r>
        <w:rPr>
          <w:spacing w:val="-4"/>
        </w:rPr>
        <w:t> </w:t>
      </w:r>
      <w:r>
        <w:rPr/>
        <w:t>konsep</w:t>
      </w:r>
      <w:r>
        <w:rPr>
          <w:spacing w:val="-2"/>
        </w:rPr>
        <w:t> </w:t>
      </w:r>
      <w:r>
        <w:rPr/>
        <w:t>teori sinyal bahwasanya Indeks Keyakinan Konsumen menjadi sinyal positif bagi investor sebab dengan optimisme konsumen terhadap pertumbuhan ekonomi, maka</w:t>
      </w:r>
      <w:r>
        <w:rPr>
          <w:spacing w:val="-14"/>
        </w:rPr>
        <w:t> </w:t>
      </w:r>
      <w:r>
        <w:rPr/>
        <w:t>investor</w:t>
      </w:r>
      <w:r>
        <w:rPr>
          <w:spacing w:val="-14"/>
        </w:rPr>
        <w:t> </w:t>
      </w:r>
      <w:r>
        <w:rPr/>
        <w:t>akan</w:t>
      </w:r>
      <w:r>
        <w:rPr>
          <w:spacing w:val="-14"/>
        </w:rPr>
        <w:t> </w:t>
      </w:r>
      <w:r>
        <w:rPr/>
        <w:t>mempercayakan</w:t>
      </w:r>
      <w:r>
        <w:rPr>
          <w:spacing w:val="-14"/>
        </w:rPr>
        <w:t> </w:t>
      </w:r>
      <w:r>
        <w:rPr/>
        <w:t>produk</w:t>
      </w:r>
      <w:r>
        <w:rPr>
          <w:spacing w:val="-14"/>
        </w:rPr>
        <w:t> </w:t>
      </w:r>
      <w:r>
        <w:rPr/>
        <w:t>investasinya</w:t>
      </w:r>
      <w:r>
        <w:rPr>
          <w:spacing w:val="-14"/>
        </w:rPr>
        <w:t> </w:t>
      </w:r>
      <w:r>
        <w:rPr/>
        <w:t>pada</w:t>
      </w:r>
      <w:r>
        <w:rPr>
          <w:spacing w:val="-14"/>
        </w:rPr>
        <w:t> </w:t>
      </w:r>
      <w:r>
        <w:rPr/>
        <w:t>perusahaan</w:t>
      </w:r>
      <w:r>
        <w:rPr>
          <w:spacing w:val="-14"/>
        </w:rPr>
        <w:t> </w:t>
      </w:r>
      <w:r>
        <w:rPr/>
        <w:t>yang bergerak di bidang syariah. Pada akhirnya perusahaan akan menangkap sinyal tersebut yang menjadi pedoman dalam Indeks Saham Syariah Indonesia</w:t>
      </w:r>
    </w:p>
    <w:p>
      <w:pPr>
        <w:pStyle w:val="BodyText"/>
        <w:spacing w:line="360" w:lineRule="auto" w:before="2"/>
        <w:ind w:left="1463" w:right="160" w:firstLine="720"/>
        <w:jc w:val="both"/>
      </w:pPr>
      <w:r>
        <w:rPr/>
        <w:t>Hal</w:t>
      </w:r>
      <w:r>
        <w:rPr>
          <w:spacing w:val="-9"/>
        </w:rPr>
        <w:t> </w:t>
      </w:r>
      <w:r>
        <w:rPr/>
        <w:t>tersebut</w:t>
      </w:r>
      <w:r>
        <w:rPr>
          <w:spacing w:val="-9"/>
        </w:rPr>
        <w:t> </w:t>
      </w:r>
      <w:r>
        <w:rPr/>
        <w:t>didukung</w:t>
      </w:r>
      <w:r>
        <w:rPr>
          <w:spacing w:val="-9"/>
        </w:rPr>
        <w:t> </w:t>
      </w:r>
      <w:r>
        <w:rPr/>
        <w:t>oleh</w:t>
      </w:r>
      <w:r>
        <w:rPr>
          <w:spacing w:val="-10"/>
        </w:rPr>
        <w:t> </w:t>
      </w:r>
      <w:r>
        <w:rPr/>
        <w:t>penelitian</w:t>
      </w:r>
      <w:r>
        <w:rPr>
          <w:spacing w:val="-9"/>
        </w:rPr>
        <w:t> </w:t>
      </w:r>
      <w:r>
        <w:rPr/>
        <w:t>yang</w:t>
      </w:r>
      <w:r>
        <w:rPr>
          <w:spacing w:val="-9"/>
        </w:rPr>
        <w:t> </w:t>
      </w:r>
      <w:r>
        <w:rPr/>
        <w:t>dilakukan</w:t>
      </w:r>
      <w:r>
        <w:rPr>
          <w:spacing w:val="-9"/>
        </w:rPr>
        <w:t> </w:t>
      </w:r>
      <w:r>
        <w:rPr/>
        <w:t>oleh</w:t>
      </w:r>
      <w:r>
        <w:rPr>
          <w:spacing w:val="-10"/>
        </w:rPr>
        <w:t> </w:t>
      </w:r>
      <w:r>
        <w:rPr/>
        <w:t>Rizki</w:t>
      </w:r>
      <w:r>
        <w:rPr>
          <w:spacing w:val="-9"/>
        </w:rPr>
        <w:t> </w:t>
      </w:r>
      <w:r>
        <w:rPr/>
        <w:t>Fadhel menyebutkan bahwa tingkat keyakinan konsumen yang tercermin dalam data IKK berwujud dua kondisi, yaitu optimis dan pesimis.</w:t>
      </w:r>
      <w:hyperlink w:history="true" w:anchor="_bookmark164">
        <w:r>
          <w:rPr>
            <w:vertAlign w:val="superscript"/>
          </w:rPr>
          <w:t>97</w:t>
        </w:r>
      </w:hyperlink>
      <w:r>
        <w:rPr>
          <w:vertAlign w:val="baseline"/>
        </w:rPr>
        <w:t> Investor yang optimis (IKK di atas 100) cenderung mendorong nilai aset, termasuk saham syariah, lebih tinggi dari nilai fundamentalnya. Hal ini menunjukkan bahwa IKK berpengaruh positif terhadap ISSI melalui sentimen investor yang optimis.</w:t>
      </w:r>
    </w:p>
    <w:p>
      <w:pPr>
        <w:pStyle w:val="Heading2"/>
        <w:numPr>
          <w:ilvl w:val="2"/>
          <w:numId w:val="24"/>
        </w:numPr>
        <w:tabs>
          <w:tab w:pos="1463" w:val="left" w:leader="none"/>
        </w:tabs>
        <w:spacing w:line="240" w:lineRule="auto" w:before="159" w:after="0"/>
        <w:ind w:left="1463" w:right="0" w:hanging="732"/>
        <w:jc w:val="both"/>
      </w:pPr>
      <w:bookmarkStart w:name="_bookmark163" w:id="164"/>
      <w:bookmarkEnd w:id="164"/>
      <w:r>
        <w:rPr>
          <w:b w:val="0"/>
        </w:rPr>
      </w:r>
      <w:r>
        <w:rPr/>
        <w:t>Pengaruh</w:t>
      </w:r>
      <w:r>
        <w:rPr>
          <w:spacing w:val="-4"/>
        </w:rPr>
        <w:t> </w:t>
      </w:r>
      <w:r>
        <w:rPr/>
        <w:t>Nilai</w:t>
      </w:r>
      <w:r>
        <w:rPr>
          <w:spacing w:val="-3"/>
        </w:rPr>
        <w:t> </w:t>
      </w:r>
      <w:r>
        <w:rPr/>
        <w:t>Tukar</w:t>
      </w:r>
      <w:r>
        <w:rPr>
          <w:spacing w:val="-4"/>
        </w:rPr>
        <w:t> </w:t>
      </w:r>
      <w:r>
        <w:rPr/>
        <w:t>Terhadap</w:t>
      </w:r>
      <w:r>
        <w:rPr>
          <w:spacing w:val="-3"/>
        </w:rPr>
        <w:t> </w:t>
      </w:r>
      <w:r>
        <w:rPr/>
        <w:t>Indeks</w:t>
      </w:r>
      <w:r>
        <w:rPr>
          <w:spacing w:val="-4"/>
        </w:rPr>
        <w:t> </w:t>
      </w:r>
      <w:r>
        <w:rPr/>
        <w:t>Saham</w:t>
      </w:r>
      <w:r>
        <w:rPr>
          <w:spacing w:val="-2"/>
        </w:rPr>
        <w:t> </w:t>
      </w:r>
      <w:r>
        <w:rPr/>
        <w:t>Syariah</w:t>
      </w:r>
      <w:r>
        <w:rPr>
          <w:spacing w:val="-1"/>
        </w:rPr>
        <w:t> </w:t>
      </w:r>
      <w:r>
        <w:rPr>
          <w:spacing w:val="-2"/>
        </w:rPr>
        <w:t>Indonesia</w:t>
      </w:r>
    </w:p>
    <w:p>
      <w:pPr>
        <w:pStyle w:val="BodyText"/>
        <w:spacing w:before="22"/>
        <w:rPr>
          <w:b/>
        </w:rPr>
      </w:pPr>
    </w:p>
    <w:p>
      <w:pPr>
        <w:pStyle w:val="BodyText"/>
        <w:spacing w:line="360" w:lineRule="auto"/>
        <w:ind w:left="1463" w:right="162" w:firstLine="720"/>
        <w:jc w:val="both"/>
      </w:pPr>
      <w:r>
        <w:rPr/>
        <w:t>Hasil pengujian analisis regresi menunjukan hasil t-statistic untuk variabel independen nilai tukar (X2) sebesar 1,593509 dengan nilai koefisien regresi sebesar 0,417918 dan nilai probabilitas sebesar 0,1168 &gt; 0,05 maka dapat disimpulkan bahwa nilai tukar berpengaruh positif dan tidak signifikan terhadap Indeks Saham.</w:t>
      </w:r>
    </w:p>
    <w:p>
      <w:pPr>
        <w:pStyle w:val="BodyText"/>
        <w:rPr>
          <w:sz w:val="20"/>
        </w:rPr>
      </w:pPr>
    </w:p>
    <w:p>
      <w:pPr>
        <w:pStyle w:val="BodyText"/>
        <w:rPr>
          <w:sz w:val="20"/>
        </w:rPr>
      </w:pPr>
    </w:p>
    <w:p>
      <w:pPr>
        <w:pStyle w:val="BodyText"/>
        <w:spacing w:before="162"/>
        <w:rPr>
          <w:sz w:val="20"/>
        </w:rPr>
      </w:pPr>
      <w:r>
        <w:rPr>
          <w:sz w:val="20"/>
        </w:rPr>
        <mc:AlternateContent>
          <mc:Choice Requires="wps">
            <w:drawing>
              <wp:anchor distT="0" distB="0" distL="0" distR="0" allowOverlap="1" layoutInCell="1" locked="0" behindDoc="1" simplePos="0" relativeHeight="487623168">
                <wp:simplePos x="0" y="0"/>
                <wp:positionH relativeFrom="page">
                  <wp:posOffset>914704</wp:posOffset>
                </wp:positionH>
                <wp:positionV relativeFrom="paragraph">
                  <wp:posOffset>264430</wp:posOffset>
                </wp:positionV>
                <wp:extent cx="1829435" cy="9525"/>
                <wp:effectExtent l="0" t="0" r="0" b="0"/>
                <wp:wrapTopAndBottom/>
                <wp:docPr id="347" name="Graphic 347"/>
                <wp:cNvGraphicFramePr>
                  <a:graphicFrameLocks/>
                </wp:cNvGraphicFramePr>
                <a:graphic>
                  <a:graphicData uri="http://schemas.microsoft.com/office/word/2010/wordprocessingShape">
                    <wps:wsp>
                      <wps:cNvPr id="347" name="Graphic 347"/>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821304pt;width:144.020pt;height:.71997pt;mso-position-horizontal-relative:page;mso-position-vertical-relative:paragraph;z-index:-15693312;mso-wrap-distance-left:0;mso-wrap-distance-right:0" id="docshape319" filled="true" fillcolor="#000000" stroked="false">
                <v:fill type="solid"/>
                <w10:wrap type="topAndBottom"/>
              </v:rect>
            </w:pict>
          </mc:Fallback>
        </mc:AlternateContent>
      </w:r>
    </w:p>
    <w:p>
      <w:pPr>
        <w:spacing w:before="101"/>
        <w:ind w:left="743" w:right="0" w:firstLine="0"/>
        <w:jc w:val="left"/>
        <w:rPr>
          <w:sz w:val="20"/>
        </w:rPr>
      </w:pPr>
      <w:bookmarkStart w:name="_bookmark164" w:id="165"/>
      <w:bookmarkEnd w:id="165"/>
      <w:r>
        <w:rPr/>
      </w:r>
      <w:r>
        <w:rPr>
          <w:sz w:val="20"/>
          <w:vertAlign w:val="superscript"/>
        </w:rPr>
        <w:t>97</w:t>
      </w:r>
      <w:r>
        <w:rPr>
          <w:spacing w:val="-4"/>
          <w:sz w:val="20"/>
          <w:vertAlign w:val="baseline"/>
        </w:rPr>
        <w:t> </w:t>
      </w:r>
      <w:r>
        <w:rPr>
          <w:sz w:val="20"/>
          <w:vertAlign w:val="baseline"/>
        </w:rPr>
        <w:t>Fadhel,</w:t>
      </w:r>
      <w:r>
        <w:rPr>
          <w:spacing w:val="-4"/>
          <w:sz w:val="20"/>
          <w:vertAlign w:val="baseline"/>
        </w:rPr>
        <w:t> </w:t>
      </w:r>
      <w:r>
        <w:rPr>
          <w:sz w:val="20"/>
          <w:vertAlign w:val="baseline"/>
        </w:rPr>
        <w:t>Adrianto,</w:t>
      </w:r>
      <w:r>
        <w:rPr>
          <w:spacing w:val="-4"/>
          <w:sz w:val="20"/>
          <w:vertAlign w:val="baseline"/>
        </w:rPr>
        <w:t> </w:t>
      </w:r>
      <w:r>
        <w:rPr>
          <w:sz w:val="20"/>
          <w:vertAlign w:val="baseline"/>
        </w:rPr>
        <w:t>and</w:t>
      </w:r>
      <w:r>
        <w:rPr>
          <w:spacing w:val="-4"/>
          <w:sz w:val="20"/>
          <w:vertAlign w:val="baseline"/>
        </w:rPr>
        <w:t> </w:t>
      </w:r>
      <w:r>
        <w:rPr>
          <w:spacing w:val="-2"/>
          <w:sz w:val="20"/>
          <w:vertAlign w:val="baseline"/>
        </w:rPr>
        <w:t>Alfarisi.</w:t>
      </w:r>
    </w:p>
    <w:p>
      <w:pPr>
        <w:spacing w:after="0"/>
        <w:jc w:val="left"/>
        <w:rPr>
          <w:sz w:val="20"/>
        </w:rPr>
        <w:sectPr>
          <w:pgSz w:w="11910" w:h="16840"/>
          <w:pgMar w:header="0" w:footer="1000" w:top="1360" w:bottom="1200" w:left="1417" w:right="1275"/>
        </w:sectPr>
      </w:pPr>
    </w:p>
    <w:p>
      <w:pPr>
        <w:pStyle w:val="BodyText"/>
        <w:spacing w:line="360" w:lineRule="auto" w:before="60"/>
        <w:ind w:left="1463" w:right="160" w:firstLine="720"/>
        <w:jc w:val="both"/>
      </w:pPr>
      <w:r>
        <w:rPr/>
        <w:t>Secara teori, perubahan nilai tukar dapat memengaruhi pasar saham melalui beberapa jalur. Penguatan nilai tukar rupiah terhadap USD dapat meningkatkan</w:t>
      </w:r>
      <w:r>
        <w:rPr>
          <w:spacing w:val="-3"/>
        </w:rPr>
        <w:t> </w:t>
      </w:r>
      <w:r>
        <w:rPr/>
        <w:t>daya</w:t>
      </w:r>
      <w:r>
        <w:rPr>
          <w:spacing w:val="-3"/>
        </w:rPr>
        <w:t> </w:t>
      </w:r>
      <w:r>
        <w:rPr/>
        <w:t>beli</w:t>
      </w:r>
      <w:r>
        <w:rPr>
          <w:spacing w:val="-2"/>
        </w:rPr>
        <w:t> </w:t>
      </w:r>
      <w:r>
        <w:rPr/>
        <w:t>investor</w:t>
      </w:r>
      <w:r>
        <w:rPr>
          <w:spacing w:val="-3"/>
        </w:rPr>
        <w:t> </w:t>
      </w:r>
      <w:r>
        <w:rPr/>
        <w:t>asing</w:t>
      </w:r>
      <w:r>
        <w:rPr>
          <w:spacing w:val="-2"/>
        </w:rPr>
        <w:t> </w:t>
      </w:r>
      <w:r>
        <w:rPr/>
        <w:t>dan</w:t>
      </w:r>
      <w:r>
        <w:rPr>
          <w:spacing w:val="-2"/>
        </w:rPr>
        <w:t> </w:t>
      </w:r>
      <w:r>
        <w:rPr/>
        <w:t>domestik,</w:t>
      </w:r>
      <w:r>
        <w:rPr>
          <w:spacing w:val="-2"/>
        </w:rPr>
        <w:t> </w:t>
      </w:r>
      <w:r>
        <w:rPr/>
        <w:t>menurunkan</w:t>
      </w:r>
      <w:r>
        <w:rPr>
          <w:spacing w:val="-2"/>
        </w:rPr>
        <w:t> </w:t>
      </w:r>
      <w:r>
        <w:rPr/>
        <w:t>biaya</w:t>
      </w:r>
      <w:r>
        <w:rPr>
          <w:spacing w:val="-4"/>
        </w:rPr>
        <w:t> </w:t>
      </w:r>
      <w:r>
        <w:rPr/>
        <w:t>impor bahan</w:t>
      </w:r>
      <w:r>
        <w:rPr>
          <w:spacing w:val="-15"/>
        </w:rPr>
        <w:t> </w:t>
      </w:r>
      <w:r>
        <w:rPr/>
        <w:t>baku,</w:t>
      </w:r>
      <w:r>
        <w:rPr>
          <w:spacing w:val="-15"/>
        </w:rPr>
        <w:t> </w:t>
      </w:r>
      <w:r>
        <w:rPr/>
        <w:t>serta</w:t>
      </w:r>
      <w:r>
        <w:rPr>
          <w:spacing w:val="-15"/>
        </w:rPr>
        <w:t> </w:t>
      </w:r>
      <w:r>
        <w:rPr/>
        <w:t>meningkatkan</w:t>
      </w:r>
      <w:r>
        <w:rPr>
          <w:spacing w:val="-15"/>
        </w:rPr>
        <w:t> </w:t>
      </w:r>
      <w:r>
        <w:rPr/>
        <w:t>kepercayaan</w:t>
      </w:r>
      <w:r>
        <w:rPr>
          <w:spacing w:val="-15"/>
        </w:rPr>
        <w:t> </w:t>
      </w:r>
      <w:r>
        <w:rPr/>
        <w:t>pasar</w:t>
      </w:r>
      <w:r>
        <w:rPr>
          <w:spacing w:val="-15"/>
        </w:rPr>
        <w:t> </w:t>
      </w:r>
      <w:r>
        <w:rPr/>
        <w:t>terhadap</w:t>
      </w:r>
      <w:r>
        <w:rPr>
          <w:spacing w:val="-15"/>
        </w:rPr>
        <w:t> </w:t>
      </w:r>
      <w:r>
        <w:rPr/>
        <w:t>stabilitas</w:t>
      </w:r>
      <w:r>
        <w:rPr>
          <w:spacing w:val="-15"/>
        </w:rPr>
        <w:t> </w:t>
      </w:r>
      <w:r>
        <w:rPr/>
        <w:t>ekonomi. Hal ini dapat mendorong kenaikan harga saham, termasuk saham-saham yang tergabung dalam ISSI. Sebaliknya, pelemahan nilai tukar rupiah biasanya meningkatkan biaya impor dan inflasi, yang dapat menekan laba perusahaan dan menurunkan harga saham. Namun, bagi perusahaan yang berorientasi ekspor,</w:t>
      </w:r>
      <w:r>
        <w:rPr>
          <w:spacing w:val="-3"/>
        </w:rPr>
        <w:t> </w:t>
      </w:r>
      <w:r>
        <w:rPr/>
        <w:t>pelemahan</w:t>
      </w:r>
      <w:r>
        <w:rPr>
          <w:spacing w:val="-3"/>
        </w:rPr>
        <w:t> </w:t>
      </w:r>
      <w:r>
        <w:rPr/>
        <w:t>nilai</w:t>
      </w:r>
      <w:r>
        <w:rPr>
          <w:spacing w:val="-1"/>
        </w:rPr>
        <w:t> </w:t>
      </w:r>
      <w:r>
        <w:rPr/>
        <w:t>tukar</w:t>
      </w:r>
      <w:r>
        <w:rPr>
          <w:spacing w:val="-5"/>
        </w:rPr>
        <w:t> </w:t>
      </w:r>
      <w:r>
        <w:rPr/>
        <w:t>rupiah</w:t>
      </w:r>
      <w:r>
        <w:rPr>
          <w:spacing w:val="-3"/>
        </w:rPr>
        <w:t> </w:t>
      </w:r>
      <w:r>
        <w:rPr/>
        <w:t>dapat</w:t>
      </w:r>
      <w:r>
        <w:rPr>
          <w:spacing w:val="-3"/>
        </w:rPr>
        <w:t> </w:t>
      </w:r>
      <w:r>
        <w:rPr/>
        <w:t>meningkatkan</w:t>
      </w:r>
      <w:r>
        <w:rPr>
          <w:spacing w:val="-3"/>
        </w:rPr>
        <w:t> </w:t>
      </w:r>
      <w:r>
        <w:rPr/>
        <w:t>daya</w:t>
      </w:r>
      <w:r>
        <w:rPr>
          <w:spacing w:val="-4"/>
        </w:rPr>
        <w:t> </w:t>
      </w:r>
      <w:r>
        <w:rPr/>
        <w:t>saing</w:t>
      </w:r>
      <w:r>
        <w:rPr>
          <w:spacing w:val="-1"/>
        </w:rPr>
        <w:t> </w:t>
      </w:r>
      <w:r>
        <w:rPr/>
        <w:t>produk</w:t>
      </w:r>
      <w:r>
        <w:rPr>
          <w:spacing w:val="-3"/>
        </w:rPr>
        <w:t> </w:t>
      </w:r>
      <w:r>
        <w:rPr/>
        <w:t>di pasar internasional, yang berpotensi meningkatkan pendapatan dan harga saham. Pengaruh nilai tukar juga dipengaruhi oleh karakteristik perusahaan syariah yang cenderung menghindari kegiatan yang tidak sesuai prinsip syariah.</w:t>
      </w:r>
      <w:r>
        <w:rPr>
          <w:spacing w:val="-2"/>
        </w:rPr>
        <w:t> </w:t>
      </w:r>
      <w:r>
        <w:rPr/>
        <w:t>ISSI</w:t>
      </w:r>
      <w:r>
        <w:rPr>
          <w:spacing w:val="-1"/>
        </w:rPr>
        <w:t> </w:t>
      </w:r>
      <w:r>
        <w:rPr/>
        <w:t>mencakup berbagai sektor industri syariah, termasuk sektor yang tidak terlalu sensitif terhadap fluktuasi nilai tukar, sehingga efek nilai tukar menjadi teredam. Kedua, perusahaan syariah cenderung menghindari aktivitas spekulatif dan transaksi riba, sehingga dampak nilai tukar yang biasanya memengaruhi perusahaan konvensional mungkin kurang terasa. Ketiga faktor psikologis</w:t>
      </w:r>
      <w:r>
        <w:rPr>
          <w:spacing w:val="-15"/>
        </w:rPr>
        <w:t> </w:t>
      </w:r>
      <w:r>
        <w:rPr/>
        <w:t>dan</w:t>
      </w:r>
      <w:r>
        <w:rPr>
          <w:spacing w:val="-15"/>
        </w:rPr>
        <w:t> </w:t>
      </w:r>
      <w:r>
        <w:rPr/>
        <w:t>sentimen</w:t>
      </w:r>
      <w:r>
        <w:rPr>
          <w:spacing w:val="-15"/>
        </w:rPr>
        <w:t> </w:t>
      </w:r>
      <w:r>
        <w:rPr/>
        <w:t>pasar</w:t>
      </w:r>
      <w:r>
        <w:rPr>
          <w:spacing w:val="-15"/>
        </w:rPr>
        <w:t> </w:t>
      </w:r>
      <w:r>
        <w:rPr/>
        <w:t>yang</w:t>
      </w:r>
      <w:r>
        <w:rPr>
          <w:spacing w:val="-15"/>
        </w:rPr>
        <w:t> </w:t>
      </w:r>
      <w:r>
        <w:rPr/>
        <w:t>dipengaruhi</w:t>
      </w:r>
      <w:r>
        <w:rPr>
          <w:spacing w:val="-15"/>
        </w:rPr>
        <w:t> </w:t>
      </w:r>
      <w:r>
        <w:rPr/>
        <w:t>oleh</w:t>
      </w:r>
      <w:r>
        <w:rPr>
          <w:spacing w:val="-15"/>
        </w:rPr>
        <w:t> </w:t>
      </w:r>
      <w:r>
        <w:rPr/>
        <w:t>berita</w:t>
      </w:r>
      <w:r>
        <w:rPr>
          <w:spacing w:val="-15"/>
        </w:rPr>
        <w:t> </w:t>
      </w:r>
      <w:r>
        <w:rPr/>
        <w:t>global</w:t>
      </w:r>
      <w:r>
        <w:rPr>
          <w:spacing w:val="-15"/>
        </w:rPr>
        <w:t> </w:t>
      </w:r>
      <w:r>
        <w:rPr/>
        <w:t>dan</w:t>
      </w:r>
      <w:r>
        <w:rPr>
          <w:spacing w:val="-15"/>
        </w:rPr>
        <w:t> </w:t>
      </w:r>
      <w:r>
        <w:rPr/>
        <w:t>domestik juga dapat mengurangi sensitivitas ISSI terhadap perubahan nilai tukar.</w:t>
      </w:r>
    </w:p>
    <w:p>
      <w:pPr>
        <w:pStyle w:val="BodyText"/>
        <w:spacing w:line="360" w:lineRule="auto" w:before="1"/>
        <w:ind w:left="1463" w:right="159" w:firstLine="720"/>
        <w:jc w:val="both"/>
      </w:pPr>
      <w:r>
        <w:rPr/>
        <w:t>Penelitian oleh Avenda menyatakan bahwa nilai tukar tidak memiliki pengaruh signifikan terhadap ISSI.</w:t>
      </w:r>
      <w:hyperlink w:history="true" w:anchor="_bookmark166">
        <w:r>
          <w:rPr>
            <w:vertAlign w:val="superscript"/>
          </w:rPr>
          <w:t>98</w:t>
        </w:r>
      </w:hyperlink>
      <w:r>
        <w:rPr>
          <w:vertAlign w:val="baseline"/>
        </w:rPr>
        <w:t> Penelitian ini menjelaskan bahwa perusahaan</w:t>
      </w:r>
      <w:r>
        <w:rPr>
          <w:spacing w:val="-11"/>
          <w:vertAlign w:val="baseline"/>
        </w:rPr>
        <w:t> </w:t>
      </w:r>
      <w:r>
        <w:rPr>
          <w:vertAlign w:val="baseline"/>
        </w:rPr>
        <w:t>yang</w:t>
      </w:r>
      <w:r>
        <w:rPr>
          <w:spacing w:val="-11"/>
          <w:vertAlign w:val="baseline"/>
        </w:rPr>
        <w:t> </w:t>
      </w:r>
      <w:r>
        <w:rPr>
          <w:vertAlign w:val="baseline"/>
        </w:rPr>
        <w:t>masuk</w:t>
      </w:r>
      <w:r>
        <w:rPr>
          <w:spacing w:val="-11"/>
          <w:vertAlign w:val="baseline"/>
        </w:rPr>
        <w:t> </w:t>
      </w:r>
      <w:r>
        <w:rPr>
          <w:vertAlign w:val="baseline"/>
        </w:rPr>
        <w:t>dalam</w:t>
      </w:r>
      <w:r>
        <w:rPr>
          <w:spacing w:val="-8"/>
          <w:vertAlign w:val="baseline"/>
        </w:rPr>
        <w:t> </w:t>
      </w:r>
      <w:r>
        <w:rPr>
          <w:vertAlign w:val="baseline"/>
        </w:rPr>
        <w:t>ISSI</w:t>
      </w:r>
      <w:r>
        <w:rPr>
          <w:spacing w:val="-13"/>
          <w:vertAlign w:val="baseline"/>
        </w:rPr>
        <w:t> </w:t>
      </w:r>
      <w:r>
        <w:rPr>
          <w:vertAlign w:val="baseline"/>
        </w:rPr>
        <w:t>tidak</w:t>
      </w:r>
      <w:r>
        <w:rPr>
          <w:spacing w:val="-11"/>
          <w:vertAlign w:val="baseline"/>
        </w:rPr>
        <w:t> </w:t>
      </w:r>
      <w:r>
        <w:rPr>
          <w:vertAlign w:val="baseline"/>
        </w:rPr>
        <w:t>banyak</w:t>
      </w:r>
      <w:r>
        <w:rPr>
          <w:spacing w:val="-11"/>
          <w:vertAlign w:val="baseline"/>
        </w:rPr>
        <w:t> </w:t>
      </w:r>
      <w:r>
        <w:rPr>
          <w:vertAlign w:val="baseline"/>
        </w:rPr>
        <w:t>yang</w:t>
      </w:r>
      <w:r>
        <w:rPr>
          <w:spacing w:val="-11"/>
          <w:vertAlign w:val="baseline"/>
        </w:rPr>
        <w:t> </w:t>
      </w:r>
      <w:r>
        <w:rPr>
          <w:vertAlign w:val="baseline"/>
        </w:rPr>
        <w:t>melakukan</w:t>
      </w:r>
      <w:r>
        <w:rPr>
          <w:spacing w:val="-9"/>
          <w:vertAlign w:val="baseline"/>
        </w:rPr>
        <w:t> </w:t>
      </w:r>
      <w:r>
        <w:rPr>
          <w:vertAlign w:val="baseline"/>
        </w:rPr>
        <w:t>perdagangan luar</w:t>
      </w:r>
      <w:r>
        <w:rPr>
          <w:spacing w:val="-11"/>
          <w:vertAlign w:val="baseline"/>
        </w:rPr>
        <w:t> </w:t>
      </w:r>
      <w:r>
        <w:rPr>
          <w:vertAlign w:val="baseline"/>
        </w:rPr>
        <w:t>negeri</w:t>
      </w:r>
      <w:r>
        <w:rPr>
          <w:spacing w:val="-11"/>
          <w:vertAlign w:val="baseline"/>
        </w:rPr>
        <w:t> </w:t>
      </w:r>
      <w:r>
        <w:rPr>
          <w:vertAlign w:val="baseline"/>
        </w:rPr>
        <w:t>sehingga</w:t>
      </w:r>
      <w:r>
        <w:rPr>
          <w:spacing w:val="-9"/>
          <w:vertAlign w:val="baseline"/>
        </w:rPr>
        <w:t> </w:t>
      </w:r>
      <w:r>
        <w:rPr>
          <w:vertAlign w:val="baseline"/>
        </w:rPr>
        <w:t>fluktuasi</w:t>
      </w:r>
      <w:r>
        <w:rPr>
          <w:spacing w:val="-10"/>
          <w:vertAlign w:val="baseline"/>
        </w:rPr>
        <w:t> </w:t>
      </w:r>
      <w:r>
        <w:rPr>
          <w:vertAlign w:val="baseline"/>
        </w:rPr>
        <w:t>nilai</w:t>
      </w:r>
      <w:r>
        <w:rPr>
          <w:spacing w:val="-10"/>
          <w:vertAlign w:val="baseline"/>
        </w:rPr>
        <w:t> </w:t>
      </w:r>
      <w:r>
        <w:rPr>
          <w:vertAlign w:val="baseline"/>
        </w:rPr>
        <w:t>tukar</w:t>
      </w:r>
      <w:r>
        <w:rPr>
          <w:spacing w:val="-11"/>
          <w:vertAlign w:val="baseline"/>
        </w:rPr>
        <w:t> </w:t>
      </w:r>
      <w:r>
        <w:rPr>
          <w:vertAlign w:val="baseline"/>
        </w:rPr>
        <w:t>kurang</w:t>
      </w:r>
      <w:r>
        <w:rPr>
          <w:spacing w:val="-11"/>
          <w:vertAlign w:val="baseline"/>
        </w:rPr>
        <w:t> </w:t>
      </w:r>
      <w:r>
        <w:rPr>
          <w:vertAlign w:val="baseline"/>
        </w:rPr>
        <w:t>berdampak</w:t>
      </w:r>
      <w:r>
        <w:rPr>
          <w:spacing w:val="-11"/>
          <w:vertAlign w:val="baseline"/>
        </w:rPr>
        <w:t> </w:t>
      </w:r>
      <w:r>
        <w:rPr>
          <w:vertAlign w:val="baseline"/>
        </w:rPr>
        <w:t>signifikan</w:t>
      </w:r>
      <w:r>
        <w:rPr>
          <w:spacing w:val="-11"/>
          <w:vertAlign w:val="baseline"/>
        </w:rPr>
        <w:t> </w:t>
      </w:r>
      <w:r>
        <w:rPr>
          <w:vertAlign w:val="baseline"/>
        </w:rPr>
        <w:t>terhadap indeks saham. Penelitian selanjutnya dilakukan oleh Alfin yang mengatakan bahwa nilai tukar tidak berpengaruh terhadap ISSI.</w:t>
      </w:r>
      <w:hyperlink w:history="true" w:anchor="_bookmark167">
        <w:r>
          <w:rPr>
            <w:vertAlign w:val="superscript"/>
          </w:rPr>
          <w:t>99</w:t>
        </w:r>
      </w:hyperlink>
    </w:p>
    <w:p>
      <w:pPr>
        <w:pStyle w:val="Heading2"/>
        <w:numPr>
          <w:ilvl w:val="2"/>
          <w:numId w:val="24"/>
        </w:numPr>
        <w:tabs>
          <w:tab w:pos="1463" w:val="left" w:leader="none"/>
        </w:tabs>
        <w:spacing w:line="240" w:lineRule="auto" w:before="161" w:after="0"/>
        <w:ind w:left="1463" w:right="0" w:hanging="732"/>
        <w:jc w:val="both"/>
      </w:pPr>
      <w:bookmarkStart w:name="_bookmark165" w:id="166"/>
      <w:bookmarkEnd w:id="166"/>
      <w:r>
        <w:rPr>
          <w:b w:val="0"/>
        </w:rPr>
      </w:r>
      <w:r>
        <w:rPr/>
        <w:t>Pengaruh</w:t>
      </w:r>
      <w:r>
        <w:rPr>
          <w:spacing w:val="-6"/>
        </w:rPr>
        <w:t> </w:t>
      </w:r>
      <w:r>
        <w:rPr/>
        <w:t>Inflasi</w:t>
      </w:r>
      <w:r>
        <w:rPr>
          <w:spacing w:val="-4"/>
        </w:rPr>
        <w:t> </w:t>
      </w:r>
      <w:r>
        <w:rPr/>
        <w:t>Terhadap</w:t>
      </w:r>
      <w:r>
        <w:rPr>
          <w:spacing w:val="-3"/>
        </w:rPr>
        <w:t> </w:t>
      </w:r>
      <w:r>
        <w:rPr/>
        <w:t>Indeks</w:t>
      </w:r>
      <w:r>
        <w:rPr>
          <w:spacing w:val="-5"/>
        </w:rPr>
        <w:t> </w:t>
      </w:r>
      <w:r>
        <w:rPr/>
        <w:t>Saham</w:t>
      </w:r>
      <w:r>
        <w:rPr>
          <w:spacing w:val="-3"/>
        </w:rPr>
        <w:t> </w:t>
      </w:r>
      <w:r>
        <w:rPr/>
        <w:t>Syariah</w:t>
      </w:r>
      <w:r>
        <w:rPr>
          <w:spacing w:val="-3"/>
        </w:rPr>
        <w:t> </w:t>
      </w:r>
      <w:r>
        <w:rPr>
          <w:spacing w:val="-2"/>
        </w:rPr>
        <w:t>Indonesia</w:t>
      </w:r>
    </w:p>
    <w:p>
      <w:pPr>
        <w:pStyle w:val="BodyText"/>
        <w:spacing w:before="22"/>
        <w:rPr>
          <w:b/>
        </w:rPr>
      </w:pPr>
    </w:p>
    <w:p>
      <w:pPr>
        <w:pStyle w:val="BodyText"/>
        <w:spacing w:line="360" w:lineRule="auto" w:before="1"/>
        <w:ind w:left="1463" w:right="162" w:firstLine="720"/>
        <w:jc w:val="both"/>
      </w:pPr>
      <w:r>
        <w:rPr/>
        <w:t>Hasil pengujian analisis regresi menunjukan hasil t-statistic untuk variabel</w:t>
      </w:r>
      <w:r>
        <w:rPr>
          <w:spacing w:val="68"/>
        </w:rPr>
        <w:t> </w:t>
      </w:r>
      <w:r>
        <w:rPr/>
        <w:t>independen</w:t>
      </w:r>
      <w:r>
        <w:rPr>
          <w:spacing w:val="70"/>
        </w:rPr>
        <w:t> </w:t>
      </w:r>
      <w:r>
        <w:rPr/>
        <w:t>inflasi</w:t>
      </w:r>
      <w:r>
        <w:rPr>
          <w:spacing w:val="70"/>
        </w:rPr>
        <w:t> </w:t>
      </w:r>
      <w:r>
        <w:rPr/>
        <w:t>(X3)</w:t>
      </w:r>
      <w:r>
        <w:rPr>
          <w:spacing w:val="70"/>
        </w:rPr>
        <w:t> </w:t>
      </w:r>
      <w:r>
        <w:rPr/>
        <w:t>sebesar</w:t>
      </w:r>
      <w:r>
        <w:rPr>
          <w:spacing w:val="69"/>
        </w:rPr>
        <w:t> </w:t>
      </w:r>
      <w:r>
        <w:rPr/>
        <w:t>0,611198</w:t>
      </w:r>
      <w:r>
        <w:rPr>
          <w:spacing w:val="70"/>
        </w:rPr>
        <w:t> </w:t>
      </w:r>
      <w:r>
        <w:rPr/>
        <w:t>dengan</w:t>
      </w:r>
      <w:r>
        <w:rPr>
          <w:spacing w:val="69"/>
        </w:rPr>
        <w:t> </w:t>
      </w:r>
      <w:r>
        <w:rPr/>
        <w:t>nilai</w:t>
      </w:r>
      <w:r>
        <w:rPr>
          <w:spacing w:val="71"/>
        </w:rPr>
        <w:t> </w:t>
      </w:r>
      <w:r>
        <w:rPr>
          <w:spacing w:val="-2"/>
        </w:rPr>
        <w:t>koefisien</w:t>
      </w:r>
    </w:p>
    <w:p>
      <w:pPr>
        <w:pStyle w:val="BodyText"/>
        <w:rPr>
          <w:sz w:val="20"/>
        </w:rPr>
      </w:pPr>
    </w:p>
    <w:p>
      <w:pPr>
        <w:pStyle w:val="BodyText"/>
        <w:spacing w:before="68"/>
        <w:rPr>
          <w:sz w:val="20"/>
        </w:rPr>
      </w:pPr>
      <w:r>
        <w:rPr>
          <w:sz w:val="20"/>
        </w:rPr>
        <mc:AlternateContent>
          <mc:Choice Requires="wps">
            <w:drawing>
              <wp:anchor distT="0" distB="0" distL="0" distR="0" allowOverlap="1" layoutInCell="1" locked="0" behindDoc="1" simplePos="0" relativeHeight="487623680">
                <wp:simplePos x="0" y="0"/>
                <wp:positionH relativeFrom="page">
                  <wp:posOffset>914704</wp:posOffset>
                </wp:positionH>
                <wp:positionV relativeFrom="paragraph">
                  <wp:posOffset>204987</wp:posOffset>
                </wp:positionV>
                <wp:extent cx="1829435" cy="9525"/>
                <wp:effectExtent l="0" t="0" r="0" b="0"/>
                <wp:wrapTopAndBottom/>
                <wp:docPr id="348" name="Graphic 348"/>
                <wp:cNvGraphicFramePr>
                  <a:graphicFrameLocks/>
                </wp:cNvGraphicFramePr>
                <a:graphic>
                  <a:graphicData uri="http://schemas.microsoft.com/office/word/2010/wordprocessingShape">
                    <wps:wsp>
                      <wps:cNvPr id="348" name="Graphic 34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6.140751pt;width:144.020pt;height:.72003pt;mso-position-horizontal-relative:page;mso-position-vertical-relative:paragraph;z-index:-15692800;mso-wrap-distance-left:0;mso-wrap-distance-right:0" id="docshape320" filled="true" fillcolor="#000000" stroked="false">
                <v:fill type="solid"/>
                <w10:wrap type="topAndBottom"/>
              </v:rect>
            </w:pict>
          </mc:Fallback>
        </mc:AlternateContent>
      </w:r>
    </w:p>
    <w:p>
      <w:pPr>
        <w:spacing w:before="101"/>
        <w:ind w:left="23" w:right="167" w:firstLine="719"/>
        <w:jc w:val="both"/>
        <w:rPr>
          <w:sz w:val="20"/>
        </w:rPr>
      </w:pPr>
      <w:bookmarkStart w:name="_bookmark166" w:id="167"/>
      <w:bookmarkEnd w:id="167"/>
      <w:r>
        <w:rPr/>
      </w:r>
      <w:r>
        <w:rPr>
          <w:sz w:val="20"/>
          <w:vertAlign w:val="superscript"/>
        </w:rPr>
        <w:t>98</w:t>
      </w:r>
      <w:r>
        <w:rPr>
          <w:sz w:val="20"/>
          <w:vertAlign w:val="baseline"/>
        </w:rPr>
        <w:t> V.L Avenda, ‘Pengaruh Inflasi, Nilai Tukar, Tingkat Imbalan Sertifikat Bank Indonesia Syariah (SBIS),</w:t>
      </w:r>
      <w:r>
        <w:rPr>
          <w:spacing w:val="-10"/>
          <w:sz w:val="20"/>
          <w:vertAlign w:val="baseline"/>
        </w:rPr>
        <w:t> </w:t>
      </w:r>
      <w:r>
        <w:rPr>
          <w:sz w:val="20"/>
          <w:vertAlign w:val="baseline"/>
        </w:rPr>
        <w:t>Suku</w:t>
      </w:r>
      <w:r>
        <w:rPr>
          <w:spacing w:val="-10"/>
          <w:sz w:val="20"/>
          <w:vertAlign w:val="baseline"/>
        </w:rPr>
        <w:t> </w:t>
      </w:r>
      <w:r>
        <w:rPr>
          <w:sz w:val="20"/>
          <w:vertAlign w:val="baseline"/>
        </w:rPr>
        <w:t>Bunga</w:t>
      </w:r>
      <w:r>
        <w:rPr>
          <w:spacing w:val="-11"/>
          <w:sz w:val="20"/>
          <w:vertAlign w:val="baseline"/>
        </w:rPr>
        <w:t> </w:t>
      </w:r>
      <w:r>
        <w:rPr>
          <w:sz w:val="20"/>
          <w:vertAlign w:val="baseline"/>
        </w:rPr>
        <w:t>Bank</w:t>
      </w:r>
      <w:r>
        <w:rPr>
          <w:spacing w:val="-12"/>
          <w:sz w:val="20"/>
          <w:vertAlign w:val="baseline"/>
        </w:rPr>
        <w:t> </w:t>
      </w:r>
      <w:r>
        <w:rPr>
          <w:sz w:val="20"/>
          <w:vertAlign w:val="baseline"/>
        </w:rPr>
        <w:t>Indonesia</w:t>
      </w:r>
      <w:r>
        <w:rPr>
          <w:spacing w:val="-11"/>
          <w:sz w:val="20"/>
          <w:vertAlign w:val="baseline"/>
        </w:rPr>
        <w:t> </w:t>
      </w:r>
      <w:r>
        <w:rPr>
          <w:sz w:val="20"/>
          <w:vertAlign w:val="baseline"/>
        </w:rPr>
        <w:t>Dan</w:t>
      </w:r>
      <w:r>
        <w:rPr>
          <w:spacing w:val="-10"/>
          <w:sz w:val="20"/>
          <w:vertAlign w:val="baseline"/>
        </w:rPr>
        <w:t> </w:t>
      </w:r>
      <w:r>
        <w:rPr>
          <w:sz w:val="20"/>
          <w:vertAlign w:val="baseline"/>
        </w:rPr>
        <w:t>Jumlah</w:t>
      </w:r>
      <w:r>
        <w:rPr>
          <w:spacing w:val="-10"/>
          <w:sz w:val="20"/>
          <w:vertAlign w:val="baseline"/>
        </w:rPr>
        <w:t> </w:t>
      </w:r>
      <w:r>
        <w:rPr>
          <w:sz w:val="20"/>
          <w:vertAlign w:val="baseline"/>
        </w:rPr>
        <w:t>Uang</w:t>
      </w:r>
      <w:r>
        <w:rPr>
          <w:spacing w:val="-12"/>
          <w:sz w:val="20"/>
          <w:vertAlign w:val="baseline"/>
        </w:rPr>
        <w:t> </w:t>
      </w:r>
      <w:r>
        <w:rPr>
          <w:sz w:val="20"/>
          <w:vertAlign w:val="baseline"/>
        </w:rPr>
        <w:t>Beredar</w:t>
      </w:r>
      <w:r>
        <w:rPr>
          <w:spacing w:val="-10"/>
          <w:sz w:val="20"/>
          <w:vertAlign w:val="baseline"/>
        </w:rPr>
        <w:t> </w:t>
      </w:r>
      <w:r>
        <w:rPr>
          <w:sz w:val="20"/>
          <w:vertAlign w:val="baseline"/>
        </w:rPr>
        <w:t>(JUB)</w:t>
      </w:r>
      <w:r>
        <w:rPr>
          <w:spacing w:val="-11"/>
          <w:sz w:val="20"/>
          <w:vertAlign w:val="baseline"/>
        </w:rPr>
        <w:t> </w:t>
      </w:r>
      <w:r>
        <w:rPr>
          <w:sz w:val="20"/>
          <w:vertAlign w:val="baseline"/>
        </w:rPr>
        <w:t>Terhadap</w:t>
      </w:r>
      <w:r>
        <w:rPr>
          <w:spacing w:val="-10"/>
          <w:sz w:val="20"/>
          <w:vertAlign w:val="baseline"/>
        </w:rPr>
        <w:t> </w:t>
      </w:r>
      <w:r>
        <w:rPr>
          <w:sz w:val="20"/>
          <w:vertAlign w:val="baseline"/>
        </w:rPr>
        <w:t>Indeks</w:t>
      </w:r>
      <w:r>
        <w:rPr>
          <w:spacing w:val="-12"/>
          <w:sz w:val="20"/>
          <w:vertAlign w:val="baseline"/>
        </w:rPr>
        <w:t> </w:t>
      </w:r>
      <w:r>
        <w:rPr>
          <w:sz w:val="20"/>
          <w:vertAlign w:val="baseline"/>
        </w:rPr>
        <w:t>Saham</w:t>
      </w:r>
      <w:r>
        <w:rPr>
          <w:spacing w:val="-10"/>
          <w:sz w:val="20"/>
          <w:vertAlign w:val="baseline"/>
        </w:rPr>
        <w:t> </w:t>
      </w:r>
      <w:r>
        <w:rPr>
          <w:sz w:val="20"/>
          <w:vertAlign w:val="baseline"/>
        </w:rPr>
        <w:t>Syariah</w:t>
      </w:r>
      <w:r>
        <w:rPr>
          <w:spacing w:val="-10"/>
          <w:sz w:val="20"/>
          <w:vertAlign w:val="baseline"/>
        </w:rPr>
        <w:t> </w:t>
      </w:r>
      <w:r>
        <w:rPr>
          <w:sz w:val="20"/>
          <w:vertAlign w:val="baseline"/>
        </w:rPr>
        <w:t>Indonesia (ISSI) Periode 2013 -2017’, </w:t>
      </w:r>
      <w:r>
        <w:rPr>
          <w:i/>
          <w:sz w:val="20"/>
          <w:vertAlign w:val="baseline"/>
        </w:rPr>
        <w:t>Universitas Muhammadiyah Surakarta</w:t>
      </w:r>
      <w:r>
        <w:rPr>
          <w:sz w:val="20"/>
          <w:vertAlign w:val="baseline"/>
        </w:rPr>
        <w:t>.</w:t>
      </w:r>
    </w:p>
    <w:p>
      <w:pPr>
        <w:spacing w:before="0"/>
        <w:ind w:left="23" w:right="0" w:firstLine="719"/>
        <w:jc w:val="left"/>
        <w:rPr>
          <w:sz w:val="20"/>
        </w:rPr>
      </w:pPr>
      <w:bookmarkStart w:name="_bookmark167" w:id="168"/>
      <w:bookmarkEnd w:id="168"/>
      <w:r>
        <w:rPr/>
      </w:r>
      <w:r>
        <w:rPr>
          <w:sz w:val="20"/>
          <w:vertAlign w:val="superscript"/>
        </w:rPr>
        <w:t>99</w:t>
      </w:r>
      <w:r>
        <w:rPr>
          <w:spacing w:val="-1"/>
          <w:sz w:val="20"/>
          <w:vertAlign w:val="baseline"/>
        </w:rPr>
        <w:t> </w:t>
      </w:r>
      <w:r>
        <w:rPr>
          <w:sz w:val="20"/>
          <w:vertAlign w:val="baseline"/>
        </w:rPr>
        <w:t>Alfin Maulana and Yoan Maris,</w:t>
      </w:r>
      <w:r>
        <w:rPr>
          <w:spacing w:val="-1"/>
          <w:sz w:val="20"/>
          <w:vertAlign w:val="baseline"/>
        </w:rPr>
        <w:t> </w:t>
      </w:r>
      <w:r>
        <w:rPr>
          <w:sz w:val="20"/>
          <w:vertAlign w:val="baseline"/>
        </w:rPr>
        <w:t>‘Pengaruh</w:t>
      </w:r>
      <w:r>
        <w:rPr>
          <w:spacing w:val="-2"/>
          <w:sz w:val="20"/>
          <w:vertAlign w:val="baseline"/>
        </w:rPr>
        <w:t> </w:t>
      </w:r>
      <w:r>
        <w:rPr>
          <w:sz w:val="20"/>
          <w:vertAlign w:val="baseline"/>
        </w:rPr>
        <w:t>Inflasi,</w:t>
      </w:r>
      <w:r>
        <w:rPr>
          <w:spacing w:val="-1"/>
          <w:sz w:val="20"/>
          <w:vertAlign w:val="baseline"/>
        </w:rPr>
        <w:t> </w:t>
      </w:r>
      <w:r>
        <w:rPr>
          <w:sz w:val="20"/>
          <w:vertAlign w:val="baseline"/>
        </w:rPr>
        <w:t>Nilai</w:t>
      </w:r>
      <w:r>
        <w:rPr>
          <w:spacing w:val="-1"/>
          <w:sz w:val="20"/>
          <w:vertAlign w:val="baseline"/>
        </w:rPr>
        <w:t> </w:t>
      </w:r>
      <w:r>
        <w:rPr>
          <w:sz w:val="20"/>
          <w:vertAlign w:val="baseline"/>
        </w:rPr>
        <w:t>Tukar,</w:t>
      </w:r>
      <w:r>
        <w:rPr>
          <w:spacing w:val="-1"/>
          <w:sz w:val="20"/>
          <w:vertAlign w:val="baseline"/>
        </w:rPr>
        <w:t> </w:t>
      </w:r>
      <w:r>
        <w:rPr>
          <w:sz w:val="20"/>
          <w:vertAlign w:val="baseline"/>
        </w:rPr>
        <w:t>Dan Bi</w:t>
      </w:r>
      <w:r>
        <w:rPr>
          <w:spacing w:val="-1"/>
          <w:sz w:val="20"/>
          <w:vertAlign w:val="baseline"/>
        </w:rPr>
        <w:t> </w:t>
      </w:r>
      <w:r>
        <w:rPr>
          <w:sz w:val="20"/>
          <w:vertAlign w:val="baseline"/>
        </w:rPr>
        <w:t>Rate Terhadap Indeks</w:t>
      </w:r>
      <w:r>
        <w:rPr>
          <w:spacing w:val="-2"/>
          <w:sz w:val="20"/>
          <w:vertAlign w:val="baseline"/>
        </w:rPr>
        <w:t> </w:t>
      </w:r>
      <w:r>
        <w:rPr>
          <w:sz w:val="20"/>
          <w:vertAlign w:val="baseline"/>
        </w:rPr>
        <w:t>Saham Syariah</w:t>
      </w:r>
      <w:r>
        <w:rPr>
          <w:spacing w:val="49"/>
          <w:sz w:val="20"/>
          <w:vertAlign w:val="baseline"/>
        </w:rPr>
        <w:t> </w:t>
      </w:r>
      <w:r>
        <w:rPr>
          <w:sz w:val="20"/>
          <w:vertAlign w:val="baseline"/>
        </w:rPr>
        <w:t>Indonesia</w:t>
      </w:r>
      <w:r>
        <w:rPr>
          <w:spacing w:val="47"/>
          <w:sz w:val="20"/>
          <w:vertAlign w:val="baseline"/>
        </w:rPr>
        <w:t> </w:t>
      </w:r>
      <w:r>
        <w:rPr>
          <w:sz w:val="20"/>
          <w:vertAlign w:val="baseline"/>
        </w:rPr>
        <w:t>(Issi)’,</w:t>
      </w:r>
      <w:r>
        <w:rPr>
          <w:spacing w:val="51"/>
          <w:sz w:val="20"/>
          <w:vertAlign w:val="baseline"/>
        </w:rPr>
        <w:t> </w:t>
      </w:r>
      <w:r>
        <w:rPr>
          <w:i/>
          <w:sz w:val="20"/>
          <w:vertAlign w:val="baseline"/>
        </w:rPr>
        <w:t>WORLDVIEW</w:t>
      </w:r>
      <w:r>
        <w:rPr>
          <w:i/>
          <w:spacing w:val="47"/>
          <w:sz w:val="20"/>
          <w:vertAlign w:val="baseline"/>
        </w:rPr>
        <w:t> </w:t>
      </w:r>
      <w:r>
        <w:rPr>
          <w:i/>
          <w:sz w:val="20"/>
          <w:vertAlign w:val="baseline"/>
        </w:rPr>
        <w:t>(</w:t>
      </w:r>
      <w:r>
        <w:rPr>
          <w:i/>
          <w:spacing w:val="48"/>
          <w:sz w:val="20"/>
          <w:vertAlign w:val="baseline"/>
        </w:rPr>
        <w:t> </w:t>
      </w:r>
      <w:r>
        <w:rPr>
          <w:i/>
          <w:sz w:val="20"/>
          <w:vertAlign w:val="baseline"/>
        </w:rPr>
        <w:t>Jurnal</w:t>
      </w:r>
      <w:r>
        <w:rPr>
          <w:i/>
          <w:spacing w:val="47"/>
          <w:sz w:val="20"/>
          <w:vertAlign w:val="baseline"/>
        </w:rPr>
        <w:t> </w:t>
      </w:r>
      <w:r>
        <w:rPr>
          <w:i/>
          <w:sz w:val="20"/>
          <w:vertAlign w:val="baseline"/>
        </w:rPr>
        <w:t>Ekonomi</w:t>
      </w:r>
      <w:r>
        <w:rPr>
          <w:i/>
          <w:spacing w:val="48"/>
          <w:sz w:val="20"/>
          <w:vertAlign w:val="baseline"/>
        </w:rPr>
        <w:t> </w:t>
      </w:r>
      <w:r>
        <w:rPr>
          <w:i/>
          <w:sz w:val="20"/>
          <w:vertAlign w:val="baseline"/>
        </w:rPr>
        <w:t>Bisnis</w:t>
      </w:r>
      <w:r>
        <w:rPr>
          <w:i/>
          <w:spacing w:val="48"/>
          <w:sz w:val="20"/>
          <w:vertAlign w:val="baseline"/>
        </w:rPr>
        <w:t> </w:t>
      </w:r>
      <w:r>
        <w:rPr>
          <w:i/>
          <w:sz w:val="20"/>
          <w:vertAlign w:val="baseline"/>
        </w:rPr>
        <w:t>Dan</w:t>
      </w:r>
      <w:r>
        <w:rPr>
          <w:i/>
          <w:spacing w:val="48"/>
          <w:sz w:val="20"/>
          <w:vertAlign w:val="baseline"/>
        </w:rPr>
        <w:t> </w:t>
      </w:r>
      <w:r>
        <w:rPr>
          <w:i/>
          <w:sz w:val="20"/>
          <w:vertAlign w:val="baseline"/>
        </w:rPr>
        <w:t>Sosial</w:t>
      </w:r>
      <w:r>
        <w:rPr>
          <w:i/>
          <w:spacing w:val="47"/>
          <w:sz w:val="20"/>
          <w:vertAlign w:val="baseline"/>
        </w:rPr>
        <w:t> </w:t>
      </w:r>
      <w:r>
        <w:rPr>
          <w:i/>
          <w:sz w:val="20"/>
          <w:vertAlign w:val="baseline"/>
        </w:rPr>
        <w:t>Sains</w:t>
      </w:r>
      <w:r>
        <w:rPr>
          <w:i/>
          <w:spacing w:val="44"/>
          <w:sz w:val="20"/>
          <w:vertAlign w:val="baseline"/>
        </w:rPr>
        <w:t> </w:t>
      </w:r>
      <w:r>
        <w:rPr>
          <w:i/>
          <w:sz w:val="20"/>
          <w:vertAlign w:val="baseline"/>
        </w:rPr>
        <w:t>)</w:t>
      </w:r>
      <w:r>
        <w:rPr>
          <w:sz w:val="20"/>
          <w:vertAlign w:val="baseline"/>
        </w:rPr>
        <w:t>,</w:t>
      </w:r>
      <w:r>
        <w:rPr>
          <w:spacing w:val="48"/>
          <w:sz w:val="20"/>
          <w:vertAlign w:val="baseline"/>
        </w:rPr>
        <w:t> </w:t>
      </w:r>
      <w:r>
        <w:rPr>
          <w:sz w:val="20"/>
          <w:vertAlign w:val="baseline"/>
        </w:rPr>
        <w:t>1.1</w:t>
      </w:r>
      <w:r>
        <w:rPr>
          <w:spacing w:val="48"/>
          <w:sz w:val="20"/>
          <w:vertAlign w:val="baseline"/>
        </w:rPr>
        <w:t> </w:t>
      </w:r>
      <w:r>
        <w:rPr>
          <w:sz w:val="20"/>
          <w:vertAlign w:val="baseline"/>
        </w:rPr>
        <w:t>(2022),</w:t>
      </w:r>
      <w:r>
        <w:rPr>
          <w:spacing w:val="49"/>
          <w:sz w:val="20"/>
          <w:vertAlign w:val="baseline"/>
        </w:rPr>
        <w:t> </w:t>
      </w:r>
      <w:r>
        <w:rPr>
          <w:spacing w:val="-2"/>
          <w:sz w:val="20"/>
          <w:vertAlign w:val="baseline"/>
        </w:rPr>
        <w:t>35–48</w:t>
      </w:r>
    </w:p>
    <w:p>
      <w:pPr>
        <w:spacing w:before="0"/>
        <w:ind w:left="23" w:right="0" w:firstLine="0"/>
        <w:jc w:val="left"/>
        <w:rPr>
          <w:sz w:val="20"/>
        </w:rPr>
      </w:pPr>
      <w:r>
        <w:rPr>
          <w:spacing w:val="-2"/>
          <w:sz w:val="20"/>
        </w:rPr>
        <w:t>&lt;https://doi.org/10.38156/worldview.v1i1.115&gt;.</w:t>
      </w:r>
    </w:p>
    <w:p>
      <w:pPr>
        <w:spacing w:after="0"/>
        <w:jc w:val="left"/>
        <w:rPr>
          <w:sz w:val="20"/>
        </w:rPr>
        <w:sectPr>
          <w:pgSz w:w="11910" w:h="16840"/>
          <w:pgMar w:header="0" w:footer="1000" w:top="1360" w:bottom="1200" w:left="1417" w:right="1275"/>
        </w:sectPr>
      </w:pPr>
    </w:p>
    <w:p>
      <w:pPr>
        <w:pStyle w:val="BodyText"/>
        <w:spacing w:line="360" w:lineRule="auto" w:before="60"/>
        <w:ind w:left="1463" w:right="162"/>
        <w:jc w:val="both"/>
      </w:pPr>
      <w:r>
        <w:rPr/>
        <w:t>regresi sebesar 0,005605 dan nilai probabilitas sebesar 0,5436 &gt; 0,05 maka dapat disimpulkan bahwa inflasi berpengaruh positif dan tidak signifikan terhadap Indeks Saham Syariah Indonesia.</w:t>
      </w:r>
    </w:p>
    <w:p>
      <w:pPr>
        <w:pStyle w:val="BodyText"/>
        <w:spacing w:line="360" w:lineRule="auto"/>
        <w:ind w:left="1463" w:right="160" w:firstLine="720"/>
        <w:jc w:val="both"/>
      </w:pPr>
      <w:r>
        <w:rPr/>
        <w:t>Inflasi merupakan</w:t>
      </w:r>
      <w:r>
        <w:rPr>
          <w:spacing w:val="-1"/>
        </w:rPr>
        <w:t> </w:t>
      </w:r>
      <w:r>
        <w:rPr/>
        <w:t>salah satu variabel makroekonomi yang sangat diperhatikan dalam analisis pasar</w:t>
      </w:r>
      <w:r>
        <w:rPr>
          <w:spacing w:val="-4"/>
        </w:rPr>
        <w:t> </w:t>
      </w:r>
      <w:r>
        <w:rPr/>
        <w:t>modal, termasuk</w:t>
      </w:r>
      <w:r>
        <w:rPr>
          <w:spacing w:val="-2"/>
        </w:rPr>
        <w:t> </w:t>
      </w:r>
      <w:r>
        <w:rPr/>
        <w:t>pasar saham syariah yang diwakili oleh Indeks Saham Syariah Indonesia</w:t>
      </w:r>
      <w:r>
        <w:rPr>
          <w:spacing w:val="-3"/>
        </w:rPr>
        <w:t> </w:t>
      </w:r>
      <w:r>
        <w:rPr/>
        <w:t>(ISSI). Inflasi mencerminkan kenaikan harga barang</w:t>
      </w:r>
      <w:r>
        <w:rPr>
          <w:spacing w:val="-2"/>
        </w:rPr>
        <w:t> </w:t>
      </w:r>
      <w:r>
        <w:rPr/>
        <w:t>dan jasa secara</w:t>
      </w:r>
      <w:r>
        <w:rPr>
          <w:spacing w:val="-4"/>
        </w:rPr>
        <w:t> </w:t>
      </w:r>
      <w:r>
        <w:rPr/>
        <w:t>umum dalam perekonomian yang</w:t>
      </w:r>
      <w:r>
        <w:rPr>
          <w:spacing w:val="-2"/>
        </w:rPr>
        <w:t> </w:t>
      </w:r>
      <w:r>
        <w:rPr/>
        <w:t>dapat memengaruhi</w:t>
      </w:r>
      <w:r>
        <w:rPr>
          <w:spacing w:val="-9"/>
        </w:rPr>
        <w:t> </w:t>
      </w:r>
      <w:r>
        <w:rPr/>
        <w:t>daya</w:t>
      </w:r>
      <w:r>
        <w:rPr>
          <w:spacing w:val="-5"/>
        </w:rPr>
        <w:t> </w:t>
      </w:r>
      <w:r>
        <w:rPr/>
        <w:t>beli</w:t>
      </w:r>
      <w:r>
        <w:rPr>
          <w:spacing w:val="-9"/>
        </w:rPr>
        <w:t> </w:t>
      </w:r>
      <w:r>
        <w:rPr/>
        <w:t>masyarakat,</w:t>
      </w:r>
      <w:r>
        <w:rPr>
          <w:spacing w:val="-9"/>
        </w:rPr>
        <w:t> </w:t>
      </w:r>
      <w:r>
        <w:rPr/>
        <w:t>biaya</w:t>
      </w:r>
      <w:r>
        <w:rPr>
          <w:spacing w:val="-11"/>
        </w:rPr>
        <w:t> </w:t>
      </w:r>
      <w:r>
        <w:rPr/>
        <w:t>produksi</w:t>
      </w:r>
      <w:r>
        <w:rPr>
          <w:spacing w:val="-3"/>
        </w:rPr>
        <w:t> </w:t>
      </w:r>
      <w:r>
        <w:rPr/>
        <w:t>perusahaan,</w:t>
      </w:r>
      <w:r>
        <w:rPr>
          <w:spacing w:val="-9"/>
        </w:rPr>
        <w:t> </w:t>
      </w:r>
      <w:r>
        <w:rPr/>
        <w:t>dan</w:t>
      </w:r>
      <w:r>
        <w:rPr>
          <w:spacing w:val="-4"/>
        </w:rPr>
        <w:t> </w:t>
      </w:r>
      <w:r>
        <w:rPr/>
        <w:t>ekspektasi investor. Dalam</w:t>
      </w:r>
      <w:r>
        <w:rPr>
          <w:spacing w:val="-3"/>
        </w:rPr>
        <w:t> </w:t>
      </w:r>
      <w:r>
        <w:rPr/>
        <w:t>konteks makroekonomi, inflasi adalah salah</w:t>
      </w:r>
      <w:r>
        <w:rPr>
          <w:spacing w:val="-1"/>
        </w:rPr>
        <w:t> </w:t>
      </w:r>
      <w:r>
        <w:rPr/>
        <w:t>satu variabel</w:t>
      </w:r>
      <w:r>
        <w:rPr>
          <w:spacing w:val="40"/>
        </w:rPr>
        <w:t> </w:t>
      </w:r>
      <w:r>
        <w:rPr/>
        <w:t>yang</w:t>
      </w:r>
      <w:r>
        <w:rPr>
          <w:spacing w:val="-3"/>
        </w:rPr>
        <w:t> </w:t>
      </w:r>
      <w:r>
        <w:rPr/>
        <w:t>sering</w:t>
      </w:r>
      <w:r>
        <w:rPr>
          <w:spacing w:val="80"/>
        </w:rPr>
        <w:t> </w:t>
      </w:r>
      <w:r>
        <w:rPr/>
        <w:t>dianalisis</w:t>
      </w:r>
      <w:r>
        <w:rPr>
          <w:spacing w:val="80"/>
        </w:rPr>
        <w:t> </w:t>
      </w:r>
      <w:r>
        <w:rPr/>
        <w:t>pengaruhnya</w:t>
      </w:r>
      <w:r>
        <w:rPr>
          <w:spacing w:val="80"/>
        </w:rPr>
        <w:t> </w:t>
      </w:r>
      <w:r>
        <w:rPr/>
        <w:t>terhadap pergerakan</w:t>
      </w:r>
      <w:r>
        <w:rPr>
          <w:spacing w:val="80"/>
        </w:rPr>
        <w:t> </w:t>
      </w:r>
      <w:r>
        <w:rPr/>
        <w:t>ISSI.</w:t>
      </w:r>
      <w:r>
        <w:rPr>
          <w:spacing w:val="80"/>
        </w:rPr>
        <w:t> </w:t>
      </w:r>
      <w:r>
        <w:rPr/>
        <w:t>Inflasi sendiri</w:t>
      </w:r>
      <w:r>
        <w:rPr>
          <w:spacing w:val="-2"/>
        </w:rPr>
        <w:t> </w:t>
      </w:r>
      <w:r>
        <w:rPr/>
        <w:t>mengacu</w:t>
      </w:r>
      <w:r>
        <w:rPr>
          <w:spacing w:val="80"/>
          <w:w w:val="150"/>
        </w:rPr>
        <w:t> </w:t>
      </w:r>
      <w:r>
        <w:rPr/>
        <w:t>pada</w:t>
      </w:r>
      <w:r>
        <w:rPr>
          <w:spacing w:val="-1"/>
        </w:rPr>
        <w:t> </w:t>
      </w:r>
      <w:r>
        <w:rPr/>
        <w:t>kenaikan</w:t>
      </w:r>
      <w:r>
        <w:rPr>
          <w:spacing w:val="80"/>
          <w:w w:val="150"/>
        </w:rPr>
        <w:t> </w:t>
      </w:r>
      <w:r>
        <w:rPr/>
        <w:t>harga</w:t>
      </w:r>
      <w:r>
        <w:rPr>
          <w:spacing w:val="-3"/>
        </w:rPr>
        <w:t> </w:t>
      </w:r>
      <w:r>
        <w:rPr/>
        <w:t>barang</w:t>
      </w:r>
      <w:r>
        <w:rPr>
          <w:spacing w:val="80"/>
          <w:w w:val="150"/>
        </w:rPr>
        <w:t> </w:t>
      </w:r>
      <w:r>
        <w:rPr/>
        <w:t>dan</w:t>
      </w:r>
      <w:r>
        <w:rPr>
          <w:spacing w:val="80"/>
          <w:w w:val="150"/>
        </w:rPr>
        <w:t> </w:t>
      </w:r>
      <w:r>
        <w:rPr/>
        <w:t>jasa</w:t>
      </w:r>
      <w:r>
        <w:rPr>
          <w:spacing w:val="-2"/>
        </w:rPr>
        <w:t> </w:t>
      </w:r>
      <w:r>
        <w:rPr/>
        <w:t>secara</w:t>
      </w:r>
      <w:r>
        <w:rPr>
          <w:spacing w:val="80"/>
          <w:w w:val="150"/>
        </w:rPr>
        <w:t> </w:t>
      </w:r>
      <w:r>
        <w:rPr/>
        <w:t>umum dalam</w:t>
      </w:r>
      <w:r>
        <w:rPr>
          <w:spacing w:val="-3"/>
        </w:rPr>
        <w:t> </w:t>
      </w:r>
      <w:r>
        <w:rPr/>
        <w:t>perekonomian yang</w:t>
      </w:r>
      <w:r>
        <w:rPr>
          <w:spacing w:val="-2"/>
        </w:rPr>
        <w:t> </w:t>
      </w:r>
      <w:r>
        <w:rPr/>
        <w:t>berdampak pada</w:t>
      </w:r>
      <w:r>
        <w:rPr>
          <w:spacing w:val="-4"/>
        </w:rPr>
        <w:t> </w:t>
      </w:r>
      <w:r>
        <w:rPr/>
        <w:t>daya beli masyarakat</w:t>
      </w:r>
      <w:r>
        <w:rPr>
          <w:spacing w:val="-1"/>
        </w:rPr>
        <w:t> </w:t>
      </w:r>
      <w:r>
        <w:rPr/>
        <w:t>dan biaya produksi</w:t>
      </w:r>
      <w:r>
        <w:rPr>
          <w:spacing w:val="-1"/>
        </w:rPr>
        <w:t> </w:t>
      </w:r>
      <w:r>
        <w:rPr/>
        <w:t>perusahaan.</w:t>
      </w:r>
      <w:r>
        <w:rPr>
          <w:spacing w:val="40"/>
        </w:rPr>
        <w:t> </w:t>
      </w:r>
      <w:r>
        <w:rPr/>
        <w:t>Berbagai</w:t>
      </w:r>
      <w:r>
        <w:rPr>
          <w:spacing w:val="40"/>
        </w:rPr>
        <w:t> </w:t>
      </w:r>
      <w:r>
        <w:rPr/>
        <w:t>penelitian</w:t>
      </w:r>
      <w:r>
        <w:rPr>
          <w:spacing w:val="-1"/>
        </w:rPr>
        <w:t> </w:t>
      </w:r>
      <w:r>
        <w:rPr/>
        <w:t>empiris</w:t>
      </w:r>
      <w:r>
        <w:rPr>
          <w:spacing w:val="40"/>
        </w:rPr>
        <w:t> </w:t>
      </w:r>
      <w:r>
        <w:rPr/>
        <w:t>menunjukkan</w:t>
      </w:r>
      <w:r>
        <w:rPr>
          <w:spacing w:val="-1"/>
        </w:rPr>
        <w:t> </w:t>
      </w:r>
      <w:r>
        <w:rPr/>
        <w:t>bahwa pengaruh</w:t>
      </w:r>
      <w:r>
        <w:rPr>
          <w:spacing w:val="-4"/>
        </w:rPr>
        <w:t> </w:t>
      </w:r>
      <w:r>
        <w:rPr/>
        <w:t>inflasi</w:t>
      </w:r>
      <w:r>
        <w:rPr>
          <w:spacing w:val="-4"/>
        </w:rPr>
        <w:t> </w:t>
      </w:r>
      <w:r>
        <w:rPr/>
        <w:t>terhadap</w:t>
      </w:r>
      <w:r>
        <w:rPr>
          <w:spacing w:val="-2"/>
        </w:rPr>
        <w:t> </w:t>
      </w:r>
      <w:r>
        <w:rPr/>
        <w:t>ISSI</w:t>
      </w:r>
      <w:r>
        <w:rPr>
          <w:spacing w:val="-8"/>
        </w:rPr>
        <w:t> </w:t>
      </w:r>
      <w:r>
        <w:rPr/>
        <w:t>cenderung</w:t>
      </w:r>
      <w:r>
        <w:rPr>
          <w:spacing w:val="-5"/>
        </w:rPr>
        <w:t> </w:t>
      </w:r>
      <w:r>
        <w:rPr/>
        <w:t>positif</w:t>
      </w:r>
      <w:r>
        <w:rPr>
          <w:spacing w:val="-3"/>
        </w:rPr>
        <w:t> </w:t>
      </w:r>
      <w:r>
        <w:rPr/>
        <w:t>namun</w:t>
      </w:r>
      <w:r>
        <w:rPr>
          <w:spacing w:val="-4"/>
        </w:rPr>
        <w:t> </w:t>
      </w:r>
      <w:r>
        <w:rPr/>
        <w:t>tidak</w:t>
      </w:r>
      <w:r>
        <w:rPr>
          <w:spacing w:val="-4"/>
        </w:rPr>
        <w:t> </w:t>
      </w:r>
      <w:r>
        <w:rPr/>
        <w:t>signifikan</w:t>
      </w:r>
      <w:r>
        <w:rPr>
          <w:spacing w:val="-4"/>
        </w:rPr>
        <w:t> </w:t>
      </w:r>
      <w:r>
        <w:rPr/>
        <w:t>secara statistik. Menurut teori ekonomi, inflasi yang moderat dapat mendorong pertumbuhan ekonomi melalui peningkatan permintaan agregat (demand-pull inflation). Dalam kondisi ini, perusahaan dapat menaikkan harga produk dan jasa tanpa kehilangan konsumen, sehingga pendapatan dan laba perusahaan meningkat. Kenaikan laba perusahaan akan meningkatkan nilai saham dan mendorong</w:t>
      </w:r>
      <w:r>
        <w:rPr>
          <w:spacing w:val="-2"/>
        </w:rPr>
        <w:t> </w:t>
      </w:r>
      <w:r>
        <w:rPr/>
        <w:t>indeks</w:t>
      </w:r>
      <w:r>
        <w:rPr>
          <w:spacing w:val="-3"/>
        </w:rPr>
        <w:t> </w:t>
      </w:r>
      <w:r>
        <w:rPr/>
        <w:t>saham,</w:t>
      </w:r>
      <w:r>
        <w:rPr>
          <w:spacing w:val="-2"/>
        </w:rPr>
        <w:t> </w:t>
      </w:r>
      <w:r>
        <w:rPr/>
        <w:t>termasuk</w:t>
      </w:r>
      <w:r>
        <w:rPr>
          <w:spacing w:val="-3"/>
        </w:rPr>
        <w:t> </w:t>
      </w:r>
      <w:r>
        <w:rPr/>
        <w:t>ISSI,</w:t>
      </w:r>
      <w:r>
        <w:rPr>
          <w:spacing w:val="-2"/>
        </w:rPr>
        <w:t> </w:t>
      </w:r>
      <w:r>
        <w:rPr/>
        <w:t>naik. Namun,</w:t>
      </w:r>
      <w:r>
        <w:rPr>
          <w:spacing w:val="-2"/>
        </w:rPr>
        <w:t> </w:t>
      </w:r>
      <w:r>
        <w:rPr/>
        <w:t>inflasi</w:t>
      </w:r>
      <w:r>
        <w:rPr>
          <w:spacing w:val="-2"/>
        </w:rPr>
        <w:t> </w:t>
      </w:r>
      <w:r>
        <w:rPr/>
        <w:t>yang</w:t>
      </w:r>
      <w:r>
        <w:rPr>
          <w:spacing w:val="-2"/>
        </w:rPr>
        <w:t> </w:t>
      </w:r>
      <w:r>
        <w:rPr/>
        <w:t>tinggi</w:t>
      </w:r>
      <w:r>
        <w:rPr>
          <w:spacing w:val="-4"/>
        </w:rPr>
        <w:t> </w:t>
      </w:r>
      <w:r>
        <w:rPr/>
        <w:t>dan tidak terkendali dapat menurunkan daya beli konsumen, meningkatkan biaya produksi, dan menimbulkan ketidakpastian ekonomi. Kondisi ini biasanya menekan</w:t>
      </w:r>
      <w:r>
        <w:rPr>
          <w:spacing w:val="-15"/>
        </w:rPr>
        <w:t> </w:t>
      </w:r>
      <w:r>
        <w:rPr/>
        <w:t>harga</w:t>
      </w:r>
      <w:r>
        <w:rPr>
          <w:spacing w:val="-15"/>
        </w:rPr>
        <w:t> </w:t>
      </w:r>
      <w:r>
        <w:rPr/>
        <w:t>saham</w:t>
      </w:r>
      <w:r>
        <w:rPr>
          <w:spacing w:val="-15"/>
        </w:rPr>
        <w:t> </w:t>
      </w:r>
      <w:r>
        <w:rPr/>
        <w:t>karena</w:t>
      </w:r>
      <w:r>
        <w:rPr>
          <w:spacing w:val="-15"/>
        </w:rPr>
        <w:t> </w:t>
      </w:r>
      <w:r>
        <w:rPr/>
        <w:t>ekspektasi</w:t>
      </w:r>
      <w:r>
        <w:rPr>
          <w:spacing w:val="-15"/>
        </w:rPr>
        <w:t> </w:t>
      </w:r>
      <w:r>
        <w:rPr/>
        <w:t>laba</w:t>
      </w:r>
      <w:r>
        <w:rPr>
          <w:spacing w:val="-15"/>
        </w:rPr>
        <w:t> </w:t>
      </w:r>
      <w:r>
        <w:rPr/>
        <w:t>perusahaan</w:t>
      </w:r>
      <w:r>
        <w:rPr>
          <w:spacing w:val="-15"/>
        </w:rPr>
        <w:t> </w:t>
      </w:r>
      <w:r>
        <w:rPr/>
        <w:t>menurun.</w:t>
      </w:r>
      <w:r>
        <w:rPr>
          <w:spacing w:val="-15"/>
        </w:rPr>
        <w:t> </w:t>
      </w:r>
      <w:r>
        <w:rPr/>
        <w:t>Oleh</w:t>
      </w:r>
      <w:r>
        <w:rPr>
          <w:spacing w:val="-15"/>
        </w:rPr>
        <w:t> </w:t>
      </w:r>
      <w:r>
        <w:rPr/>
        <w:t>karena itu,</w:t>
      </w:r>
      <w:r>
        <w:rPr>
          <w:spacing w:val="-13"/>
        </w:rPr>
        <w:t> </w:t>
      </w:r>
      <w:r>
        <w:rPr/>
        <w:t>pengaruh</w:t>
      </w:r>
      <w:r>
        <w:rPr>
          <w:spacing w:val="-12"/>
        </w:rPr>
        <w:t> </w:t>
      </w:r>
      <w:r>
        <w:rPr/>
        <w:t>inflasi</w:t>
      </w:r>
      <w:r>
        <w:rPr>
          <w:spacing w:val="-12"/>
        </w:rPr>
        <w:t> </w:t>
      </w:r>
      <w:r>
        <w:rPr/>
        <w:t>terhadap</w:t>
      </w:r>
      <w:r>
        <w:rPr>
          <w:spacing w:val="-13"/>
        </w:rPr>
        <w:t> </w:t>
      </w:r>
      <w:r>
        <w:rPr/>
        <w:t>indeks</w:t>
      </w:r>
      <w:r>
        <w:rPr>
          <w:spacing w:val="-13"/>
        </w:rPr>
        <w:t> </w:t>
      </w:r>
      <w:r>
        <w:rPr/>
        <w:t>saham</w:t>
      </w:r>
      <w:r>
        <w:rPr>
          <w:spacing w:val="-13"/>
        </w:rPr>
        <w:t> </w:t>
      </w:r>
      <w:r>
        <w:rPr/>
        <w:t>bisa</w:t>
      </w:r>
      <w:r>
        <w:rPr>
          <w:spacing w:val="-11"/>
        </w:rPr>
        <w:t> </w:t>
      </w:r>
      <w:r>
        <w:rPr/>
        <w:t>bersifat</w:t>
      </w:r>
      <w:r>
        <w:rPr>
          <w:spacing w:val="-13"/>
        </w:rPr>
        <w:t> </w:t>
      </w:r>
      <w:r>
        <w:rPr/>
        <w:t>ambigu</w:t>
      </w:r>
      <w:r>
        <w:rPr>
          <w:spacing w:val="-13"/>
        </w:rPr>
        <w:t> </w:t>
      </w:r>
      <w:r>
        <w:rPr/>
        <w:t>dan</w:t>
      </w:r>
      <w:r>
        <w:rPr>
          <w:spacing w:val="-13"/>
        </w:rPr>
        <w:t> </w:t>
      </w:r>
      <w:r>
        <w:rPr/>
        <w:t>tergantung pada tingkat dan penyebab inflasi. Investor tidak cukup hanya mengandalkan indikator</w:t>
      </w:r>
      <w:r>
        <w:rPr>
          <w:spacing w:val="-12"/>
        </w:rPr>
        <w:t> </w:t>
      </w:r>
      <w:r>
        <w:rPr/>
        <w:t>inflasi</w:t>
      </w:r>
      <w:r>
        <w:rPr>
          <w:spacing w:val="-11"/>
        </w:rPr>
        <w:t> </w:t>
      </w:r>
      <w:r>
        <w:rPr/>
        <w:t>dalam</w:t>
      </w:r>
      <w:r>
        <w:rPr>
          <w:spacing w:val="-12"/>
        </w:rPr>
        <w:t> </w:t>
      </w:r>
      <w:r>
        <w:rPr/>
        <w:t>pengambilan</w:t>
      </w:r>
      <w:r>
        <w:rPr>
          <w:spacing w:val="-12"/>
        </w:rPr>
        <w:t> </w:t>
      </w:r>
      <w:r>
        <w:rPr/>
        <w:t>keputusan.</w:t>
      </w:r>
      <w:r>
        <w:rPr>
          <w:spacing w:val="-12"/>
        </w:rPr>
        <w:t> </w:t>
      </w:r>
      <w:r>
        <w:rPr/>
        <w:t>Dengan</w:t>
      </w:r>
      <w:r>
        <w:rPr>
          <w:spacing w:val="-12"/>
        </w:rPr>
        <w:t> </w:t>
      </w:r>
      <w:r>
        <w:rPr/>
        <w:t>demikian,</w:t>
      </w:r>
      <w:r>
        <w:rPr>
          <w:spacing w:val="-12"/>
        </w:rPr>
        <w:t> </w:t>
      </w:r>
      <w:r>
        <w:rPr/>
        <w:t>diversifikasi portofolio dan analisis menyeluruh menjadi strategi penting dalam investasi saham syariah. Secara keseluruhan, hubungan antara inflasi dan ISSI bersifat kompleks dan dipengaruhi oleh banyak faktor. Inflasi yang moderat dan terkendali dapat menjadi sinyal positif bagi pasar saham syariah. Oleh karena itu, analisis pasar modal syariah harus dilakukan dengan mempertimbangkan berbagai aspek</w:t>
      </w:r>
      <w:r>
        <w:rPr>
          <w:spacing w:val="-1"/>
        </w:rPr>
        <w:t> </w:t>
      </w:r>
      <w:r>
        <w:rPr/>
        <w:t>ekonomi dan</w:t>
      </w:r>
      <w:r>
        <w:rPr>
          <w:spacing w:val="-2"/>
        </w:rPr>
        <w:t> </w:t>
      </w:r>
      <w:r>
        <w:rPr/>
        <w:t>non-ekonomi</w:t>
      </w:r>
      <w:r>
        <w:rPr>
          <w:spacing w:val="-2"/>
        </w:rPr>
        <w:t> </w:t>
      </w:r>
      <w:r>
        <w:rPr/>
        <w:t>untuk mendapatkan</w:t>
      </w:r>
      <w:r>
        <w:rPr>
          <w:spacing w:val="-1"/>
        </w:rPr>
        <w:t> </w:t>
      </w:r>
      <w:r>
        <w:rPr/>
        <w:t>gambaran yang lebih akurat dan komprehensif.</w:t>
      </w:r>
    </w:p>
    <w:p>
      <w:pPr>
        <w:pStyle w:val="BodyText"/>
        <w:spacing w:after="0" w:line="360" w:lineRule="auto"/>
        <w:jc w:val="both"/>
        <w:sectPr>
          <w:pgSz w:w="11910" w:h="16840"/>
          <w:pgMar w:header="0" w:footer="1000" w:top="1360" w:bottom="1200" w:left="1417" w:right="1275"/>
        </w:sectPr>
      </w:pPr>
    </w:p>
    <w:p>
      <w:pPr>
        <w:pStyle w:val="BodyText"/>
        <w:spacing w:line="360" w:lineRule="auto" w:before="60"/>
        <w:ind w:left="1463" w:right="159" w:firstLine="720"/>
        <w:jc w:val="both"/>
      </w:pPr>
      <w:r>
        <w:rPr/>
        <w:t>Penelitian oleh Arthalya ini menemukan bahwa inflasi tidak berpengaruh signifikan terhadap ISSI, meskipun secara teori inflasi dapat memengaruhi</w:t>
      </w:r>
      <w:r>
        <w:rPr>
          <w:spacing w:val="-2"/>
        </w:rPr>
        <w:t> </w:t>
      </w:r>
      <w:r>
        <w:rPr/>
        <w:t>indeks saham</w:t>
      </w:r>
      <w:r>
        <w:rPr>
          <w:spacing w:val="-1"/>
        </w:rPr>
        <w:t> </w:t>
      </w:r>
      <w:r>
        <w:rPr/>
        <w:t>syariah.</w:t>
      </w:r>
      <w:hyperlink w:history="true" w:anchor="_bookmark169">
        <w:r>
          <w:rPr>
            <w:vertAlign w:val="superscript"/>
          </w:rPr>
          <w:t>100</w:t>
        </w:r>
      </w:hyperlink>
      <w:r>
        <w:rPr>
          <w:vertAlign w:val="baseline"/>
        </w:rPr>
        <w:t> Hal</w:t>
      </w:r>
      <w:r>
        <w:rPr>
          <w:spacing w:val="-1"/>
          <w:vertAlign w:val="baseline"/>
        </w:rPr>
        <w:t> </w:t>
      </w:r>
      <w:r>
        <w:rPr>
          <w:vertAlign w:val="baseline"/>
        </w:rPr>
        <w:t>ini</w:t>
      </w:r>
      <w:r>
        <w:rPr>
          <w:spacing w:val="-1"/>
          <w:vertAlign w:val="baseline"/>
        </w:rPr>
        <w:t> </w:t>
      </w:r>
      <w:r>
        <w:rPr>
          <w:vertAlign w:val="baseline"/>
        </w:rPr>
        <w:t>menunjukkan</w:t>
      </w:r>
      <w:r>
        <w:rPr>
          <w:spacing w:val="-2"/>
          <w:vertAlign w:val="baseline"/>
        </w:rPr>
        <w:t> </w:t>
      </w:r>
      <w:r>
        <w:rPr>
          <w:vertAlign w:val="baseline"/>
        </w:rPr>
        <w:t>bahwa</w:t>
      </w:r>
      <w:r>
        <w:rPr>
          <w:spacing w:val="-2"/>
          <w:vertAlign w:val="baseline"/>
        </w:rPr>
        <w:t> </w:t>
      </w:r>
      <w:r>
        <w:rPr>
          <w:vertAlign w:val="baseline"/>
        </w:rPr>
        <w:t>faktor</w:t>
      </w:r>
      <w:r>
        <w:rPr>
          <w:spacing w:val="-2"/>
          <w:vertAlign w:val="baseline"/>
        </w:rPr>
        <w:t> </w:t>
      </w:r>
      <w:r>
        <w:rPr>
          <w:vertAlign w:val="baseline"/>
        </w:rPr>
        <w:t>lain mungkin lebih dominan dalam menentukan pergerakan ISSI. Penelitian oleh Andinata menyatakan bahwa variabel inflasi secara statistik tidak signifikan mempengaruhi</w:t>
      </w:r>
      <w:r>
        <w:rPr>
          <w:spacing w:val="-3"/>
          <w:vertAlign w:val="baseline"/>
        </w:rPr>
        <w:t> </w:t>
      </w:r>
      <w:r>
        <w:rPr>
          <w:vertAlign w:val="baseline"/>
        </w:rPr>
        <w:t>ISSI.</w:t>
      </w:r>
      <w:hyperlink w:history="true" w:anchor="_bookmark170">
        <w:r>
          <w:rPr>
            <w:vertAlign w:val="superscript"/>
          </w:rPr>
          <w:t>101</w:t>
        </w:r>
      </w:hyperlink>
      <w:r>
        <w:rPr>
          <w:spacing w:val="-3"/>
          <w:vertAlign w:val="baseline"/>
        </w:rPr>
        <w:t> </w:t>
      </w:r>
      <w:r>
        <w:rPr>
          <w:vertAlign w:val="baseline"/>
        </w:rPr>
        <w:t>Hasil</w:t>
      </w:r>
      <w:r>
        <w:rPr>
          <w:spacing w:val="-3"/>
          <w:vertAlign w:val="baseline"/>
        </w:rPr>
        <w:t> </w:t>
      </w:r>
      <w:r>
        <w:rPr>
          <w:vertAlign w:val="baseline"/>
        </w:rPr>
        <w:t>ini</w:t>
      </w:r>
      <w:r>
        <w:rPr>
          <w:spacing w:val="-4"/>
          <w:vertAlign w:val="baseline"/>
        </w:rPr>
        <w:t> </w:t>
      </w:r>
      <w:r>
        <w:rPr>
          <w:vertAlign w:val="baseline"/>
        </w:rPr>
        <w:t>konsisten</w:t>
      </w:r>
      <w:r>
        <w:rPr>
          <w:spacing w:val="-4"/>
          <w:vertAlign w:val="baseline"/>
        </w:rPr>
        <w:t> </w:t>
      </w:r>
      <w:r>
        <w:rPr>
          <w:vertAlign w:val="baseline"/>
        </w:rPr>
        <w:t>dengan</w:t>
      </w:r>
      <w:r>
        <w:rPr>
          <w:spacing w:val="-4"/>
          <w:vertAlign w:val="baseline"/>
        </w:rPr>
        <w:t> </w:t>
      </w:r>
      <w:r>
        <w:rPr>
          <w:vertAlign w:val="baseline"/>
        </w:rPr>
        <w:t>temuan</w:t>
      </w:r>
      <w:r>
        <w:rPr>
          <w:spacing w:val="-4"/>
          <w:vertAlign w:val="baseline"/>
        </w:rPr>
        <w:t> </w:t>
      </w:r>
      <w:r>
        <w:rPr>
          <w:vertAlign w:val="baseline"/>
        </w:rPr>
        <w:t>bahwa</w:t>
      </w:r>
      <w:r>
        <w:rPr>
          <w:spacing w:val="-6"/>
          <w:vertAlign w:val="baseline"/>
        </w:rPr>
        <w:t> </w:t>
      </w:r>
      <w:r>
        <w:rPr>
          <w:vertAlign w:val="baseline"/>
        </w:rPr>
        <w:t>inflasi</w:t>
      </w:r>
      <w:r>
        <w:rPr>
          <w:spacing w:val="-4"/>
          <w:vertAlign w:val="baseline"/>
        </w:rPr>
        <w:t> </w:t>
      </w:r>
      <w:r>
        <w:rPr>
          <w:vertAlign w:val="baseline"/>
        </w:rPr>
        <w:t>sering kali tidak menjadi faktor utama dalam pergerakan ISSI.</w:t>
      </w:r>
    </w:p>
    <w:p>
      <w:pPr>
        <w:pStyle w:val="Heading2"/>
        <w:numPr>
          <w:ilvl w:val="2"/>
          <w:numId w:val="24"/>
        </w:numPr>
        <w:tabs>
          <w:tab w:pos="1463" w:val="left" w:leader="none"/>
        </w:tabs>
        <w:spacing w:line="360" w:lineRule="auto" w:before="161" w:after="0"/>
        <w:ind w:left="1463" w:right="166" w:hanging="732"/>
        <w:jc w:val="both"/>
      </w:pPr>
      <w:bookmarkStart w:name="_bookmark168" w:id="169"/>
      <w:bookmarkEnd w:id="169"/>
      <w:r>
        <w:rPr>
          <w:b w:val="0"/>
        </w:rPr>
      </w:r>
      <w:r>
        <w:rPr/>
        <w:t>Pengaruh Indeks Produksi Industri Terhadap Indeks Saham Syariah </w:t>
      </w:r>
      <w:r>
        <w:rPr>
          <w:spacing w:val="-2"/>
        </w:rPr>
        <w:t>Indonesia</w:t>
      </w:r>
    </w:p>
    <w:p>
      <w:pPr>
        <w:pStyle w:val="BodyText"/>
        <w:spacing w:line="360" w:lineRule="auto" w:before="161"/>
        <w:ind w:left="1463" w:right="160" w:firstLine="720"/>
        <w:jc w:val="both"/>
      </w:pPr>
      <w:r>
        <w:rPr/>
        <w:t>Hasil pengujian analisis regresi menunjukan hasil t-statistic untuk variabel independen Indeks Produksi Industri (X4) sebesar 2,877535 dengan nilai</w:t>
      </w:r>
      <w:r>
        <w:rPr>
          <w:spacing w:val="-2"/>
        </w:rPr>
        <w:t> </w:t>
      </w:r>
      <w:r>
        <w:rPr/>
        <w:t>koefisien regresi</w:t>
      </w:r>
      <w:r>
        <w:rPr>
          <w:spacing w:val="1"/>
        </w:rPr>
        <w:t> </w:t>
      </w:r>
      <w:r>
        <w:rPr/>
        <w:t>sebesar 0,469894</w:t>
      </w:r>
      <w:r>
        <w:rPr>
          <w:spacing w:val="1"/>
        </w:rPr>
        <w:t> </w:t>
      </w:r>
      <w:r>
        <w:rPr/>
        <w:t>dan nilai</w:t>
      </w:r>
      <w:r>
        <w:rPr>
          <w:spacing w:val="-1"/>
        </w:rPr>
        <w:t> </w:t>
      </w:r>
      <w:r>
        <w:rPr/>
        <w:t>probabilitas</w:t>
      </w:r>
      <w:r>
        <w:rPr>
          <w:spacing w:val="1"/>
        </w:rPr>
        <w:t> </w:t>
      </w:r>
      <w:r>
        <w:rPr/>
        <w:t>sebesar 0,0057</w:t>
      </w:r>
      <w:r>
        <w:rPr>
          <w:spacing w:val="1"/>
        </w:rPr>
        <w:t> </w:t>
      </w:r>
      <w:r>
        <w:rPr>
          <w:spacing w:val="-10"/>
        </w:rPr>
        <w:t>&lt;</w:t>
      </w:r>
    </w:p>
    <w:p>
      <w:pPr>
        <w:pStyle w:val="BodyText"/>
        <w:spacing w:line="360" w:lineRule="auto"/>
        <w:ind w:left="1463" w:right="166"/>
        <w:jc w:val="both"/>
      </w:pPr>
      <w:r>
        <w:rPr/>
        <w:t>0.05 maka dapat disimpulkan bahwa Indeks Produksi Industri berpengaruh positif dan berpengaruh signifikan terhadap Indeks Saham Syariah Indonesia.</w:t>
      </w:r>
    </w:p>
    <w:p>
      <w:pPr>
        <w:pStyle w:val="BodyText"/>
        <w:spacing w:line="360" w:lineRule="auto"/>
        <w:ind w:left="1463" w:right="159" w:firstLine="720"/>
        <w:jc w:val="both"/>
      </w:pPr>
      <w:r>
        <w:rPr/>
        <w:t>Indeks Produksi Industri (IPI) merupakan indikator utama yang mencerminkan tingkat aktivitas produksi sektor industri di suatu negara dan sering digunakan sebagai barometer Kesehatan ekonomi riil. Dalam pasar modal</w:t>
      </w:r>
      <w:r>
        <w:rPr>
          <w:spacing w:val="-15"/>
        </w:rPr>
        <w:t> </w:t>
      </w:r>
      <w:r>
        <w:rPr/>
        <w:t>syariah</w:t>
      </w:r>
      <w:r>
        <w:rPr>
          <w:spacing w:val="-15"/>
        </w:rPr>
        <w:t> </w:t>
      </w:r>
      <w:r>
        <w:rPr/>
        <w:t>di</w:t>
      </w:r>
      <w:r>
        <w:rPr>
          <w:spacing w:val="-13"/>
        </w:rPr>
        <w:t> </w:t>
      </w:r>
      <w:r>
        <w:rPr/>
        <w:t>Indonesia,</w:t>
      </w:r>
      <w:r>
        <w:rPr>
          <w:spacing w:val="-15"/>
        </w:rPr>
        <w:t> </w:t>
      </w:r>
      <w:r>
        <w:rPr/>
        <w:t>yang</w:t>
      </w:r>
      <w:r>
        <w:rPr>
          <w:spacing w:val="-15"/>
        </w:rPr>
        <w:t> </w:t>
      </w:r>
      <w:r>
        <w:rPr/>
        <w:t>diwakili</w:t>
      </w:r>
      <w:r>
        <w:rPr>
          <w:spacing w:val="-15"/>
        </w:rPr>
        <w:t> </w:t>
      </w:r>
      <w:r>
        <w:rPr/>
        <w:t>oleh</w:t>
      </w:r>
      <w:r>
        <w:rPr>
          <w:spacing w:val="-13"/>
        </w:rPr>
        <w:t> </w:t>
      </w:r>
      <w:r>
        <w:rPr/>
        <w:t>Indeks</w:t>
      </w:r>
      <w:r>
        <w:rPr>
          <w:spacing w:val="-15"/>
        </w:rPr>
        <w:t> </w:t>
      </w:r>
      <w:r>
        <w:rPr/>
        <w:t>Saham</w:t>
      </w:r>
      <w:r>
        <w:rPr>
          <w:spacing w:val="-15"/>
        </w:rPr>
        <w:t> </w:t>
      </w:r>
      <w:r>
        <w:rPr/>
        <w:t>Syariah</w:t>
      </w:r>
      <w:r>
        <w:rPr>
          <w:spacing w:val="-12"/>
        </w:rPr>
        <w:t> </w:t>
      </w:r>
      <w:r>
        <w:rPr/>
        <w:t>Indonesia (ISSI),</w:t>
      </w:r>
      <w:r>
        <w:rPr>
          <w:spacing w:val="-10"/>
        </w:rPr>
        <w:t> </w:t>
      </w:r>
      <w:r>
        <w:rPr/>
        <w:t>IPI</w:t>
      </w:r>
      <w:r>
        <w:rPr>
          <w:spacing w:val="-12"/>
        </w:rPr>
        <w:t> </w:t>
      </w:r>
      <w:r>
        <w:rPr/>
        <w:t>memiliki</w:t>
      </w:r>
      <w:r>
        <w:rPr>
          <w:spacing w:val="-9"/>
        </w:rPr>
        <w:t> </w:t>
      </w:r>
      <w:r>
        <w:rPr/>
        <w:t>peranan</w:t>
      </w:r>
      <w:r>
        <w:rPr>
          <w:spacing w:val="-12"/>
        </w:rPr>
        <w:t> </w:t>
      </w:r>
      <w:r>
        <w:rPr/>
        <w:t>penting</w:t>
      </w:r>
      <w:r>
        <w:rPr>
          <w:spacing w:val="-11"/>
        </w:rPr>
        <w:t> </w:t>
      </w:r>
      <w:r>
        <w:rPr/>
        <w:t>sebagai</w:t>
      </w:r>
      <w:r>
        <w:rPr>
          <w:spacing w:val="-11"/>
        </w:rPr>
        <w:t> </w:t>
      </w:r>
      <w:r>
        <w:rPr/>
        <w:t>salah</w:t>
      </w:r>
      <w:r>
        <w:rPr>
          <w:spacing w:val="-10"/>
        </w:rPr>
        <w:t> </w:t>
      </w:r>
      <w:r>
        <w:rPr/>
        <w:t>satu</w:t>
      </w:r>
      <w:r>
        <w:rPr>
          <w:spacing w:val="-11"/>
        </w:rPr>
        <w:t> </w:t>
      </w:r>
      <w:r>
        <w:rPr/>
        <w:t>variabel</w:t>
      </w:r>
      <w:r>
        <w:rPr>
          <w:spacing w:val="-11"/>
        </w:rPr>
        <w:t> </w:t>
      </w:r>
      <w:r>
        <w:rPr/>
        <w:t>makroekonomi yang dapat memengaruhi pergerakan indeks tersebut secara signifikan. Ketika produksi industri meningkat, kinerja saham syariah cenderung membaik dan mendorong kenaikan nilai ISSI. Aktivitas industri yang meningkat biasanya mencerminkan</w:t>
      </w:r>
      <w:r>
        <w:rPr>
          <w:spacing w:val="-2"/>
        </w:rPr>
        <w:t> </w:t>
      </w:r>
      <w:r>
        <w:rPr/>
        <w:t>pertumbuhan</w:t>
      </w:r>
      <w:r>
        <w:rPr>
          <w:spacing w:val="-2"/>
        </w:rPr>
        <w:t> </w:t>
      </w:r>
      <w:r>
        <w:rPr/>
        <w:t>ekonomi yang</w:t>
      </w:r>
      <w:r>
        <w:rPr>
          <w:spacing w:val="-2"/>
        </w:rPr>
        <w:t> </w:t>
      </w:r>
      <w:r>
        <w:rPr/>
        <w:t>positif,</w:t>
      </w:r>
      <w:r>
        <w:rPr>
          <w:spacing w:val="-2"/>
        </w:rPr>
        <w:t> </w:t>
      </w:r>
      <w:r>
        <w:rPr/>
        <w:t>yang</w:t>
      </w:r>
      <w:r>
        <w:rPr>
          <w:spacing w:val="-2"/>
        </w:rPr>
        <w:t> </w:t>
      </w:r>
      <w:r>
        <w:rPr/>
        <w:t>pada</w:t>
      </w:r>
      <w:r>
        <w:rPr>
          <w:spacing w:val="-1"/>
        </w:rPr>
        <w:t> </w:t>
      </w:r>
      <w:r>
        <w:rPr/>
        <w:t>gilirannya</w:t>
      </w:r>
      <w:r>
        <w:rPr>
          <w:spacing w:val="-3"/>
        </w:rPr>
        <w:t> </w:t>
      </w:r>
      <w:r>
        <w:rPr/>
        <w:t>dapat memengaruhi</w:t>
      </w:r>
      <w:r>
        <w:rPr>
          <w:spacing w:val="-10"/>
        </w:rPr>
        <w:t> </w:t>
      </w:r>
      <w:r>
        <w:rPr/>
        <w:t>kinerja</w:t>
      </w:r>
      <w:r>
        <w:rPr>
          <w:spacing w:val="-10"/>
        </w:rPr>
        <w:t> </w:t>
      </w:r>
      <w:r>
        <w:rPr/>
        <w:t>pasar</w:t>
      </w:r>
      <w:r>
        <w:rPr>
          <w:spacing w:val="-10"/>
        </w:rPr>
        <w:t> </w:t>
      </w:r>
      <w:r>
        <w:rPr/>
        <w:t>modal,</w:t>
      </w:r>
      <w:r>
        <w:rPr>
          <w:spacing w:val="-10"/>
        </w:rPr>
        <w:t> </w:t>
      </w:r>
      <w:r>
        <w:rPr/>
        <w:t>termasuk</w:t>
      </w:r>
      <w:r>
        <w:rPr>
          <w:spacing w:val="-10"/>
        </w:rPr>
        <w:t> </w:t>
      </w:r>
      <w:r>
        <w:rPr/>
        <w:t>pasar</w:t>
      </w:r>
      <w:r>
        <w:rPr>
          <w:spacing w:val="-7"/>
        </w:rPr>
        <w:t> </w:t>
      </w:r>
      <w:r>
        <w:rPr/>
        <w:t>saham</w:t>
      </w:r>
      <w:r>
        <w:rPr>
          <w:spacing w:val="-10"/>
        </w:rPr>
        <w:t> </w:t>
      </w:r>
      <w:r>
        <w:rPr/>
        <w:t>syariah</w:t>
      </w:r>
      <w:r>
        <w:rPr>
          <w:spacing w:val="-10"/>
        </w:rPr>
        <w:t> </w:t>
      </w:r>
      <w:r>
        <w:rPr/>
        <w:t>yang</w:t>
      </w:r>
      <w:r>
        <w:rPr>
          <w:spacing w:val="-10"/>
        </w:rPr>
        <w:t> </w:t>
      </w:r>
      <w:r>
        <w:rPr/>
        <w:t>diwakili oleh Indeks Saham Syariah Indonesia (ISSI). Secara teori, peningkatan Indeks Produksi Industri menunjukkan bahwa sektor industri sedang mengalami peningkatan</w:t>
      </w:r>
      <w:r>
        <w:rPr>
          <w:spacing w:val="-12"/>
        </w:rPr>
        <w:t> </w:t>
      </w:r>
      <w:r>
        <w:rPr/>
        <w:t>output</w:t>
      </w:r>
      <w:r>
        <w:rPr>
          <w:spacing w:val="-11"/>
        </w:rPr>
        <w:t> </w:t>
      </w:r>
      <w:r>
        <w:rPr/>
        <w:t>dan</w:t>
      </w:r>
      <w:r>
        <w:rPr>
          <w:spacing w:val="-12"/>
        </w:rPr>
        <w:t> </w:t>
      </w:r>
      <w:r>
        <w:rPr/>
        <w:t>produktivitas.</w:t>
      </w:r>
      <w:r>
        <w:rPr>
          <w:spacing w:val="-11"/>
        </w:rPr>
        <w:t> </w:t>
      </w:r>
      <w:r>
        <w:rPr/>
        <w:t>Hal</w:t>
      </w:r>
      <w:r>
        <w:rPr>
          <w:spacing w:val="-11"/>
        </w:rPr>
        <w:t> </w:t>
      </w:r>
      <w:r>
        <w:rPr/>
        <w:t>ini</w:t>
      </w:r>
      <w:r>
        <w:rPr>
          <w:spacing w:val="-11"/>
        </w:rPr>
        <w:t> </w:t>
      </w:r>
      <w:r>
        <w:rPr/>
        <w:t>biasanya</w:t>
      </w:r>
      <w:r>
        <w:rPr>
          <w:spacing w:val="-13"/>
        </w:rPr>
        <w:t> </w:t>
      </w:r>
      <w:r>
        <w:rPr/>
        <w:t>diikuti</w:t>
      </w:r>
      <w:r>
        <w:rPr>
          <w:spacing w:val="-11"/>
        </w:rPr>
        <w:t> </w:t>
      </w:r>
      <w:r>
        <w:rPr/>
        <w:t>oleh</w:t>
      </w:r>
      <w:r>
        <w:rPr>
          <w:spacing w:val="-12"/>
        </w:rPr>
        <w:t> </w:t>
      </w:r>
      <w:r>
        <w:rPr/>
        <w:t>peningkatan pendapatan dan laba perusahaan industri, yang merupakan konstituen utama dalam ISSI. Oleh karena itu, kenaikan IPI dapat meningkatkan optimisme investor</w:t>
      </w:r>
      <w:r>
        <w:rPr>
          <w:spacing w:val="19"/>
        </w:rPr>
        <w:t> </w:t>
      </w:r>
      <w:r>
        <w:rPr/>
        <w:t>terhadap</w:t>
      </w:r>
      <w:r>
        <w:rPr>
          <w:spacing w:val="21"/>
        </w:rPr>
        <w:t> </w:t>
      </w:r>
      <w:r>
        <w:rPr/>
        <w:t>prospek</w:t>
      </w:r>
      <w:r>
        <w:rPr>
          <w:spacing w:val="24"/>
        </w:rPr>
        <w:t> </w:t>
      </w:r>
      <w:r>
        <w:rPr/>
        <w:t>perusahaan</w:t>
      </w:r>
      <w:r>
        <w:rPr>
          <w:spacing w:val="21"/>
        </w:rPr>
        <w:t> </w:t>
      </w:r>
      <w:r>
        <w:rPr/>
        <w:t>syariah,</w:t>
      </w:r>
      <w:r>
        <w:rPr>
          <w:spacing w:val="22"/>
        </w:rPr>
        <w:t> </w:t>
      </w:r>
      <w:r>
        <w:rPr/>
        <w:t>sehingga</w:t>
      </w:r>
      <w:r>
        <w:rPr>
          <w:spacing w:val="21"/>
        </w:rPr>
        <w:t> </w:t>
      </w:r>
      <w:r>
        <w:rPr/>
        <w:t>mendorong</w:t>
      </w:r>
      <w:r>
        <w:rPr>
          <w:spacing w:val="22"/>
        </w:rPr>
        <w:t> </w:t>
      </w:r>
      <w:r>
        <w:rPr>
          <w:spacing w:val="-2"/>
        </w:rPr>
        <w:t>kenaikan</w:t>
      </w:r>
    </w:p>
    <w:p>
      <w:pPr>
        <w:pStyle w:val="BodyText"/>
        <w:spacing w:before="160"/>
        <w:rPr>
          <w:sz w:val="20"/>
        </w:rPr>
      </w:pPr>
      <w:r>
        <w:rPr>
          <w:sz w:val="20"/>
        </w:rPr>
        <mc:AlternateContent>
          <mc:Choice Requires="wps">
            <w:drawing>
              <wp:anchor distT="0" distB="0" distL="0" distR="0" allowOverlap="1" layoutInCell="1" locked="0" behindDoc="1" simplePos="0" relativeHeight="487624192">
                <wp:simplePos x="0" y="0"/>
                <wp:positionH relativeFrom="page">
                  <wp:posOffset>914704</wp:posOffset>
                </wp:positionH>
                <wp:positionV relativeFrom="paragraph">
                  <wp:posOffset>263305</wp:posOffset>
                </wp:positionV>
                <wp:extent cx="1829435" cy="9525"/>
                <wp:effectExtent l="0" t="0" r="0" b="0"/>
                <wp:wrapTopAndBottom/>
                <wp:docPr id="349" name="Graphic 349"/>
                <wp:cNvGraphicFramePr>
                  <a:graphicFrameLocks/>
                </wp:cNvGraphicFramePr>
                <a:graphic>
                  <a:graphicData uri="http://schemas.microsoft.com/office/word/2010/wordprocessingShape">
                    <wps:wsp>
                      <wps:cNvPr id="349" name="Graphic 349"/>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732704pt;width:144.020pt;height:.72003pt;mso-position-horizontal-relative:page;mso-position-vertical-relative:paragraph;z-index:-15692288;mso-wrap-distance-left:0;mso-wrap-distance-right:0" id="docshape321" filled="true" fillcolor="#000000" stroked="false">
                <v:fill type="solid"/>
                <w10:wrap type="topAndBottom"/>
              </v:rect>
            </w:pict>
          </mc:Fallback>
        </mc:AlternateContent>
      </w:r>
    </w:p>
    <w:p>
      <w:pPr>
        <w:spacing w:before="101"/>
        <w:ind w:left="23" w:right="159" w:firstLine="719"/>
        <w:jc w:val="left"/>
        <w:rPr>
          <w:sz w:val="20"/>
        </w:rPr>
      </w:pPr>
      <w:bookmarkStart w:name="_bookmark169" w:id="170"/>
      <w:bookmarkEnd w:id="170"/>
      <w:r>
        <w:rPr/>
      </w:r>
      <w:r>
        <w:rPr>
          <w:sz w:val="20"/>
          <w:vertAlign w:val="superscript"/>
        </w:rPr>
        <w:t>100</w:t>
      </w:r>
      <w:r>
        <w:rPr>
          <w:spacing w:val="-2"/>
          <w:sz w:val="20"/>
          <w:vertAlign w:val="baseline"/>
        </w:rPr>
        <w:t> </w:t>
      </w:r>
      <w:r>
        <w:rPr>
          <w:sz w:val="20"/>
          <w:vertAlign w:val="baseline"/>
        </w:rPr>
        <w:t>Delta</w:t>
      </w:r>
      <w:r>
        <w:rPr>
          <w:spacing w:val="-1"/>
          <w:sz w:val="20"/>
          <w:vertAlign w:val="baseline"/>
        </w:rPr>
        <w:t> </w:t>
      </w:r>
      <w:r>
        <w:rPr>
          <w:sz w:val="20"/>
          <w:vertAlign w:val="baseline"/>
        </w:rPr>
        <w:t>Arthalya</w:t>
      </w:r>
      <w:r>
        <w:rPr>
          <w:spacing w:val="-1"/>
          <w:sz w:val="20"/>
          <w:vertAlign w:val="baseline"/>
        </w:rPr>
        <w:t> </w:t>
      </w:r>
      <w:r>
        <w:rPr>
          <w:sz w:val="20"/>
          <w:vertAlign w:val="baseline"/>
        </w:rPr>
        <w:t>and</w:t>
      </w:r>
      <w:r>
        <w:rPr>
          <w:spacing w:val="-1"/>
          <w:sz w:val="20"/>
          <w:vertAlign w:val="baseline"/>
        </w:rPr>
        <w:t> </w:t>
      </w:r>
      <w:r>
        <w:rPr>
          <w:sz w:val="20"/>
          <w:vertAlign w:val="baseline"/>
        </w:rPr>
        <w:t>Irvan</w:t>
      </w:r>
      <w:r>
        <w:rPr>
          <w:spacing w:val="-1"/>
          <w:sz w:val="20"/>
          <w:vertAlign w:val="baseline"/>
        </w:rPr>
        <w:t> </w:t>
      </w:r>
      <w:r>
        <w:rPr>
          <w:sz w:val="20"/>
          <w:vertAlign w:val="baseline"/>
        </w:rPr>
        <w:t>Yoga</w:t>
      </w:r>
      <w:r>
        <w:rPr>
          <w:spacing w:val="-1"/>
          <w:sz w:val="20"/>
          <w:vertAlign w:val="baseline"/>
        </w:rPr>
        <w:t> </w:t>
      </w:r>
      <w:r>
        <w:rPr>
          <w:sz w:val="20"/>
          <w:vertAlign w:val="baseline"/>
        </w:rPr>
        <w:t>Pardistya,</w:t>
      </w:r>
      <w:r>
        <w:rPr>
          <w:spacing w:val="-1"/>
          <w:sz w:val="20"/>
          <w:vertAlign w:val="baseline"/>
        </w:rPr>
        <w:t> </w:t>
      </w:r>
      <w:r>
        <w:rPr>
          <w:sz w:val="20"/>
          <w:vertAlign w:val="baseline"/>
        </w:rPr>
        <w:t>‘Pengaruh</w:t>
      </w:r>
      <w:r>
        <w:rPr>
          <w:spacing w:val="-1"/>
          <w:sz w:val="20"/>
          <w:vertAlign w:val="baseline"/>
        </w:rPr>
        <w:t> </w:t>
      </w:r>
      <w:r>
        <w:rPr>
          <w:sz w:val="20"/>
          <w:vertAlign w:val="baseline"/>
        </w:rPr>
        <w:t>Faktor</w:t>
      </w:r>
      <w:r>
        <w:rPr>
          <w:spacing w:val="-4"/>
          <w:sz w:val="20"/>
          <w:vertAlign w:val="baseline"/>
        </w:rPr>
        <w:t> </w:t>
      </w:r>
      <w:r>
        <w:rPr>
          <w:sz w:val="20"/>
          <w:vertAlign w:val="baseline"/>
        </w:rPr>
        <w:t>Makroekonomi</w:t>
      </w:r>
      <w:r>
        <w:rPr>
          <w:spacing w:val="-2"/>
          <w:sz w:val="20"/>
          <w:vertAlign w:val="baseline"/>
        </w:rPr>
        <w:t> </w:t>
      </w:r>
      <w:r>
        <w:rPr>
          <w:sz w:val="20"/>
          <w:vertAlign w:val="baseline"/>
        </w:rPr>
        <w:t>Terhadap</w:t>
      </w:r>
      <w:r>
        <w:rPr>
          <w:spacing w:val="-1"/>
          <w:sz w:val="20"/>
          <w:vertAlign w:val="baseline"/>
        </w:rPr>
        <w:t> </w:t>
      </w:r>
      <w:r>
        <w:rPr>
          <w:sz w:val="20"/>
          <w:vertAlign w:val="baseline"/>
        </w:rPr>
        <w:t>Indeks</w:t>
      </w:r>
      <w:r>
        <w:rPr>
          <w:spacing w:val="-3"/>
          <w:sz w:val="20"/>
          <w:vertAlign w:val="baseline"/>
        </w:rPr>
        <w:t> </w:t>
      </w:r>
      <w:r>
        <w:rPr>
          <w:sz w:val="20"/>
          <w:vertAlign w:val="baseline"/>
        </w:rPr>
        <w:t>Saham Syariah Indonesia’, </w:t>
      </w:r>
      <w:r>
        <w:rPr>
          <w:i/>
          <w:sz w:val="20"/>
          <w:vertAlign w:val="baseline"/>
        </w:rPr>
        <w:t>Jurnal Ilmiah Wahana Pendidikan</w:t>
      </w:r>
      <w:r>
        <w:rPr>
          <w:sz w:val="20"/>
          <w:vertAlign w:val="baseline"/>
        </w:rPr>
        <w:t>, 9.23 (2023), 198–209.</w:t>
      </w:r>
    </w:p>
    <w:p>
      <w:pPr>
        <w:spacing w:before="1"/>
        <w:ind w:left="743" w:right="0" w:firstLine="0"/>
        <w:jc w:val="left"/>
        <w:rPr>
          <w:sz w:val="20"/>
        </w:rPr>
      </w:pPr>
      <w:bookmarkStart w:name="_bookmark170" w:id="171"/>
      <w:bookmarkEnd w:id="171"/>
      <w:r>
        <w:rPr/>
      </w:r>
      <w:r>
        <w:rPr>
          <w:sz w:val="20"/>
          <w:vertAlign w:val="superscript"/>
        </w:rPr>
        <w:t>101</w:t>
      </w:r>
      <w:r>
        <w:rPr>
          <w:spacing w:val="-5"/>
          <w:sz w:val="20"/>
          <w:vertAlign w:val="baseline"/>
        </w:rPr>
        <w:t> </w:t>
      </w:r>
      <w:r>
        <w:rPr>
          <w:sz w:val="20"/>
          <w:vertAlign w:val="baseline"/>
        </w:rPr>
        <w:t>Andinata,</w:t>
      </w:r>
      <w:r>
        <w:rPr>
          <w:spacing w:val="-3"/>
          <w:sz w:val="20"/>
          <w:vertAlign w:val="baseline"/>
        </w:rPr>
        <w:t> </w:t>
      </w:r>
      <w:r>
        <w:rPr>
          <w:sz w:val="20"/>
          <w:vertAlign w:val="baseline"/>
        </w:rPr>
        <w:t>Akbar,</w:t>
      </w:r>
      <w:r>
        <w:rPr>
          <w:spacing w:val="-4"/>
          <w:sz w:val="20"/>
          <w:vertAlign w:val="baseline"/>
        </w:rPr>
        <w:t> </w:t>
      </w:r>
      <w:r>
        <w:rPr>
          <w:sz w:val="20"/>
          <w:vertAlign w:val="baseline"/>
        </w:rPr>
        <w:t>and</w:t>
      </w:r>
      <w:r>
        <w:rPr>
          <w:spacing w:val="-4"/>
          <w:sz w:val="20"/>
          <w:vertAlign w:val="baseline"/>
        </w:rPr>
        <w:t> </w:t>
      </w:r>
      <w:r>
        <w:rPr>
          <w:spacing w:val="-2"/>
          <w:sz w:val="20"/>
          <w:vertAlign w:val="baseline"/>
        </w:rPr>
        <w:t>Amelia.</w:t>
      </w:r>
    </w:p>
    <w:p>
      <w:pPr>
        <w:spacing w:after="0"/>
        <w:jc w:val="left"/>
        <w:rPr>
          <w:sz w:val="20"/>
        </w:rPr>
        <w:sectPr>
          <w:pgSz w:w="11910" w:h="16840"/>
          <w:pgMar w:header="0" w:footer="1000" w:top="1360" w:bottom="1200" w:left="1417" w:right="1275"/>
        </w:sectPr>
      </w:pPr>
    </w:p>
    <w:p>
      <w:pPr>
        <w:pStyle w:val="BodyText"/>
        <w:spacing w:line="360" w:lineRule="auto" w:before="60"/>
        <w:ind w:left="1463" w:right="162"/>
        <w:jc w:val="both"/>
      </w:pPr>
      <w:r>
        <w:rPr/>
        <w:t>harga</w:t>
      </w:r>
      <w:r>
        <w:rPr>
          <w:spacing w:val="-8"/>
        </w:rPr>
        <w:t> </w:t>
      </w:r>
      <w:r>
        <w:rPr/>
        <w:t>saham</w:t>
      </w:r>
      <w:r>
        <w:rPr>
          <w:spacing w:val="-6"/>
        </w:rPr>
        <w:t> </w:t>
      </w:r>
      <w:r>
        <w:rPr/>
        <w:t>dan</w:t>
      </w:r>
      <w:r>
        <w:rPr>
          <w:spacing w:val="-5"/>
        </w:rPr>
        <w:t> </w:t>
      </w:r>
      <w:r>
        <w:rPr/>
        <w:t>menguatkan</w:t>
      </w:r>
      <w:r>
        <w:rPr>
          <w:spacing w:val="-4"/>
        </w:rPr>
        <w:t> </w:t>
      </w:r>
      <w:r>
        <w:rPr/>
        <w:t>ISSI.</w:t>
      </w:r>
      <w:r>
        <w:rPr>
          <w:spacing w:val="-3"/>
        </w:rPr>
        <w:t> </w:t>
      </w:r>
      <w:r>
        <w:rPr/>
        <w:t>Disisi</w:t>
      </w:r>
      <w:r>
        <w:rPr>
          <w:spacing w:val="-6"/>
        </w:rPr>
        <w:t> </w:t>
      </w:r>
      <w:r>
        <w:rPr/>
        <w:t>lain</w:t>
      </w:r>
      <w:r>
        <w:rPr>
          <w:spacing w:val="-7"/>
        </w:rPr>
        <w:t> </w:t>
      </w:r>
      <w:r>
        <w:rPr/>
        <w:t>kenaikan</w:t>
      </w:r>
      <w:r>
        <w:rPr>
          <w:spacing w:val="-4"/>
        </w:rPr>
        <w:t> </w:t>
      </w:r>
      <w:r>
        <w:rPr/>
        <w:t>IPI</w:t>
      </w:r>
      <w:r>
        <w:rPr>
          <w:spacing w:val="-9"/>
        </w:rPr>
        <w:t> </w:t>
      </w:r>
      <w:r>
        <w:rPr/>
        <w:t>memberikan</w:t>
      </w:r>
      <w:r>
        <w:rPr>
          <w:spacing w:val="-7"/>
        </w:rPr>
        <w:t> </w:t>
      </w:r>
      <w:r>
        <w:rPr/>
        <w:t>sinyal positif kepada investor bahwa ekonomi sedang tumbuh, meningkatkan kepercayaan dan minat investasi pada saham syariah. Hasil penelitian sesuai dengan teori sinyal bahwasanya pertumbuhan industri manufaktur menjadi sinyal bagi perusahaan dalam menentukan pasar sahamnya, sehingga apabila sinyal</w:t>
      </w:r>
      <w:r>
        <w:rPr>
          <w:spacing w:val="-7"/>
        </w:rPr>
        <w:t> </w:t>
      </w:r>
      <w:r>
        <w:rPr/>
        <w:t>IPI</w:t>
      </w:r>
      <w:r>
        <w:rPr>
          <w:spacing w:val="-10"/>
        </w:rPr>
        <w:t> </w:t>
      </w:r>
      <w:r>
        <w:rPr/>
        <w:t>menunjukkan</w:t>
      </w:r>
      <w:r>
        <w:rPr>
          <w:spacing w:val="-4"/>
        </w:rPr>
        <w:t> </w:t>
      </w:r>
      <w:r>
        <w:rPr/>
        <w:t>hasil</w:t>
      </w:r>
      <w:r>
        <w:rPr>
          <w:spacing w:val="-6"/>
        </w:rPr>
        <w:t> </w:t>
      </w:r>
      <w:r>
        <w:rPr/>
        <w:t>positif</w:t>
      </w:r>
      <w:r>
        <w:rPr>
          <w:spacing w:val="-8"/>
        </w:rPr>
        <w:t> </w:t>
      </w:r>
      <w:r>
        <w:rPr/>
        <w:t>maka</w:t>
      </w:r>
      <w:r>
        <w:rPr>
          <w:spacing w:val="-8"/>
        </w:rPr>
        <w:t> </w:t>
      </w:r>
      <w:r>
        <w:rPr/>
        <w:t>perusahaan</w:t>
      </w:r>
      <w:r>
        <w:rPr>
          <w:spacing w:val="-7"/>
        </w:rPr>
        <w:t> </w:t>
      </w:r>
      <w:r>
        <w:rPr/>
        <w:t>sedang</w:t>
      </w:r>
      <w:r>
        <w:rPr>
          <w:spacing w:val="-7"/>
        </w:rPr>
        <w:t> </w:t>
      </w:r>
      <w:r>
        <w:rPr/>
        <w:t>bertumbuh.</w:t>
      </w:r>
      <w:r>
        <w:rPr>
          <w:spacing w:val="-7"/>
        </w:rPr>
        <w:t> </w:t>
      </w:r>
      <w:r>
        <w:rPr/>
        <w:t>Pada akhirnya akibat pertumbuhan perusahaan manufaktur tersebut akan mempengaruhi harga sahamnya pada Indeks Saham Syariah Indonesia.</w:t>
      </w:r>
    </w:p>
    <w:p>
      <w:pPr>
        <w:pStyle w:val="BodyText"/>
        <w:spacing w:line="360" w:lineRule="auto" w:before="1"/>
        <w:ind w:left="1463" w:right="159" w:firstLine="720"/>
        <w:jc w:val="both"/>
      </w:pPr>
      <w:r>
        <w:rPr/>
        <w:t>Penelitian yang dilakukan Ridha secara eksplisit menunjukkan bahwa IPI berpengaruh positif dan signifikan terhadap ISSI, yang mengindikasikan bahwa peningkatan produksi industri secara langsung mendukung penguatan indeks saham syariah.</w:t>
      </w:r>
      <w:hyperlink w:history="true" w:anchor="_bookmark171">
        <w:r>
          <w:rPr>
            <w:vertAlign w:val="superscript"/>
          </w:rPr>
          <w:t>102</w:t>
        </w:r>
      </w:hyperlink>
      <w:r>
        <w:rPr>
          <w:vertAlign w:val="baseline"/>
        </w:rPr>
        <w:t> Penelitian Lisdawami ditemukan bahwa IPI juga berpengaruh positif dan signifikan terhadap ISSI.</w:t>
      </w:r>
      <w:hyperlink w:history="true" w:anchor="_bookmark172">
        <w:r>
          <w:rPr>
            <w:vertAlign w:val="superscript"/>
          </w:rPr>
          <w:t>103</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0"/>
        <w:rPr>
          <w:sz w:val="20"/>
        </w:rPr>
      </w:pPr>
      <w:r>
        <w:rPr>
          <w:sz w:val="20"/>
        </w:rPr>
        <mc:AlternateContent>
          <mc:Choice Requires="wps">
            <w:drawing>
              <wp:anchor distT="0" distB="0" distL="0" distR="0" allowOverlap="1" layoutInCell="1" locked="0" behindDoc="1" simplePos="0" relativeHeight="487624704">
                <wp:simplePos x="0" y="0"/>
                <wp:positionH relativeFrom="page">
                  <wp:posOffset>914704</wp:posOffset>
                </wp:positionH>
                <wp:positionV relativeFrom="paragraph">
                  <wp:posOffset>262879</wp:posOffset>
                </wp:positionV>
                <wp:extent cx="1829435" cy="9525"/>
                <wp:effectExtent l="0" t="0" r="0" b="0"/>
                <wp:wrapTopAndBottom/>
                <wp:docPr id="350" name="Graphic 350"/>
                <wp:cNvGraphicFramePr>
                  <a:graphicFrameLocks/>
                </wp:cNvGraphicFramePr>
                <a:graphic>
                  <a:graphicData uri="http://schemas.microsoft.com/office/word/2010/wordprocessingShape">
                    <wps:wsp>
                      <wps:cNvPr id="350" name="Graphic 35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0.699188pt;width:144.020pt;height:.72003pt;mso-position-horizontal-relative:page;mso-position-vertical-relative:paragraph;z-index:-15691776;mso-wrap-distance-left:0;mso-wrap-distance-right:0" id="docshape322" filled="true" fillcolor="#000000" stroked="false">
                <v:fill type="solid"/>
                <w10:wrap type="topAndBottom"/>
              </v:rect>
            </w:pict>
          </mc:Fallback>
        </mc:AlternateContent>
      </w:r>
    </w:p>
    <w:p>
      <w:pPr>
        <w:spacing w:before="101"/>
        <w:ind w:left="23" w:right="0" w:firstLine="719"/>
        <w:jc w:val="left"/>
        <w:rPr>
          <w:sz w:val="20"/>
        </w:rPr>
      </w:pPr>
      <w:bookmarkStart w:name="_bookmark171" w:id="172"/>
      <w:bookmarkEnd w:id="172"/>
      <w:r>
        <w:rPr/>
      </w:r>
      <w:r>
        <w:rPr>
          <w:sz w:val="20"/>
          <w:vertAlign w:val="superscript"/>
        </w:rPr>
        <w:t>102</w:t>
      </w:r>
      <w:r>
        <w:rPr>
          <w:spacing w:val="-2"/>
          <w:sz w:val="20"/>
          <w:vertAlign w:val="baseline"/>
        </w:rPr>
        <w:t> </w:t>
      </w:r>
      <w:r>
        <w:rPr>
          <w:sz w:val="20"/>
          <w:vertAlign w:val="baseline"/>
        </w:rPr>
        <w:t>Azzahra</w:t>
      </w:r>
      <w:r>
        <w:rPr>
          <w:spacing w:val="-1"/>
          <w:sz w:val="20"/>
          <w:vertAlign w:val="baseline"/>
        </w:rPr>
        <w:t> </w:t>
      </w:r>
      <w:r>
        <w:rPr>
          <w:sz w:val="20"/>
          <w:vertAlign w:val="baseline"/>
        </w:rPr>
        <w:t>Hasna</w:t>
      </w:r>
      <w:r>
        <w:rPr>
          <w:spacing w:val="-1"/>
          <w:sz w:val="20"/>
          <w:vertAlign w:val="baseline"/>
        </w:rPr>
        <w:t> </w:t>
      </w:r>
      <w:r>
        <w:rPr>
          <w:sz w:val="20"/>
          <w:vertAlign w:val="baseline"/>
        </w:rPr>
        <w:t>Ridha,</w:t>
      </w:r>
      <w:r>
        <w:rPr>
          <w:spacing w:val="-1"/>
          <w:sz w:val="20"/>
          <w:vertAlign w:val="baseline"/>
        </w:rPr>
        <w:t> </w:t>
      </w:r>
      <w:r>
        <w:rPr>
          <w:sz w:val="20"/>
          <w:vertAlign w:val="baseline"/>
        </w:rPr>
        <w:t>‘Analisis</w:t>
      </w:r>
      <w:r>
        <w:rPr>
          <w:spacing w:val="-3"/>
          <w:sz w:val="20"/>
          <w:vertAlign w:val="baseline"/>
        </w:rPr>
        <w:t> </w:t>
      </w:r>
      <w:r>
        <w:rPr>
          <w:sz w:val="20"/>
          <w:vertAlign w:val="baseline"/>
        </w:rPr>
        <w:t>Pengaruh</w:t>
      </w:r>
      <w:r>
        <w:rPr>
          <w:spacing w:val="-1"/>
          <w:sz w:val="20"/>
          <w:vertAlign w:val="baseline"/>
        </w:rPr>
        <w:t> </w:t>
      </w:r>
      <w:r>
        <w:rPr>
          <w:sz w:val="20"/>
          <w:vertAlign w:val="baseline"/>
        </w:rPr>
        <w:t>Variabel</w:t>
      </w:r>
      <w:r>
        <w:rPr>
          <w:spacing w:val="-2"/>
          <w:sz w:val="20"/>
          <w:vertAlign w:val="baseline"/>
        </w:rPr>
        <w:t> </w:t>
      </w:r>
      <w:r>
        <w:rPr>
          <w:sz w:val="20"/>
          <w:vertAlign w:val="baseline"/>
        </w:rPr>
        <w:t>Makroekonomi</w:t>
      </w:r>
      <w:r>
        <w:rPr>
          <w:spacing w:val="-4"/>
          <w:sz w:val="20"/>
          <w:vertAlign w:val="baseline"/>
        </w:rPr>
        <w:t> </w:t>
      </w:r>
      <w:r>
        <w:rPr>
          <w:sz w:val="20"/>
          <w:vertAlign w:val="baseline"/>
        </w:rPr>
        <w:t>Terhadap</w:t>
      </w:r>
      <w:r>
        <w:rPr>
          <w:spacing w:val="-1"/>
          <w:sz w:val="20"/>
          <w:vertAlign w:val="baseline"/>
        </w:rPr>
        <w:t> </w:t>
      </w:r>
      <w:r>
        <w:rPr>
          <w:sz w:val="20"/>
          <w:vertAlign w:val="baseline"/>
        </w:rPr>
        <w:t>Indeks</w:t>
      </w:r>
      <w:r>
        <w:rPr>
          <w:spacing w:val="-3"/>
          <w:sz w:val="20"/>
          <w:vertAlign w:val="baseline"/>
        </w:rPr>
        <w:t> </w:t>
      </w:r>
      <w:r>
        <w:rPr>
          <w:sz w:val="20"/>
          <w:vertAlign w:val="baseline"/>
        </w:rPr>
        <w:t>Saham</w:t>
      </w:r>
      <w:r>
        <w:rPr>
          <w:spacing w:val="-1"/>
          <w:sz w:val="20"/>
          <w:vertAlign w:val="baseline"/>
        </w:rPr>
        <w:t> </w:t>
      </w:r>
      <w:r>
        <w:rPr>
          <w:sz w:val="20"/>
          <w:vertAlign w:val="baseline"/>
        </w:rPr>
        <w:t>Syariah Indonesia’, </w:t>
      </w:r>
      <w:r>
        <w:rPr>
          <w:i/>
          <w:sz w:val="20"/>
          <w:vertAlign w:val="baseline"/>
        </w:rPr>
        <w:t>Universitas Islam Indonesia</w:t>
      </w:r>
      <w:r>
        <w:rPr>
          <w:sz w:val="20"/>
          <w:vertAlign w:val="baseline"/>
        </w:rPr>
        <w:t>, 2016.</w:t>
      </w:r>
    </w:p>
    <w:p>
      <w:pPr>
        <w:spacing w:before="1"/>
        <w:ind w:left="743" w:right="0" w:firstLine="0"/>
        <w:jc w:val="left"/>
        <w:rPr>
          <w:sz w:val="20"/>
        </w:rPr>
      </w:pPr>
      <w:bookmarkStart w:name="_bookmark172" w:id="173"/>
      <w:bookmarkEnd w:id="173"/>
      <w:r>
        <w:rPr/>
      </w:r>
      <w:r>
        <w:rPr>
          <w:sz w:val="20"/>
          <w:vertAlign w:val="superscript"/>
        </w:rPr>
        <w:t>103</w:t>
      </w:r>
      <w:r>
        <w:rPr>
          <w:spacing w:val="28"/>
          <w:sz w:val="20"/>
          <w:vertAlign w:val="baseline"/>
        </w:rPr>
        <w:t> </w:t>
      </w:r>
      <w:r>
        <w:rPr>
          <w:sz w:val="20"/>
          <w:vertAlign w:val="baseline"/>
        </w:rPr>
        <w:t>Indi</w:t>
      </w:r>
      <w:r>
        <w:rPr>
          <w:spacing w:val="28"/>
          <w:sz w:val="20"/>
          <w:vertAlign w:val="baseline"/>
        </w:rPr>
        <w:t> </w:t>
      </w:r>
      <w:r>
        <w:rPr>
          <w:sz w:val="20"/>
          <w:vertAlign w:val="baseline"/>
        </w:rPr>
        <w:t>Masita</w:t>
      </w:r>
      <w:r>
        <w:rPr>
          <w:spacing w:val="29"/>
          <w:sz w:val="20"/>
          <w:vertAlign w:val="baseline"/>
        </w:rPr>
        <w:t> </w:t>
      </w:r>
      <w:r>
        <w:rPr>
          <w:sz w:val="20"/>
          <w:vertAlign w:val="baseline"/>
        </w:rPr>
        <w:t>Lisdawami,</w:t>
      </w:r>
      <w:r>
        <w:rPr>
          <w:spacing w:val="28"/>
          <w:sz w:val="20"/>
          <w:vertAlign w:val="baseline"/>
        </w:rPr>
        <w:t> </w:t>
      </w:r>
      <w:r>
        <w:rPr>
          <w:sz w:val="20"/>
          <w:vertAlign w:val="baseline"/>
        </w:rPr>
        <w:t>‘Pengaruh</w:t>
      </w:r>
      <w:r>
        <w:rPr>
          <w:spacing w:val="29"/>
          <w:sz w:val="20"/>
          <w:vertAlign w:val="baseline"/>
        </w:rPr>
        <w:t> </w:t>
      </w:r>
      <w:r>
        <w:rPr>
          <w:sz w:val="20"/>
          <w:vertAlign w:val="baseline"/>
        </w:rPr>
        <w:t>Kurs,</w:t>
      </w:r>
      <w:r>
        <w:rPr>
          <w:spacing w:val="29"/>
          <w:sz w:val="20"/>
          <w:vertAlign w:val="baseline"/>
        </w:rPr>
        <w:t> </w:t>
      </w:r>
      <w:r>
        <w:rPr>
          <w:sz w:val="20"/>
          <w:vertAlign w:val="baseline"/>
        </w:rPr>
        <w:t>Inflasi</w:t>
      </w:r>
      <w:r>
        <w:rPr>
          <w:spacing w:val="28"/>
          <w:sz w:val="20"/>
          <w:vertAlign w:val="baseline"/>
        </w:rPr>
        <w:t> </w:t>
      </w:r>
      <w:r>
        <w:rPr>
          <w:sz w:val="20"/>
          <w:vertAlign w:val="baseline"/>
        </w:rPr>
        <w:t>Dan</w:t>
      </w:r>
      <w:r>
        <w:rPr>
          <w:spacing w:val="30"/>
          <w:sz w:val="20"/>
          <w:vertAlign w:val="baseline"/>
        </w:rPr>
        <w:t> </w:t>
      </w:r>
      <w:r>
        <w:rPr>
          <w:sz w:val="20"/>
          <w:vertAlign w:val="baseline"/>
        </w:rPr>
        <w:t>Indeks</w:t>
      </w:r>
      <w:r>
        <w:rPr>
          <w:spacing w:val="28"/>
          <w:sz w:val="20"/>
          <w:vertAlign w:val="baseline"/>
        </w:rPr>
        <w:t> </w:t>
      </w:r>
      <w:r>
        <w:rPr>
          <w:sz w:val="20"/>
          <w:vertAlign w:val="baseline"/>
        </w:rPr>
        <w:t>Produksi</w:t>
      </w:r>
      <w:r>
        <w:rPr>
          <w:spacing w:val="28"/>
          <w:sz w:val="20"/>
          <w:vertAlign w:val="baseline"/>
        </w:rPr>
        <w:t> </w:t>
      </w:r>
      <w:r>
        <w:rPr>
          <w:sz w:val="20"/>
          <w:vertAlign w:val="baseline"/>
        </w:rPr>
        <w:t>Industri</w:t>
      </w:r>
      <w:r>
        <w:rPr>
          <w:spacing w:val="28"/>
          <w:sz w:val="20"/>
          <w:vertAlign w:val="baseline"/>
        </w:rPr>
        <w:t> </w:t>
      </w:r>
      <w:r>
        <w:rPr>
          <w:sz w:val="20"/>
          <w:vertAlign w:val="baseline"/>
        </w:rPr>
        <w:t>Terhadap</w:t>
      </w:r>
      <w:r>
        <w:rPr>
          <w:spacing w:val="30"/>
          <w:sz w:val="20"/>
          <w:vertAlign w:val="baseline"/>
        </w:rPr>
        <w:t> </w:t>
      </w:r>
      <w:r>
        <w:rPr>
          <w:spacing w:val="-2"/>
          <w:sz w:val="20"/>
          <w:vertAlign w:val="baseline"/>
        </w:rPr>
        <w:t>Jakarta</w:t>
      </w:r>
    </w:p>
    <w:p>
      <w:pPr>
        <w:tabs>
          <w:tab w:pos="939" w:val="left" w:leader="none"/>
          <w:tab w:pos="1725" w:val="left" w:leader="none"/>
          <w:tab w:pos="2661" w:val="left" w:leader="none"/>
          <w:tab w:pos="3976" w:val="left" w:leader="none"/>
          <w:tab w:pos="5113" w:val="left" w:leader="none"/>
          <w:tab w:pos="5964" w:val="left" w:leader="none"/>
          <w:tab w:pos="6703" w:val="left" w:leader="none"/>
          <w:tab w:pos="7939" w:val="left" w:leader="none"/>
          <w:tab w:pos="8517" w:val="left" w:leader="none"/>
        </w:tabs>
        <w:spacing w:line="229" w:lineRule="exact" w:before="0"/>
        <w:ind w:left="23" w:right="0" w:firstLine="0"/>
        <w:jc w:val="left"/>
        <w:rPr>
          <w:sz w:val="20"/>
        </w:rPr>
      </w:pPr>
      <w:r>
        <w:rPr>
          <w:spacing w:val="-2"/>
          <w:sz w:val="20"/>
        </w:rPr>
        <w:t>Islamic</w:t>
      </w:r>
      <w:r>
        <w:rPr>
          <w:sz w:val="20"/>
        </w:rPr>
        <w:tab/>
      </w:r>
      <w:r>
        <w:rPr>
          <w:spacing w:val="-2"/>
          <w:sz w:val="20"/>
        </w:rPr>
        <w:t>Index</w:t>
      </w:r>
      <w:r>
        <w:rPr>
          <w:sz w:val="20"/>
        </w:rPr>
        <w:tab/>
      </w:r>
      <w:r>
        <w:rPr>
          <w:spacing w:val="-2"/>
          <w:sz w:val="20"/>
        </w:rPr>
        <w:t>Periode</w:t>
      </w:r>
      <w:r>
        <w:rPr>
          <w:sz w:val="20"/>
        </w:rPr>
        <w:tab/>
      </w:r>
      <w:r>
        <w:rPr>
          <w:spacing w:val="-2"/>
          <w:sz w:val="20"/>
        </w:rPr>
        <w:t>2010-2019’,</w:t>
      </w:r>
      <w:r>
        <w:rPr>
          <w:sz w:val="20"/>
        </w:rPr>
        <w:tab/>
      </w:r>
      <w:r>
        <w:rPr>
          <w:i/>
          <w:spacing w:val="-2"/>
          <w:sz w:val="20"/>
        </w:rPr>
        <w:t>Ulûmuna:</w:t>
      </w:r>
      <w:r>
        <w:rPr>
          <w:i/>
          <w:sz w:val="20"/>
        </w:rPr>
        <w:tab/>
      </w:r>
      <w:r>
        <w:rPr>
          <w:i/>
          <w:spacing w:val="-2"/>
          <w:sz w:val="20"/>
        </w:rPr>
        <w:t>Jurnal</w:t>
      </w:r>
      <w:r>
        <w:rPr>
          <w:i/>
          <w:sz w:val="20"/>
        </w:rPr>
        <w:tab/>
      </w:r>
      <w:r>
        <w:rPr>
          <w:i/>
          <w:spacing w:val="-2"/>
          <w:sz w:val="20"/>
        </w:rPr>
        <w:t>Studi</w:t>
      </w:r>
      <w:r>
        <w:rPr>
          <w:i/>
          <w:sz w:val="20"/>
        </w:rPr>
        <w:tab/>
      </w:r>
      <w:r>
        <w:rPr>
          <w:i/>
          <w:spacing w:val="-2"/>
          <w:sz w:val="20"/>
        </w:rPr>
        <w:t>Keislaman</w:t>
      </w:r>
      <w:r>
        <w:rPr>
          <w:spacing w:val="-2"/>
          <w:sz w:val="20"/>
        </w:rPr>
        <w:t>,</w:t>
      </w:r>
      <w:r>
        <w:rPr>
          <w:sz w:val="20"/>
        </w:rPr>
        <w:tab/>
      </w:r>
      <w:r>
        <w:rPr>
          <w:spacing w:val="-5"/>
          <w:sz w:val="20"/>
        </w:rPr>
        <w:t>7.1</w:t>
      </w:r>
      <w:r>
        <w:rPr>
          <w:sz w:val="20"/>
        </w:rPr>
        <w:tab/>
      </w:r>
      <w:r>
        <w:rPr>
          <w:spacing w:val="-2"/>
          <w:sz w:val="20"/>
        </w:rPr>
        <w:t>(2021)</w:t>
      </w:r>
    </w:p>
    <w:p>
      <w:pPr>
        <w:spacing w:before="0"/>
        <w:ind w:left="23" w:right="160" w:firstLine="0"/>
        <w:jc w:val="left"/>
        <w:rPr>
          <w:sz w:val="20"/>
        </w:rPr>
      </w:pPr>
      <w:hyperlink r:id="rId22">
        <w:r>
          <w:rPr>
            <w:spacing w:val="-2"/>
            <w:sz w:val="20"/>
          </w:rPr>
          <w:t>&lt;http://scioteca.caf.com/bitstream/handle/123456789/1091/RED2017-Eng-</w:t>
        </w:r>
      </w:hyperlink>
      <w:r>
        <w:rPr>
          <w:spacing w:val="-2"/>
          <w:sz w:val="20"/>
        </w:rPr>
        <w:t> 8ene.pdf?sequence=12&amp;isAllowed=y%0Ahttp://dx.doi.org/10.1016/j.regsciurbeco.2008.06.005%0Ahttps://ww w.researchgate.net/publication/305320484_SISTEM_PEMBETUNGAN_TERPUSAT_STRATEGI_MELESTA </w:t>
      </w:r>
      <w:r>
        <w:rPr>
          <w:spacing w:val="-4"/>
          <w:sz w:val="20"/>
        </w:rPr>
        <w:t>RI&gt;.</w:t>
      </w:r>
    </w:p>
    <w:p>
      <w:pPr>
        <w:spacing w:after="0"/>
        <w:jc w:val="left"/>
        <w:rPr>
          <w:sz w:val="20"/>
        </w:rPr>
        <w:sectPr>
          <w:pgSz w:w="11910" w:h="16840"/>
          <w:pgMar w:header="0" w:footer="1000" w:top="1360" w:bottom="1200" w:left="1417" w:right="1275"/>
        </w:sectPr>
      </w:pPr>
    </w:p>
    <w:p>
      <w:pPr>
        <w:pStyle w:val="Heading1"/>
        <w:spacing w:line="499" w:lineRule="auto"/>
        <w:ind w:left="3969" w:right="4109" w:firstLine="1"/>
      </w:pPr>
      <w:bookmarkStart w:name="_bookmark173" w:id="174"/>
      <w:bookmarkEnd w:id="174"/>
      <w:r>
        <w:rPr>
          <w:b w:val="0"/>
        </w:rPr>
      </w:r>
      <w:r>
        <w:rPr/>
        <w:t>BAB V </w:t>
      </w:r>
      <w:bookmarkStart w:name="_bookmark174" w:id="175"/>
      <w:bookmarkEnd w:id="175"/>
      <w:r>
        <w:rPr>
          <w:spacing w:val="-2"/>
        </w:rPr>
        <w:t>PENUTUP</w:t>
      </w:r>
    </w:p>
    <w:p>
      <w:pPr>
        <w:pStyle w:val="Heading2"/>
        <w:numPr>
          <w:ilvl w:val="1"/>
          <w:numId w:val="26"/>
        </w:numPr>
        <w:tabs>
          <w:tab w:pos="742" w:val="left" w:leader="none"/>
        </w:tabs>
        <w:spacing w:line="240" w:lineRule="auto" w:before="0" w:after="0"/>
        <w:ind w:left="742" w:right="0" w:hanging="359"/>
        <w:jc w:val="left"/>
      </w:pPr>
      <w:bookmarkStart w:name="_bookmark175" w:id="176"/>
      <w:bookmarkEnd w:id="176"/>
      <w:r>
        <w:rPr>
          <w:b w:val="0"/>
        </w:rPr>
      </w:r>
      <w:r>
        <w:rPr>
          <w:spacing w:val="-2"/>
        </w:rPr>
        <w:t>Kesimpulan</w:t>
      </w:r>
    </w:p>
    <w:p>
      <w:pPr>
        <w:pStyle w:val="BodyText"/>
        <w:spacing w:before="21"/>
        <w:rPr>
          <w:b/>
        </w:rPr>
      </w:pPr>
    </w:p>
    <w:p>
      <w:pPr>
        <w:pStyle w:val="BodyText"/>
        <w:spacing w:line="360" w:lineRule="auto" w:before="1"/>
        <w:ind w:left="743" w:right="166" w:firstLine="720"/>
        <w:jc w:val="both"/>
      </w:pPr>
      <w:r>
        <w:rPr/>
        <w:t>Berdasarkan hasil penelitian dan analisis data mengenai pengaruh Indeks Keyakinan Konsumen dan indikator makroekonomi terhadap Indeks Saham Syariah Indonesia (ISSI) pada periode 2020–2024, maka dapat disimpulkan hal-hal berikut:</w:t>
      </w:r>
    </w:p>
    <w:p>
      <w:pPr>
        <w:pStyle w:val="ListParagraph"/>
        <w:numPr>
          <w:ilvl w:val="2"/>
          <w:numId w:val="26"/>
        </w:numPr>
        <w:tabs>
          <w:tab w:pos="1463" w:val="left" w:leader="none"/>
        </w:tabs>
        <w:spacing w:line="360" w:lineRule="auto" w:before="1" w:after="0"/>
        <w:ind w:left="1463" w:right="160" w:hanging="360"/>
        <w:jc w:val="both"/>
        <w:rPr>
          <w:sz w:val="24"/>
        </w:rPr>
      </w:pPr>
      <w:r>
        <w:rPr>
          <w:sz w:val="24"/>
        </w:rPr>
        <w:t>Indeks Keyakinan Konsumen (IKK) berpengaruh positif dan signifikan terhadap ISSI. t-statistic untuk variabel independen Indeks Keyakinan Konsumen (</w:t>
      </w:r>
      <w:r>
        <w:rPr>
          <w:rFonts w:ascii="Cambria Math" w:eastAsia="Cambria Math"/>
          <w:sz w:val="24"/>
        </w:rPr>
        <w:t>𝑋</w:t>
      </w:r>
      <w:r>
        <w:rPr>
          <w:rFonts w:ascii="Cambria Math" w:eastAsia="Cambria Math"/>
          <w:sz w:val="24"/>
          <w:vertAlign w:val="subscript"/>
        </w:rPr>
        <w:t>1</w:t>
      </w:r>
      <w:r>
        <w:rPr>
          <w:sz w:val="24"/>
          <w:vertAlign w:val="baseline"/>
        </w:rPr>
        <w:t>) sebesar 4,207465 dengan nilai koefisien regresi sebesar 0,423724 dan nilai probabilitas sebesar</w:t>
      </w:r>
      <w:r>
        <w:rPr>
          <w:spacing w:val="-1"/>
          <w:sz w:val="24"/>
          <w:vertAlign w:val="baseline"/>
        </w:rPr>
        <w:t> </w:t>
      </w:r>
      <w:r>
        <w:rPr>
          <w:sz w:val="24"/>
          <w:vertAlign w:val="baseline"/>
        </w:rPr>
        <w:t>0.0001 &lt; 0,05. Artinya, semakin tinggi tingkat optimisme konsumen terhadap kondisi ekonomi, maka semakin meningkat pula nilai indeks saham syariah Indonesia. IKK menjadi sinyal penting bagi investor dalam menilai prospek pasar saham.</w:t>
      </w:r>
    </w:p>
    <w:p>
      <w:pPr>
        <w:pStyle w:val="ListParagraph"/>
        <w:numPr>
          <w:ilvl w:val="2"/>
          <w:numId w:val="26"/>
        </w:numPr>
        <w:tabs>
          <w:tab w:pos="1463" w:val="left" w:leader="none"/>
        </w:tabs>
        <w:spacing w:line="360" w:lineRule="auto" w:before="1" w:after="0"/>
        <w:ind w:left="1463" w:right="163" w:hanging="360"/>
        <w:jc w:val="both"/>
        <w:rPr>
          <w:sz w:val="24"/>
        </w:rPr>
      </w:pPr>
      <w:r>
        <w:rPr>
          <w:sz w:val="24"/>
        </w:rPr>
        <w:t>Nilai tukar memiliki pengaruh positif namun tidak signifikan terhadap ISSI. Adapun</w:t>
      </w:r>
      <w:r>
        <w:rPr>
          <w:spacing w:val="-14"/>
          <w:sz w:val="24"/>
        </w:rPr>
        <w:t> </w:t>
      </w:r>
      <w:r>
        <w:rPr>
          <w:sz w:val="24"/>
        </w:rPr>
        <w:t>hasil</w:t>
      </w:r>
      <w:r>
        <w:rPr>
          <w:spacing w:val="-13"/>
          <w:sz w:val="24"/>
        </w:rPr>
        <w:t> </w:t>
      </w:r>
      <w:r>
        <w:rPr>
          <w:sz w:val="24"/>
        </w:rPr>
        <w:t>t-statistic</w:t>
      </w:r>
      <w:r>
        <w:rPr>
          <w:spacing w:val="-14"/>
          <w:sz w:val="24"/>
        </w:rPr>
        <w:t> </w:t>
      </w:r>
      <w:r>
        <w:rPr>
          <w:sz w:val="24"/>
        </w:rPr>
        <w:t>untuk</w:t>
      </w:r>
      <w:r>
        <w:rPr>
          <w:spacing w:val="-14"/>
          <w:sz w:val="24"/>
        </w:rPr>
        <w:t> </w:t>
      </w:r>
      <w:r>
        <w:rPr>
          <w:sz w:val="24"/>
        </w:rPr>
        <w:t>variabel</w:t>
      </w:r>
      <w:r>
        <w:rPr>
          <w:spacing w:val="-14"/>
          <w:sz w:val="24"/>
        </w:rPr>
        <w:t> </w:t>
      </w:r>
      <w:r>
        <w:rPr>
          <w:sz w:val="24"/>
        </w:rPr>
        <w:t>independen</w:t>
      </w:r>
      <w:r>
        <w:rPr>
          <w:spacing w:val="-12"/>
          <w:sz w:val="24"/>
        </w:rPr>
        <w:t> </w:t>
      </w:r>
      <w:r>
        <w:rPr>
          <w:sz w:val="24"/>
        </w:rPr>
        <w:t>inflasi</w:t>
      </w:r>
      <w:r>
        <w:rPr>
          <w:spacing w:val="-13"/>
          <w:sz w:val="24"/>
        </w:rPr>
        <w:t> </w:t>
      </w:r>
      <w:r>
        <w:rPr>
          <w:sz w:val="24"/>
        </w:rPr>
        <w:t>(</w:t>
      </w:r>
      <w:r>
        <w:rPr>
          <w:rFonts w:ascii="Cambria Math" w:eastAsia="Cambria Math"/>
          <w:sz w:val="24"/>
        </w:rPr>
        <w:t>𝑋</w:t>
      </w:r>
      <w:r>
        <w:rPr>
          <w:rFonts w:ascii="Cambria Math" w:eastAsia="Cambria Math"/>
          <w:sz w:val="24"/>
          <w:vertAlign w:val="subscript"/>
        </w:rPr>
        <w:t>2</w:t>
      </w:r>
      <w:r>
        <w:rPr>
          <w:sz w:val="24"/>
          <w:vertAlign w:val="baseline"/>
        </w:rPr>
        <w:t>)</w:t>
      </w:r>
      <w:r>
        <w:rPr>
          <w:spacing w:val="-14"/>
          <w:sz w:val="24"/>
          <w:vertAlign w:val="baseline"/>
        </w:rPr>
        <w:t> </w:t>
      </w:r>
      <w:r>
        <w:rPr>
          <w:sz w:val="24"/>
          <w:vertAlign w:val="baseline"/>
        </w:rPr>
        <w:t>sebesar</w:t>
      </w:r>
      <w:r>
        <w:rPr>
          <w:spacing w:val="-14"/>
          <w:sz w:val="24"/>
          <w:vertAlign w:val="baseline"/>
        </w:rPr>
        <w:t> </w:t>
      </w:r>
      <w:r>
        <w:rPr>
          <w:sz w:val="24"/>
          <w:vertAlign w:val="baseline"/>
        </w:rPr>
        <w:t>0,611198 dengan nilai koefisien regresi sebesar 0,005605 dan nilai probabilitas sebesar 0,5436</w:t>
      </w:r>
      <w:r>
        <w:rPr>
          <w:spacing w:val="-11"/>
          <w:sz w:val="24"/>
          <w:vertAlign w:val="baseline"/>
        </w:rPr>
        <w:t> </w:t>
      </w:r>
      <w:r>
        <w:rPr>
          <w:sz w:val="24"/>
          <w:vertAlign w:val="baseline"/>
        </w:rPr>
        <w:t>&gt;</w:t>
      </w:r>
      <w:r>
        <w:rPr>
          <w:spacing w:val="-11"/>
          <w:sz w:val="24"/>
          <w:vertAlign w:val="baseline"/>
        </w:rPr>
        <w:t> </w:t>
      </w:r>
      <w:r>
        <w:rPr>
          <w:sz w:val="24"/>
          <w:vertAlign w:val="baseline"/>
        </w:rPr>
        <w:t>0,05.</w:t>
      </w:r>
      <w:r>
        <w:rPr>
          <w:spacing w:val="-11"/>
          <w:sz w:val="24"/>
          <w:vertAlign w:val="baseline"/>
        </w:rPr>
        <w:t> </w:t>
      </w:r>
      <w:r>
        <w:rPr>
          <w:sz w:val="24"/>
          <w:vertAlign w:val="baseline"/>
        </w:rPr>
        <w:t>Hal</w:t>
      </w:r>
      <w:r>
        <w:rPr>
          <w:spacing w:val="-10"/>
          <w:sz w:val="24"/>
          <w:vertAlign w:val="baseline"/>
        </w:rPr>
        <w:t> </w:t>
      </w:r>
      <w:r>
        <w:rPr>
          <w:sz w:val="24"/>
          <w:vertAlign w:val="baseline"/>
        </w:rPr>
        <w:t>ini</w:t>
      </w:r>
      <w:r>
        <w:rPr>
          <w:spacing w:val="-10"/>
          <w:sz w:val="24"/>
          <w:vertAlign w:val="baseline"/>
        </w:rPr>
        <w:t> </w:t>
      </w:r>
      <w:r>
        <w:rPr>
          <w:sz w:val="24"/>
          <w:vertAlign w:val="baseline"/>
        </w:rPr>
        <w:t>menunjukkan</w:t>
      </w:r>
      <w:r>
        <w:rPr>
          <w:spacing w:val="-11"/>
          <w:sz w:val="24"/>
          <w:vertAlign w:val="baseline"/>
        </w:rPr>
        <w:t> </w:t>
      </w:r>
      <w:r>
        <w:rPr>
          <w:sz w:val="24"/>
          <w:vertAlign w:val="baseline"/>
        </w:rPr>
        <w:t>bahwa</w:t>
      </w:r>
      <w:r>
        <w:rPr>
          <w:spacing w:val="-12"/>
          <w:sz w:val="24"/>
          <w:vertAlign w:val="baseline"/>
        </w:rPr>
        <w:t> </w:t>
      </w:r>
      <w:r>
        <w:rPr>
          <w:sz w:val="24"/>
          <w:vertAlign w:val="baseline"/>
        </w:rPr>
        <w:t>fluktuasi</w:t>
      </w:r>
      <w:r>
        <w:rPr>
          <w:spacing w:val="-10"/>
          <w:sz w:val="24"/>
          <w:vertAlign w:val="baseline"/>
        </w:rPr>
        <w:t> </w:t>
      </w:r>
      <w:r>
        <w:rPr>
          <w:sz w:val="24"/>
          <w:vertAlign w:val="baseline"/>
        </w:rPr>
        <w:t>nilai</w:t>
      </w:r>
      <w:r>
        <w:rPr>
          <w:spacing w:val="-10"/>
          <w:sz w:val="24"/>
          <w:vertAlign w:val="baseline"/>
        </w:rPr>
        <w:t> </w:t>
      </w:r>
      <w:r>
        <w:rPr>
          <w:sz w:val="24"/>
          <w:vertAlign w:val="baseline"/>
        </w:rPr>
        <w:t>tukar</w:t>
      </w:r>
      <w:r>
        <w:rPr>
          <w:spacing w:val="-12"/>
          <w:sz w:val="24"/>
          <w:vertAlign w:val="baseline"/>
        </w:rPr>
        <w:t> </w:t>
      </w:r>
      <w:r>
        <w:rPr>
          <w:sz w:val="24"/>
          <w:vertAlign w:val="baseline"/>
        </w:rPr>
        <w:t>rupiah</w:t>
      </w:r>
      <w:r>
        <w:rPr>
          <w:spacing w:val="-11"/>
          <w:sz w:val="24"/>
          <w:vertAlign w:val="baseline"/>
        </w:rPr>
        <w:t> </w:t>
      </w:r>
      <w:r>
        <w:rPr>
          <w:sz w:val="24"/>
          <w:vertAlign w:val="baseline"/>
        </w:rPr>
        <w:t>terhadap dolar AS dalam periode penelitian tidak cukup kuat untuk memengaruhi pergerakan saham syariah secara statistik.</w:t>
      </w:r>
    </w:p>
    <w:p>
      <w:pPr>
        <w:pStyle w:val="ListParagraph"/>
        <w:numPr>
          <w:ilvl w:val="2"/>
          <w:numId w:val="26"/>
        </w:numPr>
        <w:tabs>
          <w:tab w:pos="1463" w:val="left" w:leader="none"/>
        </w:tabs>
        <w:spacing w:line="360" w:lineRule="auto" w:before="0" w:after="0"/>
        <w:ind w:left="1463" w:right="158" w:hanging="360"/>
        <w:jc w:val="both"/>
        <w:rPr>
          <w:sz w:val="24"/>
        </w:rPr>
      </w:pPr>
      <w:r>
        <w:rPr>
          <w:sz w:val="24"/>
        </w:rPr>
        <w:t>Inflasi tidak berpengaruh signifikan terhadap ISSI. Adapun hasil t-statistic untuk</w:t>
      </w:r>
      <w:r>
        <w:rPr>
          <w:spacing w:val="-2"/>
          <w:sz w:val="24"/>
        </w:rPr>
        <w:t> </w:t>
      </w:r>
      <w:r>
        <w:rPr>
          <w:sz w:val="24"/>
        </w:rPr>
        <w:t>variabel</w:t>
      </w:r>
      <w:r>
        <w:rPr>
          <w:spacing w:val="-2"/>
          <w:sz w:val="24"/>
        </w:rPr>
        <w:t> </w:t>
      </w:r>
      <w:r>
        <w:rPr>
          <w:sz w:val="24"/>
        </w:rPr>
        <w:t>independen</w:t>
      </w:r>
      <w:r>
        <w:rPr>
          <w:spacing w:val="-2"/>
          <w:sz w:val="24"/>
        </w:rPr>
        <w:t> </w:t>
      </w:r>
      <w:r>
        <w:rPr>
          <w:sz w:val="24"/>
        </w:rPr>
        <w:t>inflasi</w:t>
      </w:r>
      <w:r>
        <w:rPr>
          <w:spacing w:val="-1"/>
          <w:sz w:val="24"/>
        </w:rPr>
        <w:t> </w:t>
      </w:r>
      <w:r>
        <w:rPr>
          <w:sz w:val="24"/>
        </w:rPr>
        <w:t>(</w:t>
      </w:r>
      <w:r>
        <w:rPr>
          <w:rFonts w:ascii="Cambria Math" w:hAnsi="Cambria Math" w:eastAsia="Cambria Math"/>
          <w:sz w:val="24"/>
        </w:rPr>
        <w:t>𝑋</w:t>
      </w:r>
      <w:r>
        <w:rPr>
          <w:rFonts w:ascii="Cambria Math" w:hAnsi="Cambria Math" w:eastAsia="Cambria Math"/>
          <w:sz w:val="24"/>
          <w:vertAlign w:val="subscript"/>
        </w:rPr>
        <w:t>3</w:t>
      </w:r>
      <w:r>
        <w:rPr>
          <w:sz w:val="24"/>
          <w:vertAlign w:val="baseline"/>
        </w:rPr>
        <w:t>)</w:t>
      </w:r>
      <w:r>
        <w:rPr>
          <w:spacing w:val="-3"/>
          <w:sz w:val="24"/>
          <w:vertAlign w:val="baseline"/>
        </w:rPr>
        <w:t> </w:t>
      </w:r>
      <w:r>
        <w:rPr>
          <w:sz w:val="24"/>
          <w:vertAlign w:val="baseline"/>
        </w:rPr>
        <w:t>sebesar</w:t>
      </w:r>
      <w:r>
        <w:rPr>
          <w:spacing w:val="-2"/>
          <w:sz w:val="24"/>
          <w:vertAlign w:val="baseline"/>
        </w:rPr>
        <w:t> </w:t>
      </w:r>
      <w:r>
        <w:rPr>
          <w:sz w:val="24"/>
          <w:vertAlign w:val="baseline"/>
        </w:rPr>
        <w:t>0,611198</w:t>
      </w:r>
      <w:r>
        <w:rPr>
          <w:spacing w:val="-2"/>
          <w:sz w:val="24"/>
          <w:vertAlign w:val="baseline"/>
        </w:rPr>
        <w:t> </w:t>
      </w:r>
      <w:r>
        <w:rPr>
          <w:sz w:val="24"/>
          <w:vertAlign w:val="baseline"/>
        </w:rPr>
        <w:t>dengan</w:t>
      </w:r>
      <w:r>
        <w:rPr>
          <w:spacing w:val="-2"/>
          <w:sz w:val="24"/>
          <w:vertAlign w:val="baseline"/>
        </w:rPr>
        <w:t> </w:t>
      </w:r>
      <w:r>
        <w:rPr>
          <w:sz w:val="24"/>
          <w:vertAlign w:val="baseline"/>
        </w:rPr>
        <w:t>nilai</w:t>
      </w:r>
      <w:r>
        <w:rPr>
          <w:spacing w:val="-2"/>
          <w:sz w:val="24"/>
          <w:vertAlign w:val="baseline"/>
        </w:rPr>
        <w:t> </w:t>
      </w:r>
      <w:r>
        <w:rPr>
          <w:sz w:val="24"/>
          <w:vertAlign w:val="baseline"/>
        </w:rPr>
        <w:t>koefisien regresi</w:t>
      </w:r>
      <w:r>
        <w:rPr>
          <w:spacing w:val="-15"/>
          <w:sz w:val="24"/>
          <w:vertAlign w:val="baseline"/>
        </w:rPr>
        <w:t> </w:t>
      </w:r>
      <w:r>
        <w:rPr>
          <w:sz w:val="24"/>
          <w:vertAlign w:val="baseline"/>
        </w:rPr>
        <w:t>sebesar</w:t>
      </w:r>
      <w:r>
        <w:rPr>
          <w:spacing w:val="-15"/>
          <w:sz w:val="24"/>
          <w:vertAlign w:val="baseline"/>
        </w:rPr>
        <w:t> </w:t>
      </w:r>
      <w:r>
        <w:rPr>
          <w:sz w:val="24"/>
          <w:vertAlign w:val="baseline"/>
        </w:rPr>
        <w:t>0,005605</w:t>
      </w:r>
      <w:r>
        <w:rPr>
          <w:spacing w:val="-15"/>
          <w:sz w:val="24"/>
          <w:vertAlign w:val="baseline"/>
        </w:rPr>
        <w:t> </w:t>
      </w:r>
      <w:r>
        <w:rPr>
          <w:sz w:val="24"/>
          <w:vertAlign w:val="baseline"/>
        </w:rPr>
        <w:t>dan</w:t>
      </w:r>
      <w:r>
        <w:rPr>
          <w:spacing w:val="-15"/>
          <w:sz w:val="24"/>
          <w:vertAlign w:val="baseline"/>
        </w:rPr>
        <w:t> </w:t>
      </w:r>
      <w:r>
        <w:rPr>
          <w:sz w:val="24"/>
          <w:vertAlign w:val="baseline"/>
        </w:rPr>
        <w:t>nilai</w:t>
      </w:r>
      <w:r>
        <w:rPr>
          <w:spacing w:val="-15"/>
          <w:sz w:val="24"/>
          <w:vertAlign w:val="baseline"/>
        </w:rPr>
        <w:t> </w:t>
      </w:r>
      <w:r>
        <w:rPr>
          <w:sz w:val="24"/>
          <w:vertAlign w:val="baseline"/>
        </w:rPr>
        <w:t>probabilitas</w:t>
      </w:r>
      <w:r>
        <w:rPr>
          <w:spacing w:val="-15"/>
          <w:sz w:val="24"/>
          <w:vertAlign w:val="baseline"/>
        </w:rPr>
        <w:t> </w:t>
      </w:r>
      <w:r>
        <w:rPr>
          <w:sz w:val="24"/>
          <w:vertAlign w:val="baseline"/>
        </w:rPr>
        <w:t>sebesar</w:t>
      </w:r>
      <w:r>
        <w:rPr>
          <w:spacing w:val="-15"/>
          <w:sz w:val="24"/>
          <w:vertAlign w:val="baseline"/>
        </w:rPr>
        <w:t> </w:t>
      </w:r>
      <w:r>
        <w:rPr>
          <w:sz w:val="24"/>
          <w:vertAlign w:val="baseline"/>
        </w:rPr>
        <w:t>0,5436</w:t>
      </w:r>
      <w:r>
        <w:rPr>
          <w:spacing w:val="-15"/>
          <w:sz w:val="24"/>
          <w:vertAlign w:val="baseline"/>
        </w:rPr>
        <w:t> </w:t>
      </w:r>
      <w:r>
        <w:rPr>
          <w:sz w:val="24"/>
          <w:vertAlign w:val="baseline"/>
        </w:rPr>
        <w:t>&gt;</w:t>
      </w:r>
      <w:r>
        <w:rPr>
          <w:spacing w:val="-15"/>
          <w:sz w:val="24"/>
          <w:vertAlign w:val="baseline"/>
        </w:rPr>
        <w:t> </w:t>
      </w:r>
      <w:r>
        <w:rPr>
          <w:sz w:val="24"/>
          <w:vertAlign w:val="baseline"/>
        </w:rPr>
        <w:t>0,05.</w:t>
      </w:r>
      <w:r>
        <w:rPr>
          <w:spacing w:val="-15"/>
          <w:sz w:val="24"/>
          <w:vertAlign w:val="baseline"/>
        </w:rPr>
        <w:t> </w:t>
      </w:r>
      <w:r>
        <w:rPr>
          <w:sz w:val="24"/>
          <w:vertAlign w:val="baseline"/>
        </w:rPr>
        <w:t>Meskipun secara teoritis inflasi dapat memengaruhi daya beli dan kinerja perusahaan, selama periode 2020–2024 kondisi inflasi relatif stabil dan tidak cukup memengaruhi indeks saham syariah.</w:t>
      </w:r>
    </w:p>
    <w:p>
      <w:pPr>
        <w:pStyle w:val="ListParagraph"/>
        <w:numPr>
          <w:ilvl w:val="2"/>
          <w:numId w:val="26"/>
        </w:numPr>
        <w:tabs>
          <w:tab w:pos="1463" w:val="left" w:leader="none"/>
        </w:tabs>
        <w:spacing w:line="360" w:lineRule="auto" w:before="0" w:after="0"/>
        <w:ind w:left="1463" w:right="162" w:hanging="360"/>
        <w:jc w:val="both"/>
        <w:rPr>
          <w:sz w:val="24"/>
        </w:rPr>
      </w:pPr>
      <w:r>
        <w:rPr>
          <w:sz w:val="24"/>
        </w:rPr>
        <w:t>Indeks</w:t>
      </w:r>
      <w:r>
        <w:rPr>
          <w:spacing w:val="-7"/>
          <w:sz w:val="24"/>
        </w:rPr>
        <w:t> </w:t>
      </w:r>
      <w:r>
        <w:rPr>
          <w:sz w:val="24"/>
        </w:rPr>
        <w:t>Produksi</w:t>
      </w:r>
      <w:r>
        <w:rPr>
          <w:spacing w:val="-4"/>
          <w:sz w:val="24"/>
        </w:rPr>
        <w:t> </w:t>
      </w:r>
      <w:r>
        <w:rPr>
          <w:sz w:val="24"/>
        </w:rPr>
        <w:t>Industri</w:t>
      </w:r>
      <w:r>
        <w:rPr>
          <w:spacing w:val="-4"/>
          <w:sz w:val="24"/>
        </w:rPr>
        <w:t> </w:t>
      </w:r>
      <w:r>
        <w:rPr>
          <w:sz w:val="24"/>
        </w:rPr>
        <w:t>berpengaruh</w:t>
      </w:r>
      <w:r>
        <w:rPr>
          <w:spacing w:val="-8"/>
          <w:sz w:val="24"/>
        </w:rPr>
        <w:t> </w:t>
      </w:r>
      <w:r>
        <w:rPr>
          <w:sz w:val="24"/>
        </w:rPr>
        <w:t>positif</w:t>
      </w:r>
      <w:r>
        <w:rPr>
          <w:spacing w:val="-8"/>
          <w:sz w:val="24"/>
        </w:rPr>
        <w:t> </w:t>
      </w:r>
      <w:r>
        <w:rPr>
          <w:sz w:val="24"/>
        </w:rPr>
        <w:t>dan</w:t>
      </w:r>
      <w:r>
        <w:rPr>
          <w:spacing w:val="-7"/>
          <w:sz w:val="24"/>
        </w:rPr>
        <w:t> </w:t>
      </w:r>
      <w:r>
        <w:rPr>
          <w:sz w:val="24"/>
        </w:rPr>
        <w:t>signifikan</w:t>
      </w:r>
      <w:r>
        <w:rPr>
          <w:spacing w:val="-7"/>
          <w:sz w:val="24"/>
        </w:rPr>
        <w:t> </w:t>
      </w:r>
      <w:r>
        <w:rPr>
          <w:sz w:val="24"/>
        </w:rPr>
        <w:t>terhadap</w:t>
      </w:r>
      <w:r>
        <w:rPr>
          <w:spacing w:val="-2"/>
          <w:sz w:val="24"/>
        </w:rPr>
        <w:t> </w:t>
      </w:r>
      <w:r>
        <w:rPr>
          <w:sz w:val="24"/>
        </w:rPr>
        <w:t>ISSI</w:t>
      </w:r>
      <w:r>
        <w:rPr>
          <w:spacing w:val="-8"/>
          <w:sz w:val="24"/>
        </w:rPr>
        <w:t> </w:t>
      </w:r>
      <w:r>
        <w:rPr>
          <w:sz w:val="24"/>
        </w:rPr>
        <w:t>hasil t-statistic untuk variabel independen Indeks Produksi Industri (</w:t>
      </w:r>
      <w:r>
        <w:rPr>
          <w:rFonts w:ascii="Cambria Math" w:eastAsia="Cambria Math"/>
          <w:sz w:val="24"/>
        </w:rPr>
        <w:t>𝑋</w:t>
      </w:r>
      <w:r>
        <w:rPr>
          <w:rFonts w:ascii="Cambria Math" w:eastAsia="Cambria Math"/>
          <w:sz w:val="24"/>
          <w:vertAlign w:val="subscript"/>
        </w:rPr>
        <w:t>4</w:t>
      </w:r>
      <w:r>
        <w:rPr>
          <w:sz w:val="24"/>
          <w:vertAlign w:val="baseline"/>
        </w:rPr>
        <w:t>) sebesar 2,877535</w:t>
      </w:r>
      <w:r>
        <w:rPr>
          <w:spacing w:val="-6"/>
          <w:sz w:val="24"/>
          <w:vertAlign w:val="baseline"/>
        </w:rPr>
        <w:t> </w:t>
      </w:r>
      <w:r>
        <w:rPr>
          <w:sz w:val="24"/>
          <w:vertAlign w:val="baseline"/>
        </w:rPr>
        <w:t>dengan</w:t>
      </w:r>
      <w:r>
        <w:rPr>
          <w:spacing w:val="-6"/>
          <w:sz w:val="24"/>
          <w:vertAlign w:val="baseline"/>
        </w:rPr>
        <w:t> </w:t>
      </w:r>
      <w:r>
        <w:rPr>
          <w:sz w:val="24"/>
          <w:vertAlign w:val="baseline"/>
        </w:rPr>
        <w:t>nilai</w:t>
      </w:r>
      <w:r>
        <w:rPr>
          <w:spacing w:val="-6"/>
          <w:sz w:val="24"/>
          <w:vertAlign w:val="baseline"/>
        </w:rPr>
        <w:t> </w:t>
      </w:r>
      <w:r>
        <w:rPr>
          <w:sz w:val="24"/>
          <w:vertAlign w:val="baseline"/>
        </w:rPr>
        <w:t>koefisien</w:t>
      </w:r>
      <w:r>
        <w:rPr>
          <w:spacing w:val="-6"/>
          <w:sz w:val="24"/>
          <w:vertAlign w:val="baseline"/>
        </w:rPr>
        <w:t> </w:t>
      </w:r>
      <w:r>
        <w:rPr>
          <w:sz w:val="24"/>
          <w:vertAlign w:val="baseline"/>
        </w:rPr>
        <w:t>regresi</w:t>
      </w:r>
      <w:r>
        <w:rPr>
          <w:spacing w:val="-6"/>
          <w:sz w:val="24"/>
          <w:vertAlign w:val="baseline"/>
        </w:rPr>
        <w:t> </w:t>
      </w:r>
      <w:r>
        <w:rPr>
          <w:sz w:val="24"/>
          <w:vertAlign w:val="baseline"/>
        </w:rPr>
        <w:t>sebesar</w:t>
      </w:r>
      <w:r>
        <w:rPr>
          <w:spacing w:val="-7"/>
          <w:sz w:val="24"/>
          <w:vertAlign w:val="baseline"/>
        </w:rPr>
        <w:t> </w:t>
      </w:r>
      <w:r>
        <w:rPr>
          <w:sz w:val="24"/>
          <w:vertAlign w:val="baseline"/>
        </w:rPr>
        <w:t>0,469894</w:t>
      </w:r>
      <w:r>
        <w:rPr>
          <w:spacing w:val="-6"/>
          <w:sz w:val="24"/>
          <w:vertAlign w:val="baseline"/>
        </w:rPr>
        <w:t> </w:t>
      </w:r>
      <w:r>
        <w:rPr>
          <w:sz w:val="24"/>
          <w:vertAlign w:val="baseline"/>
        </w:rPr>
        <w:t>dan</w:t>
      </w:r>
      <w:r>
        <w:rPr>
          <w:spacing w:val="-6"/>
          <w:sz w:val="24"/>
          <w:vertAlign w:val="baseline"/>
        </w:rPr>
        <w:t> </w:t>
      </w:r>
      <w:r>
        <w:rPr>
          <w:sz w:val="24"/>
          <w:vertAlign w:val="baseline"/>
        </w:rPr>
        <w:t>nilai</w:t>
      </w:r>
      <w:r>
        <w:rPr>
          <w:spacing w:val="-6"/>
          <w:sz w:val="24"/>
          <w:vertAlign w:val="baseline"/>
        </w:rPr>
        <w:t> </w:t>
      </w:r>
      <w:r>
        <w:rPr>
          <w:sz w:val="24"/>
          <w:vertAlign w:val="baseline"/>
        </w:rPr>
        <w:t>probabilitas sebesar 0,0057 &lt; 0,05. Peningkatan Indeks Produksi Industri menunjukkan bahwa</w:t>
      </w:r>
      <w:r>
        <w:rPr>
          <w:spacing w:val="-10"/>
          <w:sz w:val="24"/>
          <w:vertAlign w:val="baseline"/>
        </w:rPr>
        <w:t> </w:t>
      </w:r>
      <w:r>
        <w:rPr>
          <w:sz w:val="24"/>
          <w:vertAlign w:val="baseline"/>
        </w:rPr>
        <w:t>sektor</w:t>
      </w:r>
      <w:r>
        <w:rPr>
          <w:spacing w:val="-9"/>
          <w:sz w:val="24"/>
          <w:vertAlign w:val="baseline"/>
        </w:rPr>
        <w:t> </w:t>
      </w:r>
      <w:r>
        <w:rPr>
          <w:sz w:val="24"/>
          <w:vertAlign w:val="baseline"/>
        </w:rPr>
        <w:t>industri</w:t>
      </w:r>
      <w:r>
        <w:rPr>
          <w:spacing w:val="-8"/>
          <w:sz w:val="24"/>
          <w:vertAlign w:val="baseline"/>
        </w:rPr>
        <w:t> </w:t>
      </w:r>
      <w:r>
        <w:rPr>
          <w:sz w:val="24"/>
          <w:vertAlign w:val="baseline"/>
        </w:rPr>
        <w:t>sedang</w:t>
      </w:r>
      <w:r>
        <w:rPr>
          <w:spacing w:val="-8"/>
          <w:sz w:val="24"/>
          <w:vertAlign w:val="baseline"/>
        </w:rPr>
        <w:t> </w:t>
      </w:r>
      <w:r>
        <w:rPr>
          <w:sz w:val="24"/>
          <w:vertAlign w:val="baseline"/>
        </w:rPr>
        <w:t>mengalami</w:t>
      </w:r>
      <w:r>
        <w:rPr>
          <w:spacing w:val="-8"/>
          <w:sz w:val="24"/>
          <w:vertAlign w:val="baseline"/>
        </w:rPr>
        <w:t> </w:t>
      </w:r>
      <w:r>
        <w:rPr>
          <w:sz w:val="24"/>
          <w:vertAlign w:val="baseline"/>
        </w:rPr>
        <w:t>peningkatan</w:t>
      </w:r>
      <w:r>
        <w:rPr>
          <w:spacing w:val="-9"/>
          <w:sz w:val="24"/>
          <w:vertAlign w:val="baseline"/>
        </w:rPr>
        <w:t> </w:t>
      </w:r>
      <w:r>
        <w:rPr>
          <w:sz w:val="24"/>
          <w:vertAlign w:val="baseline"/>
        </w:rPr>
        <w:t>output</w:t>
      </w:r>
      <w:r>
        <w:rPr>
          <w:spacing w:val="-8"/>
          <w:sz w:val="24"/>
          <w:vertAlign w:val="baseline"/>
        </w:rPr>
        <w:t> </w:t>
      </w:r>
      <w:r>
        <w:rPr>
          <w:sz w:val="24"/>
          <w:vertAlign w:val="baseline"/>
        </w:rPr>
        <w:t>dan</w:t>
      </w:r>
      <w:r>
        <w:rPr>
          <w:spacing w:val="-8"/>
          <w:sz w:val="24"/>
          <w:vertAlign w:val="baseline"/>
        </w:rPr>
        <w:t> </w:t>
      </w:r>
      <w:r>
        <w:rPr>
          <w:sz w:val="24"/>
          <w:vertAlign w:val="baseline"/>
        </w:rPr>
        <w:t>produktivitas. Hal ini biasanya diikuti oleh peningkatan pendapatan dan laba yang pada akhirnya mempengaruhi harga saham.</w:t>
      </w:r>
    </w:p>
    <w:p>
      <w:pPr>
        <w:pStyle w:val="ListParagraph"/>
        <w:spacing w:after="0" w:line="360" w:lineRule="auto"/>
        <w:jc w:val="both"/>
        <w:rPr>
          <w:sz w:val="24"/>
        </w:rPr>
        <w:sectPr>
          <w:pgSz w:w="11910" w:h="16840"/>
          <w:pgMar w:header="0" w:footer="1000" w:top="1360" w:bottom="1200" w:left="1417" w:right="1275"/>
        </w:sectPr>
      </w:pPr>
    </w:p>
    <w:p>
      <w:pPr>
        <w:pStyle w:val="Heading2"/>
        <w:numPr>
          <w:ilvl w:val="1"/>
          <w:numId w:val="26"/>
        </w:numPr>
        <w:tabs>
          <w:tab w:pos="742" w:val="left" w:leader="none"/>
        </w:tabs>
        <w:spacing w:line="240" w:lineRule="auto" w:before="60" w:after="0"/>
        <w:ind w:left="742" w:right="0" w:hanging="359"/>
        <w:jc w:val="left"/>
      </w:pPr>
      <w:bookmarkStart w:name="_bookmark176" w:id="177"/>
      <w:bookmarkEnd w:id="177"/>
      <w:r>
        <w:rPr>
          <w:b w:val="0"/>
        </w:rPr>
      </w:r>
      <w:r>
        <w:rPr>
          <w:spacing w:val="-4"/>
        </w:rPr>
        <w:t>Saran</w:t>
      </w:r>
    </w:p>
    <w:p>
      <w:pPr>
        <w:pStyle w:val="BodyText"/>
        <w:spacing w:before="22"/>
        <w:rPr>
          <w:b/>
        </w:rPr>
      </w:pPr>
    </w:p>
    <w:p>
      <w:pPr>
        <w:pStyle w:val="BodyText"/>
        <w:ind w:left="743"/>
        <w:jc w:val="both"/>
      </w:pPr>
      <w:r>
        <w:rPr/>
        <w:t>Berdasarkan</w:t>
      </w:r>
      <w:r>
        <w:rPr>
          <w:spacing w:val="-2"/>
        </w:rPr>
        <w:t> </w:t>
      </w:r>
      <w:r>
        <w:rPr/>
        <w:t>hasil</w:t>
      </w:r>
      <w:r>
        <w:rPr>
          <w:spacing w:val="-1"/>
        </w:rPr>
        <w:t> </w:t>
      </w:r>
      <w:r>
        <w:rPr/>
        <w:t>penelitian</w:t>
      </w:r>
      <w:r>
        <w:rPr>
          <w:spacing w:val="-2"/>
        </w:rPr>
        <w:t> </w:t>
      </w:r>
      <w:r>
        <w:rPr/>
        <w:t>ini,</w:t>
      </w:r>
      <w:r>
        <w:rPr>
          <w:spacing w:val="-2"/>
        </w:rPr>
        <w:t> </w:t>
      </w:r>
      <w:r>
        <w:rPr/>
        <w:t>penulis</w:t>
      </w:r>
      <w:r>
        <w:rPr>
          <w:spacing w:val="-1"/>
        </w:rPr>
        <w:t> </w:t>
      </w:r>
      <w:r>
        <w:rPr/>
        <w:t>memberikan</w:t>
      </w:r>
      <w:r>
        <w:rPr>
          <w:spacing w:val="-2"/>
        </w:rPr>
        <w:t> </w:t>
      </w:r>
      <w:r>
        <w:rPr/>
        <w:t>beberapa</w:t>
      </w:r>
      <w:r>
        <w:rPr>
          <w:spacing w:val="-3"/>
        </w:rPr>
        <w:t> </w:t>
      </w:r>
      <w:r>
        <w:rPr/>
        <w:t>saran</w:t>
      </w:r>
      <w:r>
        <w:rPr>
          <w:spacing w:val="-2"/>
        </w:rPr>
        <w:t> </w:t>
      </w:r>
      <w:r>
        <w:rPr/>
        <w:t>sebagai</w:t>
      </w:r>
      <w:r>
        <w:rPr>
          <w:spacing w:val="-1"/>
        </w:rPr>
        <w:t> </w:t>
      </w:r>
      <w:r>
        <w:rPr>
          <w:spacing w:val="-2"/>
        </w:rPr>
        <w:t>berikut:</w:t>
      </w:r>
    </w:p>
    <w:p>
      <w:pPr>
        <w:pStyle w:val="ListParagraph"/>
        <w:numPr>
          <w:ilvl w:val="2"/>
          <w:numId w:val="26"/>
        </w:numPr>
        <w:tabs>
          <w:tab w:pos="1463" w:val="left" w:leader="none"/>
        </w:tabs>
        <w:spacing w:line="360" w:lineRule="auto" w:before="140" w:after="0"/>
        <w:ind w:left="1463" w:right="164" w:hanging="360"/>
        <w:jc w:val="both"/>
        <w:rPr>
          <w:sz w:val="24"/>
        </w:rPr>
      </w:pPr>
      <w:r>
        <w:rPr>
          <w:sz w:val="24"/>
        </w:rPr>
        <w:t>Bagi investor, sebaiknya memperhatikan indikator Indeks Keyakinan Konsumen dan pertumbuhan Indeks Produksi Industri sebagai bagian dari analisis fundamental dalam pengambilan keputusan investasi, khususnya di pasar saham syariah.</w:t>
      </w:r>
    </w:p>
    <w:p>
      <w:pPr>
        <w:pStyle w:val="ListParagraph"/>
        <w:numPr>
          <w:ilvl w:val="2"/>
          <w:numId w:val="26"/>
        </w:numPr>
        <w:tabs>
          <w:tab w:pos="1463" w:val="left" w:leader="none"/>
        </w:tabs>
        <w:spacing w:line="360" w:lineRule="auto" w:before="0" w:after="0"/>
        <w:ind w:left="1463" w:right="162" w:hanging="360"/>
        <w:jc w:val="both"/>
        <w:rPr>
          <w:sz w:val="24"/>
        </w:rPr>
      </w:pPr>
      <w:r>
        <w:rPr>
          <w:sz w:val="24"/>
        </w:rPr>
        <w:t>Bagi</w:t>
      </w:r>
      <w:r>
        <w:rPr>
          <w:spacing w:val="-15"/>
          <w:sz w:val="24"/>
        </w:rPr>
        <w:t> </w:t>
      </w:r>
      <w:r>
        <w:rPr>
          <w:sz w:val="24"/>
        </w:rPr>
        <w:t>pemerintah</w:t>
      </w:r>
      <w:r>
        <w:rPr>
          <w:spacing w:val="-15"/>
          <w:sz w:val="24"/>
        </w:rPr>
        <w:t> </w:t>
      </w:r>
      <w:r>
        <w:rPr>
          <w:sz w:val="24"/>
        </w:rPr>
        <w:t>dan</w:t>
      </w:r>
      <w:r>
        <w:rPr>
          <w:spacing w:val="-15"/>
          <w:sz w:val="24"/>
        </w:rPr>
        <w:t> </w:t>
      </w:r>
      <w:r>
        <w:rPr>
          <w:sz w:val="24"/>
        </w:rPr>
        <w:t>regulator,</w:t>
      </w:r>
      <w:r>
        <w:rPr>
          <w:spacing w:val="-15"/>
          <w:sz w:val="24"/>
        </w:rPr>
        <w:t> </w:t>
      </w:r>
      <w:r>
        <w:rPr>
          <w:sz w:val="24"/>
        </w:rPr>
        <w:t>menjaga</w:t>
      </w:r>
      <w:r>
        <w:rPr>
          <w:spacing w:val="-15"/>
          <w:sz w:val="24"/>
        </w:rPr>
        <w:t> </w:t>
      </w:r>
      <w:r>
        <w:rPr>
          <w:sz w:val="24"/>
        </w:rPr>
        <w:t>stabilitas</w:t>
      </w:r>
      <w:r>
        <w:rPr>
          <w:spacing w:val="-15"/>
          <w:sz w:val="24"/>
        </w:rPr>
        <w:t> </w:t>
      </w:r>
      <w:r>
        <w:rPr>
          <w:sz w:val="24"/>
        </w:rPr>
        <w:t>ekonomi</w:t>
      </w:r>
      <w:r>
        <w:rPr>
          <w:spacing w:val="-15"/>
          <w:sz w:val="24"/>
        </w:rPr>
        <w:t> </w:t>
      </w:r>
      <w:r>
        <w:rPr>
          <w:sz w:val="24"/>
        </w:rPr>
        <w:t>makro</w:t>
      </w:r>
      <w:r>
        <w:rPr>
          <w:spacing w:val="-15"/>
          <w:sz w:val="24"/>
        </w:rPr>
        <w:t> </w:t>
      </w:r>
      <w:r>
        <w:rPr>
          <w:sz w:val="24"/>
        </w:rPr>
        <w:t>seperti</w:t>
      </w:r>
      <w:r>
        <w:rPr>
          <w:spacing w:val="-15"/>
          <w:sz w:val="24"/>
        </w:rPr>
        <w:t> </w:t>
      </w:r>
      <w:r>
        <w:rPr>
          <w:sz w:val="24"/>
        </w:rPr>
        <w:t>inflasi dan nilai tukar tetap penting, meskipun dampaknya tidak langsung terhadap pasar saham syariah. Dukungan terhadap pertumbuhan ekonomi dan sentimen konsumen perlu terus diperkuat.</w:t>
      </w:r>
    </w:p>
    <w:p>
      <w:pPr>
        <w:pStyle w:val="ListParagraph"/>
        <w:numPr>
          <w:ilvl w:val="2"/>
          <w:numId w:val="26"/>
        </w:numPr>
        <w:tabs>
          <w:tab w:pos="1463" w:val="left" w:leader="none"/>
        </w:tabs>
        <w:spacing w:line="360" w:lineRule="auto" w:before="1" w:after="0"/>
        <w:ind w:left="1463" w:right="165" w:hanging="360"/>
        <w:jc w:val="both"/>
        <w:rPr>
          <w:sz w:val="24"/>
        </w:rPr>
      </w:pPr>
      <w:r>
        <w:rPr>
          <w:sz w:val="24"/>
        </w:rPr>
        <w:t>Bagi</w:t>
      </w:r>
      <w:r>
        <w:rPr>
          <w:spacing w:val="-14"/>
          <w:sz w:val="24"/>
        </w:rPr>
        <w:t> </w:t>
      </w:r>
      <w:r>
        <w:rPr>
          <w:sz w:val="24"/>
        </w:rPr>
        <w:t>akademisi</w:t>
      </w:r>
      <w:r>
        <w:rPr>
          <w:spacing w:val="-13"/>
          <w:sz w:val="24"/>
        </w:rPr>
        <w:t> </w:t>
      </w:r>
      <w:r>
        <w:rPr>
          <w:sz w:val="24"/>
        </w:rPr>
        <w:t>dan</w:t>
      </w:r>
      <w:r>
        <w:rPr>
          <w:spacing w:val="-12"/>
          <w:sz w:val="24"/>
        </w:rPr>
        <w:t> </w:t>
      </w:r>
      <w:r>
        <w:rPr>
          <w:sz w:val="24"/>
        </w:rPr>
        <w:t>peneliti</w:t>
      </w:r>
      <w:r>
        <w:rPr>
          <w:spacing w:val="-14"/>
          <w:sz w:val="24"/>
        </w:rPr>
        <w:t> </w:t>
      </w:r>
      <w:r>
        <w:rPr>
          <w:sz w:val="24"/>
        </w:rPr>
        <w:t>selanjutnya,</w:t>
      </w:r>
      <w:r>
        <w:rPr>
          <w:spacing w:val="-15"/>
          <w:sz w:val="24"/>
        </w:rPr>
        <w:t> </w:t>
      </w:r>
      <w:r>
        <w:rPr>
          <w:sz w:val="24"/>
        </w:rPr>
        <w:t>disarankan</w:t>
      </w:r>
      <w:r>
        <w:rPr>
          <w:spacing w:val="-14"/>
          <w:sz w:val="24"/>
        </w:rPr>
        <w:t> </w:t>
      </w:r>
      <w:r>
        <w:rPr>
          <w:sz w:val="24"/>
        </w:rPr>
        <w:t>untuk</w:t>
      </w:r>
      <w:r>
        <w:rPr>
          <w:spacing w:val="-14"/>
          <w:sz w:val="24"/>
        </w:rPr>
        <w:t> </w:t>
      </w:r>
      <w:r>
        <w:rPr>
          <w:sz w:val="24"/>
        </w:rPr>
        <w:t>memperluas</w:t>
      </w:r>
      <w:r>
        <w:rPr>
          <w:spacing w:val="-14"/>
          <w:sz w:val="24"/>
        </w:rPr>
        <w:t> </w:t>
      </w:r>
      <w:r>
        <w:rPr>
          <w:sz w:val="24"/>
        </w:rPr>
        <w:t>variabel penelitian seperti menambahkan suku bunga, jumlah uang beredar, atau faktor global seperti harga komoditas dunia agar dapat memberikan gambaran lebih menyeluruh terhadap dinamika ISSI.</w:t>
      </w:r>
    </w:p>
    <w:p>
      <w:pPr>
        <w:pStyle w:val="ListParagraph"/>
        <w:numPr>
          <w:ilvl w:val="2"/>
          <w:numId w:val="26"/>
        </w:numPr>
        <w:tabs>
          <w:tab w:pos="1463" w:val="left" w:leader="none"/>
        </w:tabs>
        <w:spacing w:line="360" w:lineRule="auto" w:before="0" w:after="0"/>
        <w:ind w:left="1463" w:right="164" w:hanging="360"/>
        <w:jc w:val="both"/>
        <w:rPr>
          <w:sz w:val="24"/>
        </w:rPr>
      </w:pPr>
      <w:r>
        <w:rPr>
          <w:sz w:val="24"/>
        </w:rPr>
        <w:t>Bagi emiten syariah, penting untuk menjaga kinerja perusahaan secara konsisten</w:t>
      </w:r>
      <w:r>
        <w:rPr>
          <w:spacing w:val="-12"/>
          <w:sz w:val="24"/>
        </w:rPr>
        <w:t> </w:t>
      </w:r>
      <w:r>
        <w:rPr>
          <w:sz w:val="24"/>
        </w:rPr>
        <w:t>agar</w:t>
      </w:r>
      <w:r>
        <w:rPr>
          <w:spacing w:val="-12"/>
          <w:sz w:val="24"/>
        </w:rPr>
        <w:t> </w:t>
      </w:r>
      <w:r>
        <w:rPr>
          <w:sz w:val="24"/>
        </w:rPr>
        <w:t>tetap</w:t>
      </w:r>
      <w:r>
        <w:rPr>
          <w:spacing w:val="-12"/>
          <w:sz w:val="24"/>
        </w:rPr>
        <w:t> </w:t>
      </w:r>
      <w:r>
        <w:rPr>
          <w:sz w:val="24"/>
        </w:rPr>
        <w:t>menarik</w:t>
      </w:r>
      <w:r>
        <w:rPr>
          <w:spacing w:val="-12"/>
          <w:sz w:val="24"/>
        </w:rPr>
        <w:t> </w:t>
      </w:r>
      <w:r>
        <w:rPr>
          <w:sz w:val="24"/>
        </w:rPr>
        <w:t>bagi</w:t>
      </w:r>
      <w:r>
        <w:rPr>
          <w:spacing w:val="-11"/>
          <w:sz w:val="24"/>
        </w:rPr>
        <w:t> </w:t>
      </w:r>
      <w:r>
        <w:rPr>
          <w:sz w:val="24"/>
        </w:rPr>
        <w:t>investor,</w:t>
      </w:r>
      <w:r>
        <w:rPr>
          <w:spacing w:val="-12"/>
          <w:sz w:val="24"/>
        </w:rPr>
        <w:t> </w:t>
      </w:r>
      <w:r>
        <w:rPr>
          <w:sz w:val="24"/>
        </w:rPr>
        <w:t>terlebih</w:t>
      </w:r>
      <w:r>
        <w:rPr>
          <w:spacing w:val="-11"/>
          <w:sz w:val="24"/>
        </w:rPr>
        <w:t> </w:t>
      </w:r>
      <w:r>
        <w:rPr>
          <w:sz w:val="24"/>
        </w:rPr>
        <w:t>di</w:t>
      </w:r>
      <w:r>
        <w:rPr>
          <w:spacing w:val="-11"/>
          <w:sz w:val="24"/>
        </w:rPr>
        <w:t> </w:t>
      </w:r>
      <w:r>
        <w:rPr>
          <w:sz w:val="24"/>
        </w:rPr>
        <w:t>tengah</w:t>
      </w:r>
      <w:r>
        <w:rPr>
          <w:spacing w:val="-12"/>
          <w:sz w:val="24"/>
        </w:rPr>
        <w:t> </w:t>
      </w:r>
      <w:r>
        <w:rPr>
          <w:sz w:val="24"/>
        </w:rPr>
        <w:t>fluktuasi</w:t>
      </w:r>
      <w:r>
        <w:rPr>
          <w:spacing w:val="-11"/>
          <w:sz w:val="24"/>
        </w:rPr>
        <w:t> </w:t>
      </w:r>
      <w:r>
        <w:rPr>
          <w:sz w:val="24"/>
        </w:rPr>
        <w:t>ekonomi yang tidak dapat diprediksi secara pasti.</w:t>
      </w:r>
    </w:p>
    <w:p>
      <w:pPr>
        <w:pStyle w:val="ListParagraph"/>
        <w:spacing w:after="0" w:line="360" w:lineRule="auto"/>
        <w:jc w:val="both"/>
        <w:rPr>
          <w:sz w:val="24"/>
        </w:rPr>
        <w:sectPr>
          <w:pgSz w:w="11910" w:h="16840"/>
          <w:pgMar w:header="0" w:footer="1000" w:top="1360" w:bottom="1200" w:left="1417" w:right="1275"/>
        </w:sectPr>
      </w:pPr>
    </w:p>
    <w:p>
      <w:pPr>
        <w:pStyle w:val="Heading1"/>
        <w:ind w:left="1580"/>
      </w:pPr>
      <w:bookmarkStart w:name="_bookmark177" w:id="178"/>
      <w:bookmarkEnd w:id="178"/>
      <w:r>
        <w:rPr>
          <w:b w:val="0"/>
        </w:rPr>
      </w:r>
      <w:r>
        <w:rPr/>
        <w:t>DAFTAR</w:t>
      </w:r>
      <w:r>
        <w:rPr>
          <w:spacing w:val="-6"/>
        </w:rPr>
        <w:t> </w:t>
      </w:r>
      <w:r>
        <w:rPr>
          <w:spacing w:val="-2"/>
        </w:rPr>
        <w:t>PUSTAKA</w:t>
      </w:r>
    </w:p>
    <w:p>
      <w:pPr>
        <w:pStyle w:val="BodyText"/>
        <w:spacing w:before="22"/>
        <w:rPr>
          <w:b/>
        </w:rPr>
      </w:pPr>
    </w:p>
    <w:p>
      <w:pPr>
        <w:spacing w:before="0"/>
        <w:ind w:left="23" w:right="0" w:firstLine="0"/>
        <w:jc w:val="left"/>
        <w:rPr>
          <w:sz w:val="24"/>
        </w:rPr>
      </w:pPr>
      <w:r>
        <w:rPr>
          <w:sz w:val="24"/>
        </w:rPr>
        <w:t>Adiwarman,</w:t>
      </w:r>
      <w:r>
        <w:rPr>
          <w:spacing w:val="-4"/>
          <w:sz w:val="24"/>
        </w:rPr>
        <w:t> </w:t>
      </w:r>
      <w:r>
        <w:rPr>
          <w:sz w:val="24"/>
        </w:rPr>
        <w:t>A.</w:t>
      </w:r>
      <w:r>
        <w:rPr>
          <w:spacing w:val="-1"/>
          <w:sz w:val="24"/>
        </w:rPr>
        <w:t> </w:t>
      </w:r>
      <w:r>
        <w:rPr>
          <w:sz w:val="24"/>
        </w:rPr>
        <w:t>Karim.,</w:t>
      </w:r>
      <w:r>
        <w:rPr>
          <w:spacing w:val="2"/>
          <w:sz w:val="24"/>
        </w:rPr>
        <w:t> </w:t>
      </w:r>
      <w:r>
        <w:rPr>
          <w:i/>
          <w:sz w:val="24"/>
        </w:rPr>
        <w:t>Ekonomi</w:t>
      </w:r>
      <w:r>
        <w:rPr>
          <w:i/>
          <w:spacing w:val="-2"/>
          <w:sz w:val="24"/>
        </w:rPr>
        <w:t> </w:t>
      </w:r>
      <w:r>
        <w:rPr>
          <w:i/>
          <w:sz w:val="24"/>
        </w:rPr>
        <w:t>Makro</w:t>
      </w:r>
      <w:r>
        <w:rPr>
          <w:i/>
          <w:spacing w:val="-2"/>
          <w:sz w:val="24"/>
        </w:rPr>
        <w:t> </w:t>
      </w:r>
      <w:r>
        <w:rPr>
          <w:i/>
          <w:sz w:val="24"/>
        </w:rPr>
        <w:t>Islam</w:t>
      </w:r>
      <w:r>
        <w:rPr>
          <w:i/>
          <w:spacing w:val="1"/>
          <w:sz w:val="24"/>
        </w:rPr>
        <w:t> </w:t>
      </w:r>
      <w:r>
        <w:rPr>
          <w:sz w:val="24"/>
        </w:rPr>
        <w:t>(Jakarta:</w:t>
      </w:r>
      <w:r>
        <w:rPr>
          <w:spacing w:val="-2"/>
          <w:sz w:val="24"/>
        </w:rPr>
        <w:t> </w:t>
      </w:r>
      <w:r>
        <w:rPr>
          <w:sz w:val="24"/>
        </w:rPr>
        <w:t>PT.</w:t>
      </w:r>
      <w:r>
        <w:rPr>
          <w:spacing w:val="-1"/>
          <w:sz w:val="24"/>
        </w:rPr>
        <w:t> </w:t>
      </w:r>
      <w:r>
        <w:rPr>
          <w:sz w:val="24"/>
        </w:rPr>
        <w:t>Raja</w:t>
      </w:r>
      <w:r>
        <w:rPr>
          <w:spacing w:val="-3"/>
          <w:sz w:val="24"/>
        </w:rPr>
        <w:t> </w:t>
      </w:r>
      <w:r>
        <w:rPr>
          <w:sz w:val="24"/>
        </w:rPr>
        <w:t>Grapindo</w:t>
      </w:r>
      <w:r>
        <w:rPr>
          <w:spacing w:val="-1"/>
          <w:sz w:val="24"/>
        </w:rPr>
        <w:t> </w:t>
      </w:r>
      <w:r>
        <w:rPr>
          <w:spacing w:val="-2"/>
          <w:sz w:val="24"/>
        </w:rPr>
        <w:t>Persada)</w:t>
      </w:r>
    </w:p>
    <w:p>
      <w:pPr>
        <w:pStyle w:val="BodyText"/>
        <w:tabs>
          <w:tab w:pos="2491" w:val="left" w:leader="none"/>
          <w:tab w:pos="3928" w:val="left" w:leader="none"/>
          <w:tab w:pos="5891" w:val="left" w:leader="none"/>
          <w:tab w:pos="6820" w:val="left" w:leader="none"/>
          <w:tab w:pos="9051" w:val="right" w:leader="none"/>
        </w:tabs>
        <w:spacing w:before="161"/>
        <w:ind w:left="503" w:right="161" w:hanging="480"/>
        <w:jc w:val="both"/>
      </w:pPr>
      <w:r>
        <w:rPr/>
        <w:t>Ahmad,</w:t>
      </w:r>
      <w:r>
        <w:rPr>
          <w:spacing w:val="-15"/>
        </w:rPr>
        <w:t> </w:t>
      </w:r>
      <w:r>
        <w:rPr/>
        <w:t>Shabran</w:t>
      </w:r>
      <w:r>
        <w:rPr>
          <w:spacing w:val="-14"/>
        </w:rPr>
        <w:t> </w:t>
      </w:r>
      <w:r>
        <w:rPr/>
        <w:t>Jamil,</w:t>
      </w:r>
      <w:r>
        <w:rPr>
          <w:spacing w:val="-15"/>
        </w:rPr>
        <w:t> </w:t>
      </w:r>
      <w:r>
        <w:rPr/>
        <w:t>and</w:t>
      </w:r>
      <w:r>
        <w:rPr>
          <w:spacing w:val="-15"/>
        </w:rPr>
        <w:t> </w:t>
      </w:r>
      <w:r>
        <w:rPr/>
        <w:t>Juarsa</w:t>
      </w:r>
      <w:r>
        <w:rPr>
          <w:spacing w:val="-15"/>
        </w:rPr>
        <w:t> </w:t>
      </w:r>
      <w:r>
        <w:rPr/>
        <w:t>Badri,</w:t>
      </w:r>
      <w:r>
        <w:rPr>
          <w:spacing w:val="-15"/>
        </w:rPr>
        <w:t> </w:t>
      </w:r>
      <w:r>
        <w:rPr/>
        <w:t>‘Pengaruh</w:t>
      </w:r>
      <w:r>
        <w:rPr>
          <w:spacing w:val="-13"/>
        </w:rPr>
        <w:t> </w:t>
      </w:r>
      <w:r>
        <w:rPr/>
        <w:t>Inflasi</w:t>
      </w:r>
      <w:r>
        <w:rPr>
          <w:spacing w:val="-15"/>
        </w:rPr>
        <w:t> </w:t>
      </w:r>
      <w:r>
        <w:rPr/>
        <w:t>Dan</w:t>
      </w:r>
      <w:r>
        <w:rPr>
          <w:spacing w:val="-13"/>
        </w:rPr>
        <w:t> </w:t>
      </w:r>
      <w:r>
        <w:rPr/>
        <w:t>Tingkat</w:t>
      </w:r>
      <w:r>
        <w:rPr>
          <w:spacing w:val="-15"/>
        </w:rPr>
        <w:t> </w:t>
      </w:r>
      <w:r>
        <w:rPr/>
        <w:t>Suku</w:t>
      </w:r>
      <w:r>
        <w:rPr>
          <w:spacing w:val="-15"/>
        </w:rPr>
        <w:t> </w:t>
      </w:r>
      <w:r>
        <w:rPr/>
        <w:t>Bunga</w:t>
      </w:r>
      <w:r>
        <w:rPr>
          <w:spacing w:val="-15"/>
        </w:rPr>
        <w:t> </w:t>
      </w:r>
      <w:r>
        <w:rPr/>
        <w:t>Terhadap Indeks Harga Saham Gabungan Yang Terdaftar Di Bursa Efek Indonesia Pada Tahun </w:t>
      </w:r>
      <w:r>
        <w:rPr>
          <w:spacing w:val="-2"/>
        </w:rPr>
        <w:t>2013-2021’,</w:t>
      </w:r>
      <w:r>
        <w:rPr/>
        <w:tab/>
      </w:r>
      <w:r>
        <w:rPr>
          <w:i/>
          <w:spacing w:val="-2"/>
        </w:rPr>
        <w:t>Jurnal</w:t>
      </w:r>
      <w:r>
        <w:rPr>
          <w:i/>
        </w:rPr>
        <w:tab/>
      </w:r>
      <w:r>
        <w:rPr>
          <w:i/>
          <w:spacing w:val="-2"/>
        </w:rPr>
        <w:t>Economina</w:t>
      </w:r>
      <w:r>
        <w:rPr>
          <w:spacing w:val="-2"/>
        </w:rPr>
        <w:t>,</w:t>
      </w:r>
      <w:r>
        <w:rPr/>
        <w:tab/>
      </w:r>
      <w:r>
        <w:rPr>
          <w:spacing w:val="-10"/>
        </w:rPr>
        <w:t>1</w:t>
      </w:r>
      <w:r>
        <w:rPr/>
        <w:tab/>
      </w:r>
      <w:r>
        <w:rPr>
          <w:spacing w:val="-2"/>
        </w:rPr>
        <w:t>(2022),</w:t>
      </w:r>
      <w:r>
        <w:rPr/>
        <w:tab/>
      </w:r>
      <w:r>
        <w:rPr>
          <w:spacing w:val="-2"/>
        </w:rPr>
        <w:t>679–89</w:t>
      </w:r>
    </w:p>
    <w:p>
      <w:pPr>
        <w:pStyle w:val="BodyText"/>
        <w:ind w:left="503"/>
      </w:pPr>
      <w:r>
        <w:rPr>
          <w:spacing w:val="-2"/>
        </w:rPr>
        <w:t>&lt;https://doi.org/10.55681/economina.v1i3.160&gt;</w:t>
      </w:r>
    </w:p>
    <w:p>
      <w:pPr>
        <w:pStyle w:val="BodyText"/>
        <w:spacing w:before="159"/>
        <w:ind w:left="503" w:right="160" w:hanging="480"/>
        <w:jc w:val="both"/>
      </w:pPr>
      <w:r>
        <w:rPr/>
        <w:t>Amanda, Annisa Lutvy, Desi Efrianti, and Bintang Sahala Marpaung, ‘Analisis Pengaruh Kandungan</w:t>
      </w:r>
      <w:r>
        <w:rPr>
          <w:spacing w:val="-6"/>
        </w:rPr>
        <w:t> </w:t>
      </w:r>
      <w:r>
        <w:rPr/>
        <w:t>Informasi</w:t>
      </w:r>
      <w:r>
        <w:rPr>
          <w:spacing w:val="-8"/>
        </w:rPr>
        <w:t> </w:t>
      </w:r>
      <w:r>
        <w:rPr/>
        <w:t>Komponen</w:t>
      </w:r>
      <w:r>
        <w:rPr>
          <w:spacing w:val="-9"/>
        </w:rPr>
        <w:t> </w:t>
      </w:r>
      <w:r>
        <w:rPr/>
        <w:t>Laba</w:t>
      </w:r>
      <w:r>
        <w:rPr>
          <w:spacing w:val="-7"/>
        </w:rPr>
        <w:t> </w:t>
      </w:r>
      <w:r>
        <w:rPr/>
        <w:t>Dan</w:t>
      </w:r>
      <w:r>
        <w:rPr>
          <w:spacing w:val="-8"/>
        </w:rPr>
        <w:t> </w:t>
      </w:r>
      <w:r>
        <w:rPr/>
        <w:t>Rugi</w:t>
      </w:r>
      <w:r>
        <w:rPr>
          <w:spacing w:val="-5"/>
        </w:rPr>
        <w:t> </w:t>
      </w:r>
      <w:r>
        <w:rPr/>
        <w:t>Terhadap</w:t>
      </w:r>
      <w:r>
        <w:rPr>
          <w:spacing w:val="-8"/>
        </w:rPr>
        <w:t> </w:t>
      </w:r>
      <w:r>
        <w:rPr/>
        <w:t>Koefisien</w:t>
      </w:r>
      <w:r>
        <w:rPr>
          <w:spacing w:val="-9"/>
        </w:rPr>
        <w:t> </w:t>
      </w:r>
      <w:r>
        <w:rPr/>
        <w:t>Respon</w:t>
      </w:r>
      <w:r>
        <w:rPr>
          <w:spacing w:val="-8"/>
        </w:rPr>
        <w:t> </w:t>
      </w:r>
      <w:r>
        <w:rPr/>
        <w:t>Laba</w:t>
      </w:r>
      <w:r>
        <w:rPr>
          <w:spacing w:val="-7"/>
        </w:rPr>
        <w:t> </w:t>
      </w:r>
      <w:r>
        <w:rPr/>
        <w:t>(Erc) Studi Empiris Pada Perusahaan Manufaktur Sektor Industri Dasar Dan Kimia Yang Terdaftar</w:t>
      </w:r>
      <w:r>
        <w:rPr>
          <w:spacing w:val="-9"/>
        </w:rPr>
        <w:t> </w:t>
      </w:r>
      <w:r>
        <w:rPr/>
        <w:t>Di</w:t>
      </w:r>
      <w:r>
        <w:rPr>
          <w:spacing w:val="-8"/>
        </w:rPr>
        <w:t> </w:t>
      </w:r>
      <w:r>
        <w:rPr/>
        <w:t>Bursa</w:t>
      </w:r>
      <w:r>
        <w:rPr>
          <w:spacing w:val="-7"/>
        </w:rPr>
        <w:t> </w:t>
      </w:r>
      <w:r>
        <w:rPr/>
        <w:t>Efek</w:t>
      </w:r>
      <w:r>
        <w:rPr>
          <w:spacing w:val="-6"/>
        </w:rPr>
        <w:t> </w:t>
      </w:r>
      <w:r>
        <w:rPr/>
        <w:t>Indonesia</w:t>
      </w:r>
      <w:r>
        <w:rPr>
          <w:spacing w:val="-8"/>
        </w:rPr>
        <w:t> </w:t>
      </w:r>
      <w:r>
        <w:rPr/>
        <w:t>(BEI)’,</w:t>
      </w:r>
      <w:r>
        <w:rPr>
          <w:spacing w:val="-8"/>
        </w:rPr>
        <w:t> </w:t>
      </w:r>
      <w:r>
        <w:rPr>
          <w:i/>
        </w:rPr>
        <w:t>Jurnal</w:t>
      </w:r>
      <w:r>
        <w:rPr>
          <w:i/>
          <w:spacing w:val="-8"/>
        </w:rPr>
        <w:t> </w:t>
      </w:r>
      <w:r>
        <w:rPr>
          <w:i/>
        </w:rPr>
        <w:t>Ilmiah</w:t>
      </w:r>
      <w:r>
        <w:rPr>
          <w:i/>
          <w:spacing w:val="-8"/>
        </w:rPr>
        <w:t> </w:t>
      </w:r>
      <w:r>
        <w:rPr>
          <w:i/>
        </w:rPr>
        <w:t>Manajemen</w:t>
      </w:r>
      <w:r>
        <w:rPr>
          <w:i/>
          <w:spacing w:val="-8"/>
        </w:rPr>
        <w:t> </w:t>
      </w:r>
      <w:r>
        <w:rPr>
          <w:i/>
        </w:rPr>
        <w:t>Kesatuan</w:t>
      </w:r>
      <w:r>
        <w:rPr/>
        <w:t>,</w:t>
      </w:r>
      <w:r>
        <w:rPr>
          <w:spacing w:val="-8"/>
        </w:rPr>
        <w:t> </w:t>
      </w:r>
      <w:r>
        <w:rPr/>
        <w:t>7</w:t>
      </w:r>
      <w:r>
        <w:rPr>
          <w:spacing w:val="-8"/>
        </w:rPr>
        <w:t> </w:t>
      </w:r>
      <w:r>
        <w:rPr/>
        <w:t>(2019), 188–200 &lt;https://doi.org/10.37641/jimkes.v7i1.212&gt;</w:t>
      </w:r>
    </w:p>
    <w:p>
      <w:pPr>
        <w:spacing w:before="161"/>
        <w:ind w:left="503" w:right="0" w:hanging="480"/>
        <w:jc w:val="left"/>
        <w:rPr>
          <w:sz w:val="24"/>
        </w:rPr>
      </w:pPr>
      <w:r>
        <w:rPr>
          <w:sz w:val="24"/>
        </w:rPr>
        <w:t>Andinata,</w:t>
      </w:r>
      <w:r>
        <w:rPr>
          <w:spacing w:val="-10"/>
          <w:sz w:val="24"/>
        </w:rPr>
        <w:t> </w:t>
      </w:r>
      <w:r>
        <w:rPr>
          <w:sz w:val="24"/>
        </w:rPr>
        <w:t>Irfan,</w:t>
      </w:r>
      <w:r>
        <w:rPr>
          <w:spacing w:val="-11"/>
          <w:sz w:val="24"/>
        </w:rPr>
        <w:t> </w:t>
      </w:r>
      <w:r>
        <w:rPr>
          <w:sz w:val="24"/>
        </w:rPr>
        <w:t>Fatawil</w:t>
      </w:r>
      <w:r>
        <w:rPr>
          <w:spacing w:val="-11"/>
          <w:sz w:val="24"/>
        </w:rPr>
        <w:t> </w:t>
      </w:r>
      <w:r>
        <w:rPr>
          <w:sz w:val="24"/>
        </w:rPr>
        <w:t>Akbar,</w:t>
      </w:r>
      <w:r>
        <w:rPr>
          <w:spacing w:val="-11"/>
          <w:sz w:val="24"/>
        </w:rPr>
        <w:t> </w:t>
      </w:r>
      <w:r>
        <w:rPr>
          <w:sz w:val="24"/>
        </w:rPr>
        <w:t>and</w:t>
      </w:r>
      <w:r>
        <w:rPr>
          <w:spacing w:val="-11"/>
          <w:sz w:val="24"/>
        </w:rPr>
        <w:t> </w:t>
      </w:r>
      <w:r>
        <w:rPr>
          <w:sz w:val="24"/>
        </w:rPr>
        <w:t>Rizka</w:t>
      </w:r>
      <w:r>
        <w:rPr>
          <w:spacing w:val="-12"/>
          <w:sz w:val="24"/>
        </w:rPr>
        <w:t> </w:t>
      </w:r>
      <w:r>
        <w:rPr>
          <w:sz w:val="24"/>
        </w:rPr>
        <w:t>Amelia,</w:t>
      </w:r>
      <w:r>
        <w:rPr>
          <w:spacing w:val="-11"/>
          <w:sz w:val="24"/>
        </w:rPr>
        <w:t> </w:t>
      </w:r>
      <w:r>
        <w:rPr>
          <w:sz w:val="24"/>
        </w:rPr>
        <w:t>‘Investasi</w:t>
      </w:r>
      <w:r>
        <w:rPr>
          <w:spacing w:val="-11"/>
          <w:sz w:val="24"/>
        </w:rPr>
        <w:t> </w:t>
      </w:r>
      <w:r>
        <w:rPr>
          <w:sz w:val="24"/>
        </w:rPr>
        <w:t>Saham</w:t>
      </w:r>
      <w:r>
        <w:rPr>
          <w:spacing w:val="-11"/>
          <w:sz w:val="24"/>
        </w:rPr>
        <w:t> </w:t>
      </w:r>
      <w:r>
        <w:rPr>
          <w:sz w:val="24"/>
        </w:rPr>
        <w:t>Syariah</w:t>
      </w:r>
      <w:r>
        <w:rPr>
          <w:spacing w:val="-11"/>
          <w:sz w:val="24"/>
        </w:rPr>
        <w:t> </w:t>
      </w:r>
      <w:r>
        <w:rPr>
          <w:sz w:val="24"/>
        </w:rPr>
        <w:t>Dalam</w:t>
      </w:r>
      <w:r>
        <w:rPr>
          <w:spacing w:val="-11"/>
          <w:sz w:val="24"/>
        </w:rPr>
        <w:t> </w:t>
      </w:r>
      <w:r>
        <w:rPr>
          <w:sz w:val="24"/>
        </w:rPr>
        <w:t>Perspektif Ekonomi</w:t>
      </w:r>
      <w:r>
        <w:rPr>
          <w:spacing w:val="34"/>
          <w:sz w:val="24"/>
        </w:rPr>
        <w:t> </w:t>
      </w:r>
      <w:r>
        <w:rPr>
          <w:sz w:val="24"/>
        </w:rPr>
        <w:t>Dan</w:t>
      </w:r>
      <w:r>
        <w:rPr>
          <w:spacing w:val="34"/>
          <w:sz w:val="24"/>
        </w:rPr>
        <w:t> </w:t>
      </w:r>
      <w:r>
        <w:rPr>
          <w:sz w:val="24"/>
        </w:rPr>
        <w:t>Hukum</w:t>
      </w:r>
      <w:r>
        <w:rPr>
          <w:spacing w:val="34"/>
          <w:sz w:val="24"/>
        </w:rPr>
        <w:t> </w:t>
      </w:r>
      <w:r>
        <w:rPr>
          <w:sz w:val="24"/>
        </w:rPr>
        <w:t>Islam’,</w:t>
      </w:r>
      <w:r>
        <w:rPr>
          <w:spacing w:val="34"/>
          <w:sz w:val="24"/>
        </w:rPr>
        <w:t> </w:t>
      </w:r>
      <w:r>
        <w:rPr>
          <w:i/>
          <w:sz w:val="24"/>
        </w:rPr>
        <w:t>Madani:</w:t>
      </w:r>
      <w:r>
        <w:rPr>
          <w:i/>
          <w:spacing w:val="34"/>
          <w:sz w:val="24"/>
        </w:rPr>
        <w:t> </w:t>
      </w:r>
      <w:r>
        <w:rPr>
          <w:i/>
          <w:sz w:val="24"/>
        </w:rPr>
        <w:t>Jurnal</w:t>
      </w:r>
      <w:r>
        <w:rPr>
          <w:i/>
          <w:spacing w:val="35"/>
          <w:sz w:val="24"/>
        </w:rPr>
        <w:t> </w:t>
      </w:r>
      <w:r>
        <w:rPr>
          <w:i/>
          <w:sz w:val="24"/>
        </w:rPr>
        <w:t>Ilmiah</w:t>
      </w:r>
      <w:r>
        <w:rPr>
          <w:i/>
          <w:spacing w:val="34"/>
          <w:sz w:val="24"/>
        </w:rPr>
        <w:t> </w:t>
      </w:r>
      <w:r>
        <w:rPr>
          <w:i/>
          <w:sz w:val="24"/>
        </w:rPr>
        <w:t>Multidisiplin</w:t>
      </w:r>
      <w:r>
        <w:rPr>
          <w:sz w:val="24"/>
        </w:rPr>
        <w:t>,</w:t>
      </w:r>
      <w:r>
        <w:rPr>
          <w:spacing w:val="34"/>
          <w:sz w:val="24"/>
        </w:rPr>
        <w:t> </w:t>
      </w:r>
      <w:r>
        <w:rPr>
          <w:sz w:val="24"/>
        </w:rPr>
        <w:t>1</w:t>
      </w:r>
      <w:r>
        <w:rPr>
          <w:spacing w:val="34"/>
          <w:sz w:val="24"/>
        </w:rPr>
        <w:t> </w:t>
      </w:r>
      <w:r>
        <w:rPr>
          <w:sz w:val="24"/>
        </w:rPr>
        <w:t>(2023),</w:t>
      </w:r>
      <w:r>
        <w:rPr>
          <w:spacing w:val="34"/>
          <w:sz w:val="24"/>
        </w:rPr>
        <w:t> </w:t>
      </w:r>
      <w:r>
        <w:rPr>
          <w:spacing w:val="-2"/>
          <w:sz w:val="24"/>
        </w:rPr>
        <w:t>340–48</w:t>
      </w:r>
    </w:p>
    <w:p>
      <w:pPr>
        <w:pStyle w:val="BodyText"/>
        <w:ind w:left="503"/>
      </w:pPr>
      <w:r>
        <w:rPr>
          <w:spacing w:val="-2"/>
        </w:rPr>
        <w:t>&lt;https://doi.org/10.5281/zenodo.8124866&gt;</w:t>
      </w:r>
    </w:p>
    <w:p>
      <w:pPr>
        <w:tabs>
          <w:tab w:pos="1587" w:val="left" w:leader="none"/>
          <w:tab w:pos="2531" w:val="left" w:leader="none"/>
          <w:tab w:pos="3419" w:val="left" w:leader="none"/>
          <w:tab w:pos="4158" w:val="left" w:leader="none"/>
          <w:tab w:pos="5374" w:val="left" w:leader="none"/>
          <w:tab w:pos="6046" w:val="left" w:leader="none"/>
          <w:tab w:pos="7353" w:val="left" w:leader="none"/>
          <w:tab w:pos="7732" w:val="left" w:leader="none"/>
          <w:tab w:pos="9049" w:val="right" w:leader="none"/>
        </w:tabs>
        <w:spacing w:before="161"/>
        <w:ind w:left="503" w:right="162" w:hanging="480"/>
        <w:jc w:val="left"/>
        <w:rPr>
          <w:sz w:val="24"/>
        </w:rPr>
      </w:pPr>
      <w:r>
        <w:rPr>
          <w:sz w:val="24"/>
        </w:rPr>
        <w:t>Andriana,</w:t>
      </w:r>
      <w:r>
        <w:rPr>
          <w:spacing w:val="40"/>
          <w:sz w:val="24"/>
        </w:rPr>
        <w:t> </w:t>
      </w:r>
      <w:r>
        <w:rPr>
          <w:sz w:val="24"/>
        </w:rPr>
        <w:t>Denny,</w:t>
      </w:r>
      <w:r>
        <w:rPr>
          <w:spacing w:val="40"/>
          <w:sz w:val="24"/>
        </w:rPr>
        <w:t> </w:t>
      </w:r>
      <w:r>
        <w:rPr>
          <w:sz w:val="24"/>
        </w:rPr>
        <w:t>‘Pengaruh</w:t>
      </w:r>
      <w:r>
        <w:rPr>
          <w:spacing w:val="40"/>
          <w:sz w:val="24"/>
        </w:rPr>
        <w:t> </w:t>
      </w:r>
      <w:r>
        <w:rPr>
          <w:sz w:val="24"/>
        </w:rPr>
        <w:t>Nilai</w:t>
      </w:r>
      <w:r>
        <w:rPr>
          <w:spacing w:val="40"/>
          <w:sz w:val="24"/>
        </w:rPr>
        <w:t> </w:t>
      </w:r>
      <w:r>
        <w:rPr>
          <w:sz w:val="24"/>
        </w:rPr>
        <w:t>Tukar</w:t>
      </w:r>
      <w:r>
        <w:rPr>
          <w:spacing w:val="40"/>
          <w:sz w:val="24"/>
        </w:rPr>
        <w:t> </w:t>
      </w:r>
      <w:r>
        <w:rPr>
          <w:sz w:val="24"/>
        </w:rPr>
        <w:t>Terhadap</w:t>
      </w:r>
      <w:r>
        <w:rPr>
          <w:spacing w:val="40"/>
          <w:sz w:val="24"/>
        </w:rPr>
        <w:t> </w:t>
      </w:r>
      <w:r>
        <w:rPr>
          <w:sz w:val="24"/>
        </w:rPr>
        <w:t>Harga</w:t>
      </w:r>
      <w:r>
        <w:rPr>
          <w:spacing w:val="40"/>
          <w:sz w:val="24"/>
        </w:rPr>
        <w:t> </w:t>
      </w:r>
      <w:r>
        <w:rPr>
          <w:sz w:val="24"/>
        </w:rPr>
        <w:t>Saham</w:t>
      </w:r>
      <w:r>
        <w:rPr>
          <w:spacing w:val="40"/>
          <w:sz w:val="24"/>
        </w:rPr>
        <w:t> </w:t>
      </w:r>
      <w:r>
        <w:rPr>
          <w:sz w:val="24"/>
        </w:rPr>
        <w:t>Setelah</w:t>
      </w:r>
      <w:r>
        <w:rPr>
          <w:spacing w:val="40"/>
          <w:sz w:val="24"/>
        </w:rPr>
        <w:t> </w:t>
      </w:r>
      <w:r>
        <w:rPr>
          <w:sz w:val="24"/>
        </w:rPr>
        <w:t>Initial</w:t>
      </w:r>
      <w:r>
        <w:rPr>
          <w:spacing w:val="40"/>
          <w:sz w:val="24"/>
        </w:rPr>
        <w:t> </w:t>
      </w:r>
      <w:r>
        <w:rPr>
          <w:sz w:val="24"/>
        </w:rPr>
        <w:t>Public</w:t>
      </w:r>
      <w:r>
        <w:rPr>
          <w:spacing w:val="80"/>
          <w:sz w:val="24"/>
        </w:rPr>
        <w:t> </w:t>
      </w:r>
      <w:r>
        <w:rPr>
          <w:spacing w:val="-2"/>
          <w:sz w:val="24"/>
        </w:rPr>
        <w:t>Offering</w:t>
      </w:r>
      <w:r>
        <w:rPr>
          <w:sz w:val="24"/>
        </w:rPr>
        <w:tab/>
      </w:r>
      <w:r>
        <w:rPr>
          <w:spacing w:val="-2"/>
          <w:sz w:val="24"/>
        </w:rPr>
        <w:t>(IPO)’,</w:t>
      </w:r>
      <w:r>
        <w:rPr>
          <w:sz w:val="24"/>
        </w:rPr>
        <w:tab/>
      </w:r>
      <w:r>
        <w:rPr>
          <w:i/>
          <w:spacing w:val="-2"/>
          <w:sz w:val="24"/>
        </w:rPr>
        <w:t>Jurnal</w:t>
      </w:r>
      <w:r>
        <w:rPr>
          <w:i/>
          <w:sz w:val="24"/>
        </w:rPr>
        <w:tab/>
      </w:r>
      <w:r>
        <w:rPr>
          <w:i/>
          <w:spacing w:val="-2"/>
          <w:sz w:val="24"/>
        </w:rPr>
        <w:t>Riset</w:t>
      </w:r>
      <w:r>
        <w:rPr>
          <w:i/>
          <w:sz w:val="24"/>
        </w:rPr>
        <w:tab/>
      </w:r>
      <w:r>
        <w:rPr>
          <w:i/>
          <w:spacing w:val="-2"/>
          <w:sz w:val="24"/>
        </w:rPr>
        <w:t>Akuntansi</w:t>
      </w:r>
      <w:r>
        <w:rPr>
          <w:i/>
          <w:sz w:val="24"/>
        </w:rPr>
        <w:tab/>
      </w:r>
      <w:r>
        <w:rPr>
          <w:i/>
          <w:spacing w:val="-5"/>
          <w:sz w:val="24"/>
        </w:rPr>
        <w:t>Dan</w:t>
      </w:r>
      <w:r>
        <w:rPr>
          <w:i/>
          <w:sz w:val="24"/>
        </w:rPr>
        <w:tab/>
      </w:r>
      <w:r>
        <w:rPr>
          <w:i/>
          <w:spacing w:val="-2"/>
          <w:sz w:val="24"/>
        </w:rPr>
        <w:t>Keuangan</w:t>
      </w:r>
      <w:r>
        <w:rPr>
          <w:spacing w:val="-2"/>
          <w:sz w:val="24"/>
        </w:rPr>
        <w:t>,</w:t>
      </w:r>
      <w:r>
        <w:rPr>
          <w:sz w:val="24"/>
        </w:rPr>
        <w:tab/>
      </w:r>
      <w:r>
        <w:rPr>
          <w:spacing w:val="-10"/>
          <w:sz w:val="24"/>
        </w:rPr>
        <w:t>3</w:t>
      </w:r>
      <w:r>
        <w:rPr>
          <w:sz w:val="24"/>
        </w:rPr>
        <w:tab/>
      </w:r>
      <w:r>
        <w:rPr>
          <w:spacing w:val="-2"/>
          <w:sz w:val="24"/>
        </w:rPr>
        <w:t>(2015),</w:t>
      </w:r>
      <w:r>
        <w:rPr>
          <w:sz w:val="24"/>
        </w:rPr>
        <w:tab/>
      </w:r>
      <w:r>
        <w:rPr>
          <w:spacing w:val="-5"/>
          <w:sz w:val="24"/>
        </w:rPr>
        <w:t>761</w:t>
      </w:r>
    </w:p>
    <w:p>
      <w:pPr>
        <w:pStyle w:val="BodyText"/>
        <w:ind w:left="503"/>
      </w:pPr>
      <w:r>
        <w:rPr>
          <w:spacing w:val="-2"/>
        </w:rPr>
        <w:t>&lt;https://doi.org/10.17509/jrak.v3i3.6619&gt;</w:t>
      </w:r>
    </w:p>
    <w:p>
      <w:pPr>
        <w:pStyle w:val="BodyText"/>
        <w:spacing w:before="159"/>
        <w:ind w:left="503" w:hanging="480"/>
        <w:rPr>
          <w:i/>
        </w:rPr>
      </w:pPr>
      <w:r>
        <w:rPr/>
        <w:t>Anuraga,</w:t>
      </w:r>
      <w:r>
        <w:rPr>
          <w:spacing w:val="40"/>
        </w:rPr>
        <w:t> </w:t>
      </w:r>
      <w:r>
        <w:rPr/>
        <w:t>Gangga,</w:t>
      </w:r>
      <w:r>
        <w:rPr>
          <w:spacing w:val="40"/>
        </w:rPr>
        <w:t> </w:t>
      </w:r>
      <w:r>
        <w:rPr/>
        <w:t>and</w:t>
      </w:r>
      <w:r>
        <w:rPr>
          <w:spacing w:val="40"/>
        </w:rPr>
        <w:t> </w:t>
      </w:r>
      <w:r>
        <w:rPr/>
        <w:t>Muhammad</w:t>
      </w:r>
      <w:r>
        <w:rPr>
          <w:spacing w:val="40"/>
        </w:rPr>
        <w:t> </w:t>
      </w:r>
      <w:r>
        <w:rPr/>
        <w:t>Indrasetianingsih,</w:t>
      </w:r>
      <w:r>
        <w:rPr>
          <w:spacing w:val="40"/>
        </w:rPr>
        <w:t> </w:t>
      </w:r>
      <w:r>
        <w:rPr/>
        <w:t>Artanti</w:t>
      </w:r>
      <w:r>
        <w:rPr>
          <w:spacing w:val="40"/>
        </w:rPr>
        <w:t> </w:t>
      </w:r>
      <w:r>
        <w:rPr/>
        <w:t>Athoillah,</w:t>
      </w:r>
      <w:r>
        <w:rPr>
          <w:spacing w:val="40"/>
        </w:rPr>
        <w:t> </w:t>
      </w:r>
      <w:r>
        <w:rPr/>
        <w:t>‘PELATIHAN</w:t>
      </w:r>
      <w:r>
        <w:rPr>
          <w:spacing w:val="80"/>
          <w:w w:val="150"/>
        </w:rPr>
        <w:t> </w:t>
      </w:r>
      <w:r>
        <w:rPr/>
        <w:t>PENGUJIAN</w:t>
      </w:r>
      <w:r>
        <w:rPr>
          <w:spacing w:val="21"/>
        </w:rPr>
        <w:t> </w:t>
      </w:r>
      <w:r>
        <w:rPr/>
        <w:t>HIPOTESIS</w:t>
      </w:r>
      <w:r>
        <w:rPr>
          <w:spacing w:val="20"/>
        </w:rPr>
        <w:t> </w:t>
      </w:r>
      <w:r>
        <w:rPr/>
        <w:t>STATISTIKA</w:t>
      </w:r>
      <w:r>
        <w:rPr>
          <w:spacing w:val="20"/>
        </w:rPr>
        <w:t> </w:t>
      </w:r>
      <w:r>
        <w:rPr/>
        <w:t>DASAR</w:t>
      </w:r>
      <w:r>
        <w:rPr>
          <w:spacing w:val="20"/>
        </w:rPr>
        <w:t> </w:t>
      </w:r>
      <w:r>
        <w:rPr/>
        <w:t>DENGAN</w:t>
      </w:r>
      <w:r>
        <w:rPr>
          <w:spacing w:val="19"/>
        </w:rPr>
        <w:t> </w:t>
      </w:r>
      <w:r>
        <w:rPr/>
        <w:t>SOFTWARE</w:t>
      </w:r>
      <w:r>
        <w:rPr>
          <w:spacing w:val="19"/>
        </w:rPr>
        <w:t> </w:t>
      </w:r>
      <w:r>
        <w:rPr/>
        <w:t>R’,</w:t>
      </w:r>
      <w:r>
        <w:rPr>
          <w:spacing w:val="27"/>
        </w:rPr>
        <w:t> </w:t>
      </w:r>
      <w:r>
        <w:rPr>
          <w:i/>
          <w:spacing w:val="-2"/>
        </w:rPr>
        <w:t>Jurnal</w:t>
      </w:r>
    </w:p>
    <w:p>
      <w:pPr>
        <w:tabs>
          <w:tab w:pos="4847" w:val="left" w:leader="none"/>
          <w:tab w:pos="8411" w:val="left" w:leader="none"/>
        </w:tabs>
        <w:spacing w:before="0"/>
        <w:ind w:left="503" w:right="0" w:firstLine="0"/>
        <w:jc w:val="left"/>
        <w:rPr>
          <w:sz w:val="24"/>
        </w:rPr>
      </w:pPr>
      <w:r>
        <w:rPr>
          <w:i/>
          <w:spacing w:val="-2"/>
          <w:sz w:val="24"/>
        </w:rPr>
        <w:t>Budimas</w:t>
      </w:r>
      <w:r>
        <w:rPr>
          <w:spacing w:val="-2"/>
          <w:sz w:val="24"/>
        </w:rPr>
        <w:t>,</w:t>
      </w:r>
      <w:r>
        <w:rPr>
          <w:sz w:val="24"/>
        </w:rPr>
        <w:tab/>
      </w:r>
      <w:r>
        <w:rPr>
          <w:spacing w:val="-10"/>
          <w:sz w:val="24"/>
        </w:rPr>
        <w:t>3</w:t>
      </w:r>
      <w:r>
        <w:rPr>
          <w:sz w:val="24"/>
        </w:rPr>
        <w:tab/>
      </w:r>
      <w:r>
        <w:rPr>
          <w:spacing w:val="-2"/>
          <w:sz w:val="24"/>
        </w:rPr>
        <w:t>(2021)</w:t>
      </w:r>
    </w:p>
    <w:p>
      <w:pPr>
        <w:pStyle w:val="BodyText"/>
        <w:ind w:left="503"/>
      </w:pPr>
      <w:r>
        <w:rPr>
          <w:spacing w:val="-2"/>
        </w:rPr>
        <w:t>&lt;</w:t>
      </w:r>
      <w:hyperlink r:id="rId21">
        <w:r>
          <w:rPr>
            <w:spacing w:val="-2"/>
          </w:rPr>
          <w:t>http://ejurnalmalahayati.ac.id/index.php/kreativitas/article/view/3511/pdf</w:t>
        </w:r>
      </w:hyperlink>
      <w:r>
        <w:rPr>
          <w:spacing w:val="-2"/>
        </w:rPr>
        <w:t>&gt;</w:t>
      </w:r>
    </w:p>
    <w:p>
      <w:pPr>
        <w:pStyle w:val="BodyText"/>
        <w:spacing w:before="161"/>
        <w:ind w:left="503" w:right="163" w:hanging="480"/>
        <w:jc w:val="both"/>
      </w:pPr>
      <w:r>
        <w:rPr/>
        <w:t>Arifin,</w:t>
      </w:r>
      <w:r>
        <w:rPr>
          <w:spacing w:val="-4"/>
        </w:rPr>
        <w:t> </w:t>
      </w:r>
      <w:r>
        <w:rPr/>
        <w:t>Mohammad</w:t>
      </w:r>
      <w:r>
        <w:rPr>
          <w:spacing w:val="-4"/>
        </w:rPr>
        <w:t> </w:t>
      </w:r>
      <w:r>
        <w:rPr/>
        <w:t>Samsul,</w:t>
      </w:r>
      <w:r>
        <w:rPr>
          <w:spacing w:val="-4"/>
        </w:rPr>
        <w:t> </w:t>
      </w:r>
      <w:r>
        <w:rPr/>
        <w:t>Rosye</w:t>
      </w:r>
      <w:r>
        <w:rPr>
          <w:spacing w:val="-5"/>
        </w:rPr>
        <w:t> </w:t>
      </w:r>
      <w:r>
        <w:rPr/>
        <w:t>Zaena,</w:t>
      </w:r>
      <w:r>
        <w:rPr>
          <w:spacing w:val="-4"/>
        </w:rPr>
        <w:t> </w:t>
      </w:r>
      <w:r>
        <w:rPr/>
        <w:t>Abdul</w:t>
      </w:r>
      <w:r>
        <w:rPr>
          <w:spacing w:val="-4"/>
        </w:rPr>
        <w:t> </w:t>
      </w:r>
      <w:r>
        <w:rPr/>
        <w:t>Karim,</w:t>
      </w:r>
      <w:r>
        <w:rPr>
          <w:spacing w:val="-4"/>
        </w:rPr>
        <w:t> </w:t>
      </w:r>
      <w:r>
        <w:rPr/>
        <w:t>Septiana</w:t>
      </w:r>
      <w:r>
        <w:rPr>
          <w:spacing w:val="-5"/>
        </w:rPr>
        <w:t> </w:t>
      </w:r>
      <w:r>
        <w:rPr/>
        <w:t>Na’afi,</w:t>
      </w:r>
      <w:r>
        <w:rPr>
          <w:spacing w:val="-3"/>
        </w:rPr>
        <w:t> </w:t>
      </w:r>
      <w:r>
        <w:rPr/>
        <w:t>and</w:t>
      </w:r>
      <w:r>
        <w:rPr>
          <w:spacing w:val="-4"/>
        </w:rPr>
        <w:t> </w:t>
      </w:r>
      <w:r>
        <w:rPr/>
        <w:t>Aziz,</w:t>
      </w:r>
      <w:r>
        <w:rPr>
          <w:spacing w:val="-4"/>
        </w:rPr>
        <w:t> </w:t>
      </w:r>
      <w:r>
        <w:rPr/>
        <w:t>‘Analysis Role of Exchange Rate, BI</w:t>
      </w:r>
      <w:r>
        <w:rPr>
          <w:spacing w:val="-1"/>
        </w:rPr>
        <w:t> </w:t>
      </w:r>
      <w:r>
        <w:rPr/>
        <w:t>Seven Days Rate, Inflation and Gold Price on Return of ISSI (Indeks Saham Syariah Indonesia)’, </w:t>
      </w:r>
      <w:r>
        <w:rPr>
          <w:i/>
        </w:rPr>
        <w:t>JEMSI (Jurnal Ekonomi, Manajemen, Dan Akuntansi)</w:t>
      </w:r>
      <w:r>
        <w:rPr/>
        <w:t>, 9 (2023), 159–65 &lt;https://doi.org/10.35870/jemsi.v9i1.901&gt;</w:t>
      </w:r>
    </w:p>
    <w:p>
      <w:pPr>
        <w:pStyle w:val="BodyText"/>
        <w:spacing w:before="161"/>
        <w:ind w:left="503" w:right="167" w:hanging="480"/>
        <w:jc w:val="both"/>
      </w:pPr>
      <w:r>
        <w:rPr/>
        <w:t>Arthalya,</w:t>
      </w:r>
      <w:r>
        <w:rPr>
          <w:spacing w:val="-7"/>
        </w:rPr>
        <w:t> </w:t>
      </w:r>
      <w:r>
        <w:rPr/>
        <w:t>Delta,</w:t>
      </w:r>
      <w:r>
        <w:rPr>
          <w:spacing w:val="-7"/>
        </w:rPr>
        <w:t> </w:t>
      </w:r>
      <w:r>
        <w:rPr/>
        <w:t>and</w:t>
      </w:r>
      <w:r>
        <w:rPr>
          <w:spacing w:val="-2"/>
        </w:rPr>
        <w:t> </w:t>
      </w:r>
      <w:r>
        <w:rPr/>
        <w:t>Irvan</w:t>
      </w:r>
      <w:r>
        <w:rPr>
          <w:spacing w:val="-7"/>
        </w:rPr>
        <w:t> </w:t>
      </w:r>
      <w:r>
        <w:rPr/>
        <w:t>Yoga</w:t>
      </w:r>
      <w:r>
        <w:rPr>
          <w:spacing w:val="-8"/>
        </w:rPr>
        <w:t> </w:t>
      </w:r>
      <w:r>
        <w:rPr/>
        <w:t>Pardistya,</w:t>
      </w:r>
      <w:r>
        <w:rPr>
          <w:spacing w:val="-5"/>
        </w:rPr>
        <w:t> </w:t>
      </w:r>
      <w:r>
        <w:rPr/>
        <w:t>‘Pengaruh</w:t>
      </w:r>
      <w:r>
        <w:rPr>
          <w:spacing w:val="-8"/>
        </w:rPr>
        <w:t> </w:t>
      </w:r>
      <w:r>
        <w:rPr/>
        <w:t>Faktor</w:t>
      </w:r>
      <w:r>
        <w:rPr>
          <w:spacing w:val="-7"/>
        </w:rPr>
        <w:t> </w:t>
      </w:r>
      <w:r>
        <w:rPr/>
        <w:t>Makroekonomi</w:t>
      </w:r>
      <w:r>
        <w:rPr>
          <w:spacing w:val="-6"/>
        </w:rPr>
        <w:t> </w:t>
      </w:r>
      <w:r>
        <w:rPr/>
        <w:t>Terhadap</w:t>
      </w:r>
      <w:r>
        <w:rPr>
          <w:spacing w:val="-2"/>
        </w:rPr>
        <w:t> </w:t>
      </w:r>
      <w:r>
        <w:rPr/>
        <w:t>Indeks Saham Syariah Indonesia’, </w:t>
      </w:r>
      <w:r>
        <w:rPr>
          <w:i/>
        </w:rPr>
        <w:t>Jurnal Ilmiah Wahana Pendidikan</w:t>
      </w:r>
      <w:r>
        <w:rPr/>
        <w:t>, 9 (2023), 198–209</w:t>
      </w:r>
    </w:p>
    <w:p>
      <w:pPr>
        <w:tabs>
          <w:tab w:pos="2789" w:val="left" w:leader="none"/>
          <w:tab w:pos="3903" w:val="left" w:leader="none"/>
          <w:tab w:pos="6360" w:val="left" w:leader="none"/>
          <w:tab w:pos="7113" w:val="left" w:leader="none"/>
        </w:tabs>
        <w:spacing w:before="158"/>
        <w:ind w:left="503" w:right="159" w:hanging="480"/>
        <w:jc w:val="both"/>
        <w:rPr>
          <w:sz w:val="24"/>
        </w:rPr>
      </w:pPr>
      <w:r>
        <w:rPr>
          <w:sz w:val="24"/>
        </w:rPr>
        <w:t>Arthana, I Komang, ‘Analisis Faktor-Faktor Terjadinya Kecurangan (Fraud) Dalam Pengelolaan</w:t>
      </w:r>
      <w:r>
        <w:rPr>
          <w:spacing w:val="-7"/>
          <w:sz w:val="24"/>
        </w:rPr>
        <w:t> </w:t>
      </w:r>
      <w:r>
        <w:rPr>
          <w:sz w:val="24"/>
        </w:rPr>
        <w:t>Dana</w:t>
      </w:r>
      <w:r>
        <w:rPr>
          <w:spacing w:val="-8"/>
          <w:sz w:val="24"/>
        </w:rPr>
        <w:t> </w:t>
      </w:r>
      <w:r>
        <w:rPr>
          <w:sz w:val="24"/>
        </w:rPr>
        <w:t>Desa</w:t>
      </w:r>
      <w:r>
        <w:rPr>
          <w:spacing w:val="-5"/>
          <w:sz w:val="24"/>
        </w:rPr>
        <w:t> </w:t>
      </w:r>
      <w:r>
        <w:rPr>
          <w:sz w:val="24"/>
        </w:rPr>
        <w:t>Pada</w:t>
      </w:r>
      <w:r>
        <w:rPr>
          <w:spacing w:val="-8"/>
          <w:sz w:val="24"/>
        </w:rPr>
        <w:t> </w:t>
      </w:r>
      <w:r>
        <w:rPr>
          <w:sz w:val="24"/>
        </w:rPr>
        <w:t>Kecamatan</w:t>
      </w:r>
      <w:r>
        <w:rPr>
          <w:spacing w:val="-4"/>
          <w:sz w:val="24"/>
        </w:rPr>
        <w:t> </w:t>
      </w:r>
      <w:r>
        <w:rPr>
          <w:sz w:val="24"/>
        </w:rPr>
        <w:t>Amabi</w:t>
      </w:r>
      <w:r>
        <w:rPr>
          <w:spacing w:val="-4"/>
          <w:sz w:val="24"/>
        </w:rPr>
        <w:t> </w:t>
      </w:r>
      <w:r>
        <w:rPr>
          <w:sz w:val="24"/>
        </w:rPr>
        <w:t>Oefeto</w:t>
      </w:r>
      <w:r>
        <w:rPr>
          <w:spacing w:val="-6"/>
          <w:sz w:val="24"/>
        </w:rPr>
        <w:t> </w:t>
      </w:r>
      <w:r>
        <w:rPr>
          <w:sz w:val="24"/>
        </w:rPr>
        <w:t>Timur’,</w:t>
      </w:r>
      <w:r>
        <w:rPr>
          <w:spacing w:val="-3"/>
          <w:sz w:val="24"/>
        </w:rPr>
        <w:t> </w:t>
      </w:r>
      <w:r>
        <w:rPr>
          <w:i/>
          <w:sz w:val="24"/>
        </w:rPr>
        <w:t>JURNAL</w:t>
      </w:r>
      <w:r>
        <w:rPr>
          <w:i/>
          <w:spacing w:val="-4"/>
          <w:sz w:val="24"/>
        </w:rPr>
        <w:t> </w:t>
      </w:r>
      <w:r>
        <w:rPr>
          <w:i/>
          <w:sz w:val="24"/>
        </w:rPr>
        <w:t>AKUNTANSI</w:t>
      </w:r>
      <w:r>
        <w:rPr>
          <w:i/>
          <w:spacing w:val="-15"/>
          <w:sz w:val="24"/>
        </w:rPr>
        <w:t> </w:t>
      </w:r>
      <w:r>
        <w:rPr>
          <w:i/>
          <w:sz w:val="24"/>
        </w:rPr>
        <w:t>: </w:t>
      </w:r>
      <w:r>
        <w:rPr>
          <w:i/>
          <w:spacing w:val="-2"/>
          <w:sz w:val="24"/>
        </w:rPr>
        <w:t>TRANSPARANSI</w:t>
      </w:r>
      <w:r>
        <w:rPr>
          <w:i/>
          <w:sz w:val="24"/>
        </w:rPr>
        <w:tab/>
      </w:r>
      <w:r>
        <w:rPr>
          <w:i/>
          <w:spacing w:val="-5"/>
          <w:sz w:val="24"/>
        </w:rPr>
        <w:t>DAN</w:t>
      </w:r>
      <w:r>
        <w:rPr>
          <w:i/>
          <w:sz w:val="24"/>
        </w:rPr>
        <w:tab/>
      </w:r>
      <w:r>
        <w:rPr>
          <w:i/>
          <w:spacing w:val="-2"/>
          <w:sz w:val="24"/>
        </w:rPr>
        <w:t>AKUNTABILITAS</w:t>
      </w:r>
      <w:r>
        <w:rPr>
          <w:spacing w:val="-2"/>
          <w:sz w:val="24"/>
        </w:rPr>
        <w:t>,</w:t>
      </w:r>
      <w:r>
        <w:rPr>
          <w:sz w:val="24"/>
        </w:rPr>
        <w:tab/>
      </w:r>
      <w:r>
        <w:rPr>
          <w:spacing w:val="-10"/>
          <w:sz w:val="24"/>
        </w:rPr>
        <w:t>7</w:t>
      </w:r>
      <w:r>
        <w:rPr>
          <w:sz w:val="24"/>
        </w:rPr>
        <w:tab/>
        <w:t>(2019),</w:t>
      </w:r>
      <w:r>
        <w:rPr>
          <w:spacing w:val="68"/>
          <w:w w:val="150"/>
          <w:sz w:val="24"/>
        </w:rPr>
        <w:t>    </w:t>
      </w:r>
      <w:r>
        <w:rPr>
          <w:spacing w:val="-2"/>
          <w:sz w:val="24"/>
        </w:rPr>
        <w:t>35–43</w:t>
      </w:r>
    </w:p>
    <w:p>
      <w:pPr>
        <w:pStyle w:val="BodyText"/>
        <w:ind w:left="503"/>
      </w:pPr>
      <w:r>
        <w:rPr>
          <w:spacing w:val="-2"/>
        </w:rPr>
        <w:t>&lt;https://doi.org/10.35508/jak.v7i1.1302&gt;</w:t>
      </w:r>
    </w:p>
    <w:p>
      <w:pPr>
        <w:pStyle w:val="BodyText"/>
        <w:spacing w:before="161"/>
        <w:ind w:left="503" w:right="163" w:hanging="480"/>
        <w:jc w:val="both"/>
      </w:pPr>
      <w:r>
        <w:rPr/>
        <w:t>Ash-shiddiqy, Muhammad, ‘Pengaruh Indeks Produksi Industri (IPI), Sertifikat Bank Indonesia Syariah (SBIS), Inflasi Dan Nilai Tukar Terhadap Indeks Saham Syariah Indoensia (Periode 2012-2018)’, </w:t>
      </w:r>
      <w:r>
        <w:rPr>
          <w:i/>
        </w:rPr>
        <w:t>PANANGKARAN: Jurnal Penelitian Agama Dan Masyarakat</w:t>
      </w:r>
      <w:r>
        <w:rPr/>
        <w:t>, 3 (2018), 39–50</w:t>
      </w:r>
    </w:p>
    <w:p>
      <w:pPr>
        <w:pStyle w:val="BodyText"/>
        <w:spacing w:before="159"/>
        <w:ind w:left="503" w:right="161" w:hanging="480"/>
        <w:jc w:val="both"/>
        <w:rPr>
          <w:i/>
        </w:rPr>
      </w:pPr>
      <w:r>
        <w:rPr/>
        <w:t>Avenda, V.L, ‘Pengaruh Inflasi, Nilai Tukar, Tingkat Imbalan Sertifikat Bank Indonesia Syariah</w:t>
      </w:r>
      <w:r>
        <w:rPr>
          <w:spacing w:val="-4"/>
        </w:rPr>
        <w:t> </w:t>
      </w:r>
      <w:r>
        <w:rPr/>
        <w:t>(SBIS),</w:t>
      </w:r>
      <w:r>
        <w:rPr>
          <w:spacing w:val="-4"/>
        </w:rPr>
        <w:t> </w:t>
      </w:r>
      <w:r>
        <w:rPr/>
        <w:t>Suku</w:t>
      </w:r>
      <w:r>
        <w:rPr>
          <w:spacing w:val="-4"/>
        </w:rPr>
        <w:t> </w:t>
      </w:r>
      <w:r>
        <w:rPr/>
        <w:t>Bunga</w:t>
      </w:r>
      <w:r>
        <w:rPr>
          <w:spacing w:val="-5"/>
        </w:rPr>
        <w:t> </w:t>
      </w:r>
      <w:r>
        <w:rPr/>
        <w:t>Bank</w:t>
      </w:r>
      <w:r>
        <w:rPr>
          <w:spacing w:val="-2"/>
        </w:rPr>
        <w:t> </w:t>
      </w:r>
      <w:r>
        <w:rPr/>
        <w:t>Indonesia</w:t>
      </w:r>
      <w:r>
        <w:rPr>
          <w:spacing w:val="-3"/>
        </w:rPr>
        <w:t> </w:t>
      </w:r>
      <w:r>
        <w:rPr/>
        <w:t>Dan</w:t>
      </w:r>
      <w:r>
        <w:rPr>
          <w:spacing w:val="-2"/>
        </w:rPr>
        <w:t> </w:t>
      </w:r>
      <w:r>
        <w:rPr/>
        <w:t>Jumlah</w:t>
      </w:r>
      <w:r>
        <w:rPr>
          <w:spacing w:val="-4"/>
        </w:rPr>
        <w:t> </w:t>
      </w:r>
      <w:r>
        <w:rPr/>
        <w:t>Uang</w:t>
      </w:r>
      <w:r>
        <w:rPr>
          <w:spacing w:val="-4"/>
        </w:rPr>
        <w:t> </w:t>
      </w:r>
      <w:r>
        <w:rPr/>
        <w:t>Beredar</w:t>
      </w:r>
      <w:r>
        <w:rPr>
          <w:spacing w:val="-4"/>
        </w:rPr>
        <w:t> </w:t>
      </w:r>
      <w:r>
        <w:rPr/>
        <w:t>(JUB)</w:t>
      </w:r>
      <w:r>
        <w:rPr>
          <w:spacing w:val="-4"/>
        </w:rPr>
        <w:t> </w:t>
      </w:r>
      <w:r>
        <w:rPr/>
        <w:t>Terhadap Indeks</w:t>
      </w:r>
      <w:r>
        <w:rPr>
          <w:spacing w:val="-15"/>
        </w:rPr>
        <w:t> </w:t>
      </w:r>
      <w:r>
        <w:rPr/>
        <w:t>Saham</w:t>
      </w:r>
      <w:r>
        <w:rPr>
          <w:spacing w:val="-15"/>
        </w:rPr>
        <w:t> </w:t>
      </w:r>
      <w:r>
        <w:rPr/>
        <w:t>Syariah</w:t>
      </w:r>
      <w:r>
        <w:rPr>
          <w:spacing w:val="-15"/>
        </w:rPr>
        <w:t> </w:t>
      </w:r>
      <w:r>
        <w:rPr/>
        <w:t>Indonesia</w:t>
      </w:r>
      <w:r>
        <w:rPr>
          <w:spacing w:val="-15"/>
        </w:rPr>
        <w:t> </w:t>
      </w:r>
      <w:r>
        <w:rPr/>
        <w:t>(ISSI)</w:t>
      </w:r>
      <w:r>
        <w:rPr>
          <w:spacing w:val="-15"/>
        </w:rPr>
        <w:t> </w:t>
      </w:r>
      <w:r>
        <w:rPr/>
        <w:t>Periode</w:t>
      </w:r>
      <w:r>
        <w:rPr>
          <w:spacing w:val="-15"/>
        </w:rPr>
        <w:t> </w:t>
      </w:r>
      <w:r>
        <w:rPr/>
        <w:t>2013</w:t>
      </w:r>
      <w:r>
        <w:rPr>
          <w:spacing w:val="-15"/>
        </w:rPr>
        <w:t> </w:t>
      </w:r>
      <w:r>
        <w:rPr/>
        <w:t>-2017’,</w:t>
      </w:r>
      <w:r>
        <w:rPr>
          <w:spacing w:val="-15"/>
        </w:rPr>
        <w:t> </w:t>
      </w:r>
      <w:r>
        <w:rPr>
          <w:i/>
        </w:rPr>
        <w:t>Universitas</w:t>
      </w:r>
      <w:r>
        <w:rPr>
          <w:i/>
          <w:spacing w:val="-15"/>
        </w:rPr>
        <w:t> </w:t>
      </w:r>
      <w:r>
        <w:rPr>
          <w:i/>
        </w:rPr>
        <w:t>Muhammadiyah </w:t>
      </w:r>
      <w:r>
        <w:rPr>
          <w:i/>
          <w:spacing w:val="-2"/>
        </w:rPr>
        <w:t>Surakarta</w:t>
      </w:r>
    </w:p>
    <w:p>
      <w:pPr>
        <w:spacing w:before="161"/>
        <w:ind w:left="23" w:right="0" w:firstLine="0"/>
        <w:jc w:val="left"/>
        <w:rPr>
          <w:sz w:val="24"/>
        </w:rPr>
      </w:pPr>
      <w:r>
        <w:rPr>
          <w:i/>
          <w:sz w:val="24"/>
        </w:rPr>
        <w:t>Bank</w:t>
      </w:r>
      <w:r>
        <w:rPr>
          <w:i/>
          <w:spacing w:val="-3"/>
          <w:sz w:val="24"/>
        </w:rPr>
        <w:t> </w:t>
      </w:r>
      <w:r>
        <w:rPr>
          <w:i/>
          <w:sz w:val="24"/>
        </w:rPr>
        <w:t>Indonesia</w:t>
      </w:r>
      <w:r>
        <w:rPr>
          <w:sz w:val="24"/>
        </w:rPr>
        <w:t>,</w:t>
      </w:r>
      <w:r>
        <w:rPr>
          <w:spacing w:val="-1"/>
          <w:sz w:val="24"/>
        </w:rPr>
        <w:t> </w:t>
      </w:r>
      <w:r>
        <w:rPr>
          <w:spacing w:val="-4"/>
          <w:sz w:val="24"/>
        </w:rPr>
        <w:t>2016</w:t>
      </w:r>
    </w:p>
    <w:p>
      <w:pPr>
        <w:pStyle w:val="BodyText"/>
        <w:spacing w:before="161"/>
        <w:ind w:left="503" w:right="164" w:hanging="480"/>
        <w:jc w:val="both"/>
        <w:rPr>
          <w:i/>
        </w:rPr>
      </w:pPr>
      <w:r>
        <w:rPr/>
        <w:t>Basrowi, Basrowi, Pertiwi Utami, Erike Anggraeni, and Muhammad Nasor, ‘Analisis SWOT Pasar</w:t>
      </w:r>
      <w:r>
        <w:rPr>
          <w:spacing w:val="59"/>
        </w:rPr>
        <w:t> </w:t>
      </w:r>
      <w:r>
        <w:rPr/>
        <w:t>Modal</w:t>
      </w:r>
      <w:r>
        <w:rPr>
          <w:spacing w:val="66"/>
        </w:rPr>
        <w:t> </w:t>
      </w:r>
      <w:r>
        <w:rPr/>
        <w:t>Syariah</w:t>
      </w:r>
      <w:r>
        <w:rPr>
          <w:spacing w:val="64"/>
        </w:rPr>
        <w:t> </w:t>
      </w:r>
      <w:r>
        <w:rPr/>
        <w:t>Sebagai</w:t>
      </w:r>
      <w:r>
        <w:rPr>
          <w:spacing w:val="64"/>
        </w:rPr>
        <w:t> </w:t>
      </w:r>
      <w:r>
        <w:rPr/>
        <w:t>Sumber</w:t>
      </w:r>
      <w:r>
        <w:rPr>
          <w:spacing w:val="61"/>
        </w:rPr>
        <w:t> </w:t>
      </w:r>
      <w:r>
        <w:rPr/>
        <w:t>Pembiayaan</w:t>
      </w:r>
      <w:r>
        <w:rPr>
          <w:spacing w:val="63"/>
        </w:rPr>
        <w:t> </w:t>
      </w:r>
      <w:r>
        <w:rPr/>
        <w:t>Di</w:t>
      </w:r>
      <w:r>
        <w:rPr>
          <w:spacing w:val="67"/>
        </w:rPr>
        <w:t> </w:t>
      </w:r>
      <w:r>
        <w:rPr/>
        <w:t>Indonesia’,</w:t>
      </w:r>
      <w:r>
        <w:rPr>
          <w:spacing w:val="67"/>
        </w:rPr>
        <w:t> </w:t>
      </w:r>
      <w:r>
        <w:rPr>
          <w:i/>
        </w:rPr>
        <w:t>El-Jizya</w:t>
      </w:r>
      <w:r>
        <w:rPr>
          <w:i/>
          <w:spacing w:val="-13"/>
        </w:rPr>
        <w:t> </w:t>
      </w:r>
      <w:r>
        <w:rPr>
          <w:i/>
        </w:rPr>
        <w:t>:</w:t>
      </w:r>
      <w:r>
        <w:rPr>
          <w:i/>
          <w:spacing w:val="65"/>
        </w:rPr>
        <w:t> </w:t>
      </w:r>
      <w:r>
        <w:rPr>
          <w:i/>
          <w:spacing w:val="-2"/>
        </w:rPr>
        <w:t>Jurnal</w:t>
      </w:r>
    </w:p>
    <w:p>
      <w:pPr>
        <w:pStyle w:val="BodyText"/>
        <w:spacing w:after="0"/>
        <w:jc w:val="both"/>
        <w:rPr>
          <w:i/>
        </w:rPr>
        <w:sectPr>
          <w:pgSz w:w="11910" w:h="16840"/>
          <w:pgMar w:header="0" w:footer="1000" w:top="1360" w:bottom="1200" w:left="1417" w:right="1275"/>
        </w:sectPr>
      </w:pPr>
    </w:p>
    <w:p>
      <w:pPr>
        <w:pStyle w:val="BodyText"/>
        <w:spacing w:before="60"/>
        <w:ind w:left="503"/>
      </w:pPr>
      <w:r>
        <w:rPr>
          <w:i/>
        </w:rPr>
        <w:t>Ekonomi</w:t>
      </w:r>
      <w:r>
        <w:rPr>
          <w:i/>
          <w:spacing w:val="-2"/>
        </w:rPr>
        <w:t> </w:t>
      </w:r>
      <w:r>
        <w:rPr>
          <w:i/>
        </w:rPr>
        <w:t>Islam</w:t>
      </w:r>
      <w:r>
        <w:rPr/>
        <w:t>,</w:t>
      </w:r>
      <w:r>
        <w:rPr>
          <w:spacing w:val="-1"/>
        </w:rPr>
        <w:t> </w:t>
      </w:r>
      <w:r>
        <w:rPr/>
        <w:t>8</w:t>
      </w:r>
      <w:r>
        <w:rPr>
          <w:spacing w:val="-2"/>
        </w:rPr>
        <w:t> </w:t>
      </w:r>
      <w:r>
        <w:rPr/>
        <w:t>(2020), 210–27</w:t>
      </w:r>
      <w:r>
        <w:rPr>
          <w:spacing w:val="-1"/>
        </w:rPr>
        <w:t> </w:t>
      </w:r>
      <w:r>
        <w:rPr>
          <w:spacing w:val="-2"/>
        </w:rPr>
        <w:t>&lt;https://doi.org/10.24090/ej.v8i2.3957&gt;</w:t>
      </w:r>
    </w:p>
    <w:p>
      <w:pPr>
        <w:spacing w:before="162"/>
        <w:ind w:left="503" w:right="164" w:hanging="480"/>
        <w:jc w:val="both"/>
        <w:rPr>
          <w:sz w:val="24"/>
        </w:rPr>
      </w:pPr>
      <w:r>
        <w:rPr>
          <w:sz w:val="24"/>
        </w:rPr>
        <w:t>Berutu, Ali Geno, </w:t>
      </w:r>
      <w:r>
        <w:rPr>
          <w:i/>
          <w:sz w:val="24"/>
        </w:rPr>
        <w:t>Pasar Modal Syariah Di Indonesia (Konsep Dan Produknya </w:t>
      </w:r>
      <w:r>
        <w:rPr>
          <w:sz w:val="24"/>
        </w:rPr>
        <w:t>(Salatiga: Lembaga Penelitian dan Pengabdian kepada Masyarakat (LP2M) IAIN Salatiga, 2020)</w:t>
      </w:r>
    </w:p>
    <w:p>
      <w:pPr>
        <w:spacing w:before="158"/>
        <w:ind w:left="23" w:right="0" w:firstLine="0"/>
        <w:jc w:val="left"/>
        <w:rPr>
          <w:sz w:val="24"/>
        </w:rPr>
      </w:pPr>
      <w:r>
        <w:rPr>
          <w:sz w:val="24"/>
        </w:rPr>
        <w:t>Boediono,</w:t>
      </w:r>
      <w:r>
        <w:rPr>
          <w:spacing w:val="-2"/>
          <w:sz w:val="24"/>
        </w:rPr>
        <w:t> </w:t>
      </w:r>
      <w:r>
        <w:rPr>
          <w:i/>
          <w:sz w:val="24"/>
        </w:rPr>
        <w:t>Ekonomi</w:t>
      </w:r>
      <w:r>
        <w:rPr>
          <w:i/>
          <w:spacing w:val="-2"/>
          <w:sz w:val="24"/>
        </w:rPr>
        <w:t> </w:t>
      </w:r>
      <w:r>
        <w:rPr>
          <w:i/>
          <w:sz w:val="24"/>
        </w:rPr>
        <w:t>Makro</w:t>
      </w:r>
      <w:r>
        <w:rPr>
          <w:i/>
          <w:spacing w:val="-2"/>
          <w:sz w:val="24"/>
        </w:rPr>
        <w:t> </w:t>
      </w:r>
      <w:r>
        <w:rPr>
          <w:sz w:val="24"/>
        </w:rPr>
        <w:t>(Yogyakarta:</w:t>
      </w:r>
      <w:r>
        <w:rPr>
          <w:spacing w:val="-2"/>
          <w:sz w:val="24"/>
        </w:rPr>
        <w:t> </w:t>
      </w:r>
      <w:r>
        <w:rPr>
          <w:sz w:val="24"/>
        </w:rPr>
        <w:t>BPFE,</w:t>
      </w:r>
      <w:r>
        <w:rPr>
          <w:spacing w:val="-2"/>
          <w:sz w:val="24"/>
        </w:rPr>
        <w:t> 2014)</w:t>
      </w:r>
    </w:p>
    <w:p>
      <w:pPr>
        <w:spacing w:before="161"/>
        <w:ind w:left="23" w:right="0" w:firstLine="0"/>
        <w:jc w:val="left"/>
        <w:rPr>
          <w:i/>
          <w:sz w:val="24"/>
        </w:rPr>
      </w:pPr>
      <w:r>
        <w:rPr>
          <w:sz w:val="24"/>
        </w:rPr>
        <w:t>Bonang,</w:t>
      </w:r>
      <w:r>
        <w:rPr>
          <w:spacing w:val="39"/>
          <w:sz w:val="24"/>
        </w:rPr>
        <w:t> </w:t>
      </w:r>
      <w:r>
        <w:rPr>
          <w:sz w:val="24"/>
        </w:rPr>
        <w:t>Dahlia,</w:t>
      </w:r>
      <w:r>
        <w:rPr>
          <w:spacing w:val="39"/>
          <w:sz w:val="24"/>
        </w:rPr>
        <w:t> </w:t>
      </w:r>
      <w:r>
        <w:rPr>
          <w:sz w:val="24"/>
        </w:rPr>
        <w:t>and</w:t>
      </w:r>
      <w:r>
        <w:rPr>
          <w:spacing w:val="40"/>
          <w:sz w:val="24"/>
        </w:rPr>
        <w:t> </w:t>
      </w:r>
      <w:r>
        <w:rPr>
          <w:sz w:val="24"/>
        </w:rPr>
        <w:t>Abdul</w:t>
      </w:r>
      <w:r>
        <w:rPr>
          <w:spacing w:val="40"/>
          <w:sz w:val="24"/>
        </w:rPr>
        <w:t> </w:t>
      </w:r>
      <w:r>
        <w:rPr>
          <w:sz w:val="24"/>
        </w:rPr>
        <w:t>Hadi</w:t>
      </w:r>
      <w:r>
        <w:rPr>
          <w:spacing w:val="41"/>
          <w:sz w:val="24"/>
        </w:rPr>
        <w:t> </w:t>
      </w:r>
      <w:r>
        <w:rPr>
          <w:sz w:val="24"/>
        </w:rPr>
        <w:t>Sukmana,</w:t>
      </w:r>
      <w:r>
        <w:rPr>
          <w:spacing w:val="42"/>
          <w:sz w:val="24"/>
        </w:rPr>
        <w:t> </w:t>
      </w:r>
      <w:r>
        <w:rPr>
          <w:i/>
          <w:sz w:val="24"/>
        </w:rPr>
        <w:t>Manajemen</w:t>
      </w:r>
      <w:r>
        <w:rPr>
          <w:i/>
          <w:spacing w:val="39"/>
          <w:sz w:val="24"/>
        </w:rPr>
        <w:t> </w:t>
      </w:r>
      <w:r>
        <w:rPr>
          <w:i/>
          <w:sz w:val="24"/>
        </w:rPr>
        <w:t>Keuangan</w:t>
      </w:r>
      <w:r>
        <w:rPr>
          <w:i/>
          <w:spacing w:val="40"/>
          <w:sz w:val="24"/>
        </w:rPr>
        <w:t> </w:t>
      </w:r>
      <w:r>
        <w:rPr>
          <w:i/>
          <w:sz w:val="24"/>
        </w:rPr>
        <w:t>Dan</w:t>
      </w:r>
      <w:r>
        <w:rPr>
          <w:i/>
          <w:spacing w:val="39"/>
          <w:sz w:val="24"/>
        </w:rPr>
        <w:t> </w:t>
      </w:r>
      <w:r>
        <w:rPr>
          <w:i/>
          <w:sz w:val="24"/>
        </w:rPr>
        <w:t>Investasi</w:t>
      </w:r>
      <w:r>
        <w:rPr>
          <w:i/>
          <w:spacing w:val="41"/>
          <w:sz w:val="24"/>
        </w:rPr>
        <w:t> </w:t>
      </w:r>
      <w:r>
        <w:rPr>
          <w:i/>
          <w:spacing w:val="-2"/>
          <w:sz w:val="24"/>
        </w:rPr>
        <w:t>Syariah</w:t>
      </w:r>
    </w:p>
    <w:p>
      <w:pPr>
        <w:pStyle w:val="BodyText"/>
        <w:ind w:left="503"/>
      </w:pPr>
      <w:r>
        <w:rPr/>
        <w:t>(Mataram:</w:t>
      </w:r>
      <w:r>
        <w:rPr>
          <w:spacing w:val="-4"/>
        </w:rPr>
        <w:t> </w:t>
      </w:r>
      <w:r>
        <w:rPr/>
        <w:t>Sanabil,</w:t>
      </w:r>
      <w:r>
        <w:rPr>
          <w:spacing w:val="-3"/>
        </w:rPr>
        <w:t> </w:t>
      </w:r>
      <w:r>
        <w:rPr>
          <w:spacing w:val="-4"/>
        </w:rPr>
        <w:t>2020)</w:t>
      </w:r>
    </w:p>
    <w:p>
      <w:pPr>
        <w:spacing w:before="161"/>
        <w:ind w:left="503" w:right="162" w:hanging="480"/>
        <w:jc w:val="both"/>
        <w:rPr>
          <w:sz w:val="24"/>
        </w:rPr>
      </w:pPr>
      <w:r>
        <w:rPr>
          <w:sz w:val="24"/>
        </w:rPr>
        <w:t>Chaidir, Muhammad, Ichsan Iqbal, and Sy. Abdur Razak, ‘Etika Investasi Syariah’, </w:t>
      </w:r>
      <w:r>
        <w:rPr>
          <w:i/>
          <w:sz w:val="24"/>
        </w:rPr>
        <w:t>Qus- Qazah: Jounal of Islamic Economics</w:t>
      </w:r>
      <w:r>
        <w:rPr>
          <w:sz w:val="24"/>
        </w:rPr>
        <w:t>, 1 (2019), 3–15</w:t>
      </w:r>
    </w:p>
    <w:p>
      <w:pPr>
        <w:spacing w:before="158"/>
        <w:ind w:left="503" w:right="163" w:hanging="480"/>
        <w:jc w:val="both"/>
        <w:rPr>
          <w:sz w:val="24"/>
        </w:rPr>
      </w:pPr>
      <w:r>
        <w:rPr>
          <w:sz w:val="24"/>
        </w:rPr>
        <w:t>Chen,</w:t>
      </w:r>
      <w:r>
        <w:rPr>
          <w:spacing w:val="-11"/>
          <w:sz w:val="24"/>
        </w:rPr>
        <w:t> </w:t>
      </w:r>
      <w:r>
        <w:rPr>
          <w:sz w:val="24"/>
        </w:rPr>
        <w:t>Ming-Hsiang,</w:t>
      </w:r>
      <w:r>
        <w:rPr>
          <w:spacing w:val="-11"/>
          <w:sz w:val="24"/>
        </w:rPr>
        <w:t> </w:t>
      </w:r>
      <w:r>
        <w:rPr>
          <w:sz w:val="24"/>
        </w:rPr>
        <w:t>‘Understanding</w:t>
      </w:r>
      <w:r>
        <w:rPr>
          <w:spacing w:val="-10"/>
          <w:sz w:val="24"/>
        </w:rPr>
        <w:t> </w:t>
      </w:r>
      <w:r>
        <w:rPr>
          <w:sz w:val="24"/>
        </w:rPr>
        <w:t>the</w:t>
      </w:r>
      <w:r>
        <w:rPr>
          <w:spacing w:val="-9"/>
          <w:sz w:val="24"/>
        </w:rPr>
        <w:t> </w:t>
      </w:r>
      <w:r>
        <w:rPr>
          <w:sz w:val="24"/>
        </w:rPr>
        <w:t>Impact</w:t>
      </w:r>
      <w:r>
        <w:rPr>
          <w:spacing w:val="-10"/>
          <w:sz w:val="24"/>
        </w:rPr>
        <w:t> </w:t>
      </w:r>
      <w:r>
        <w:rPr>
          <w:sz w:val="24"/>
        </w:rPr>
        <w:t>of</w:t>
      </w:r>
      <w:r>
        <w:rPr>
          <w:spacing w:val="-9"/>
          <w:sz w:val="24"/>
        </w:rPr>
        <w:t> </w:t>
      </w:r>
      <w:r>
        <w:rPr>
          <w:sz w:val="24"/>
        </w:rPr>
        <w:t>Changes</w:t>
      </w:r>
      <w:r>
        <w:rPr>
          <w:spacing w:val="-10"/>
          <w:sz w:val="24"/>
        </w:rPr>
        <w:t> </w:t>
      </w:r>
      <w:r>
        <w:rPr>
          <w:sz w:val="24"/>
        </w:rPr>
        <w:t>in</w:t>
      </w:r>
      <w:r>
        <w:rPr>
          <w:spacing w:val="-10"/>
          <w:sz w:val="24"/>
        </w:rPr>
        <w:t> </w:t>
      </w:r>
      <w:r>
        <w:rPr>
          <w:sz w:val="24"/>
        </w:rPr>
        <w:t>Consumer</w:t>
      </w:r>
      <w:r>
        <w:rPr>
          <w:spacing w:val="-11"/>
          <w:sz w:val="24"/>
        </w:rPr>
        <w:t> </w:t>
      </w:r>
      <w:r>
        <w:rPr>
          <w:sz w:val="24"/>
        </w:rPr>
        <w:t>Confidence</w:t>
      </w:r>
      <w:r>
        <w:rPr>
          <w:spacing w:val="-9"/>
          <w:sz w:val="24"/>
        </w:rPr>
        <w:t> </w:t>
      </w:r>
      <w:r>
        <w:rPr>
          <w:sz w:val="24"/>
        </w:rPr>
        <w:t>on</w:t>
      </w:r>
      <w:r>
        <w:rPr>
          <w:spacing w:val="-11"/>
          <w:sz w:val="24"/>
        </w:rPr>
        <w:t> </w:t>
      </w:r>
      <w:r>
        <w:rPr>
          <w:sz w:val="24"/>
        </w:rPr>
        <w:t>Hotel Stock Performance in Taiwan’, </w:t>
      </w:r>
      <w:r>
        <w:rPr>
          <w:i/>
          <w:sz w:val="24"/>
        </w:rPr>
        <w:t>International Journal of Hospitality Management</w:t>
      </w:r>
      <w:r>
        <w:rPr>
          <w:sz w:val="24"/>
        </w:rPr>
        <w:t>, 50 (2015), 55–65 &lt;https://doi.org/10.1016/j.ijhm.2015.07.010&gt;</w:t>
      </w:r>
    </w:p>
    <w:p>
      <w:pPr>
        <w:pStyle w:val="BodyText"/>
        <w:spacing w:before="162"/>
        <w:ind w:left="503" w:right="163" w:hanging="480"/>
        <w:jc w:val="both"/>
      </w:pPr>
      <w:r>
        <w:rPr/>
        <w:t>Connelly, Brian L., S. Trevis Certo, Christopher R. Reutzel, Mark R. DesJardine, and Yi Shi Zhou,</w:t>
      </w:r>
      <w:r>
        <w:rPr>
          <w:spacing w:val="-9"/>
        </w:rPr>
        <w:t> </w:t>
      </w:r>
      <w:r>
        <w:rPr/>
        <w:t>‘Signaling</w:t>
      </w:r>
      <w:r>
        <w:rPr>
          <w:spacing w:val="-8"/>
        </w:rPr>
        <w:t> </w:t>
      </w:r>
      <w:r>
        <w:rPr/>
        <w:t>Theory:</w:t>
      </w:r>
      <w:r>
        <w:rPr>
          <w:spacing w:val="-8"/>
        </w:rPr>
        <w:t> </w:t>
      </w:r>
      <w:r>
        <w:rPr/>
        <w:t>State</w:t>
      </w:r>
      <w:r>
        <w:rPr>
          <w:spacing w:val="-9"/>
        </w:rPr>
        <w:t> </w:t>
      </w:r>
      <w:r>
        <w:rPr/>
        <w:t>of</w:t>
      </w:r>
      <w:r>
        <w:rPr>
          <w:spacing w:val="-9"/>
        </w:rPr>
        <w:t> </w:t>
      </w:r>
      <w:r>
        <w:rPr/>
        <w:t>the</w:t>
      </w:r>
      <w:r>
        <w:rPr>
          <w:spacing w:val="-9"/>
        </w:rPr>
        <w:t> </w:t>
      </w:r>
      <w:r>
        <w:rPr/>
        <w:t>Theory</w:t>
      </w:r>
      <w:r>
        <w:rPr>
          <w:spacing w:val="-9"/>
        </w:rPr>
        <w:t> </w:t>
      </w:r>
      <w:r>
        <w:rPr/>
        <w:t>and</w:t>
      </w:r>
      <w:r>
        <w:rPr>
          <w:spacing w:val="-6"/>
        </w:rPr>
        <w:t> </w:t>
      </w:r>
      <w:r>
        <w:rPr/>
        <w:t>Its</w:t>
      </w:r>
      <w:r>
        <w:rPr>
          <w:spacing w:val="-8"/>
        </w:rPr>
        <w:t> </w:t>
      </w:r>
      <w:r>
        <w:rPr/>
        <w:t>Future’,</w:t>
      </w:r>
      <w:r>
        <w:rPr>
          <w:spacing w:val="-8"/>
        </w:rPr>
        <w:t> </w:t>
      </w:r>
      <w:r>
        <w:rPr>
          <w:i/>
        </w:rPr>
        <w:t>Journal</w:t>
      </w:r>
      <w:r>
        <w:rPr>
          <w:i/>
          <w:spacing w:val="-8"/>
        </w:rPr>
        <w:t> </w:t>
      </w:r>
      <w:r>
        <w:rPr>
          <w:i/>
        </w:rPr>
        <w:t>of</w:t>
      </w:r>
      <w:r>
        <w:rPr>
          <w:i/>
          <w:spacing w:val="-8"/>
        </w:rPr>
        <w:t> </w:t>
      </w:r>
      <w:r>
        <w:rPr>
          <w:i/>
        </w:rPr>
        <w:t>Management</w:t>
      </w:r>
      <w:r>
        <w:rPr/>
        <w:t>,</w:t>
      </w:r>
      <w:r>
        <w:rPr>
          <w:spacing w:val="-8"/>
        </w:rPr>
        <w:t> </w:t>
      </w:r>
      <w:r>
        <w:rPr/>
        <w:t>51 (2025), 24–61 &lt;https://doi.org/10.1177/01492063241268459&gt;</w:t>
      </w:r>
    </w:p>
    <w:p>
      <w:pPr>
        <w:pStyle w:val="BodyText"/>
        <w:spacing w:before="161"/>
        <w:ind w:left="503" w:right="163" w:hanging="480"/>
        <w:jc w:val="both"/>
      </w:pPr>
      <w:r>
        <w:rPr/>
        <w:t>Corredor,</w:t>
      </w:r>
      <w:r>
        <w:rPr>
          <w:spacing w:val="-15"/>
        </w:rPr>
        <w:t> </w:t>
      </w:r>
      <w:r>
        <w:rPr/>
        <w:t>P.,</w:t>
      </w:r>
      <w:r>
        <w:rPr>
          <w:spacing w:val="-15"/>
        </w:rPr>
        <w:t> </w:t>
      </w:r>
      <w:r>
        <w:rPr/>
        <w:t>E.</w:t>
      </w:r>
      <w:r>
        <w:rPr>
          <w:spacing w:val="-13"/>
        </w:rPr>
        <w:t> </w:t>
      </w:r>
      <w:r>
        <w:rPr/>
        <w:t>Ferrer,</w:t>
      </w:r>
      <w:r>
        <w:rPr>
          <w:spacing w:val="-14"/>
        </w:rPr>
        <w:t> </w:t>
      </w:r>
      <w:r>
        <w:rPr/>
        <w:t>and</w:t>
      </w:r>
      <w:r>
        <w:rPr>
          <w:spacing w:val="-15"/>
        </w:rPr>
        <w:t> </w:t>
      </w:r>
      <w:r>
        <w:rPr/>
        <w:t>R.</w:t>
      </w:r>
      <w:r>
        <w:rPr>
          <w:spacing w:val="-15"/>
        </w:rPr>
        <w:t> </w:t>
      </w:r>
      <w:r>
        <w:rPr/>
        <w:t>Santamaria,</w:t>
      </w:r>
      <w:r>
        <w:rPr>
          <w:spacing w:val="-15"/>
        </w:rPr>
        <w:t> </w:t>
      </w:r>
      <w:r>
        <w:rPr/>
        <w:t>‘The</w:t>
      </w:r>
      <w:r>
        <w:rPr>
          <w:spacing w:val="-14"/>
        </w:rPr>
        <w:t> </w:t>
      </w:r>
      <w:r>
        <w:rPr/>
        <w:t>Impact</w:t>
      </w:r>
      <w:r>
        <w:rPr>
          <w:spacing w:val="-15"/>
        </w:rPr>
        <w:t> </w:t>
      </w:r>
      <w:r>
        <w:rPr/>
        <w:t>of</w:t>
      </w:r>
      <w:r>
        <w:rPr>
          <w:spacing w:val="-14"/>
        </w:rPr>
        <w:t> </w:t>
      </w:r>
      <w:r>
        <w:rPr/>
        <w:t>Investor</w:t>
      </w:r>
      <w:r>
        <w:rPr>
          <w:spacing w:val="-15"/>
        </w:rPr>
        <w:t> </w:t>
      </w:r>
      <w:r>
        <w:rPr/>
        <w:t>Sentiment</w:t>
      </w:r>
      <w:r>
        <w:rPr>
          <w:spacing w:val="-15"/>
        </w:rPr>
        <w:t> </w:t>
      </w:r>
      <w:r>
        <w:rPr/>
        <w:t>on</w:t>
      </w:r>
      <w:r>
        <w:rPr>
          <w:spacing w:val="-15"/>
        </w:rPr>
        <w:t> </w:t>
      </w:r>
      <w:r>
        <w:rPr/>
        <w:t>Stock</w:t>
      </w:r>
      <w:r>
        <w:rPr>
          <w:spacing w:val="-15"/>
        </w:rPr>
        <w:t> </w:t>
      </w:r>
      <w:r>
        <w:rPr/>
        <w:t>Returns in Emerging Markets: The Case of Central European Markets’, </w:t>
      </w:r>
      <w:r>
        <w:rPr>
          <w:i/>
        </w:rPr>
        <w:t>Eastern European Economics</w:t>
      </w:r>
      <w:r>
        <w:rPr/>
        <w:t>, 53 (2015), 328–55 &lt;https://doi.org/10.1080/00128775.2015.1079139&gt;</w:t>
      </w:r>
    </w:p>
    <w:p>
      <w:pPr>
        <w:pStyle w:val="BodyText"/>
        <w:spacing w:before="158"/>
        <w:ind w:left="503" w:right="160" w:hanging="480"/>
        <w:jc w:val="both"/>
      </w:pPr>
      <w:r>
        <w:rPr/>
        <w:t>Dwijayanti, Ni Made Ayu, ‘Pengaruh Nilai Tukar Dan Inflasi Terhadap Harga Saham Perbankan</w:t>
      </w:r>
      <w:r>
        <w:rPr>
          <w:spacing w:val="-7"/>
        </w:rPr>
        <w:t> </w:t>
      </w:r>
      <w:r>
        <w:rPr/>
        <w:t>Pada</w:t>
      </w:r>
      <w:r>
        <w:rPr>
          <w:spacing w:val="-8"/>
        </w:rPr>
        <w:t> </w:t>
      </w:r>
      <w:r>
        <w:rPr/>
        <w:t>Masa</w:t>
      </w:r>
      <w:r>
        <w:rPr>
          <w:spacing w:val="-8"/>
        </w:rPr>
        <w:t> </w:t>
      </w:r>
      <w:r>
        <w:rPr/>
        <w:t>Pandemi</w:t>
      </w:r>
      <w:r>
        <w:rPr>
          <w:spacing w:val="-6"/>
        </w:rPr>
        <w:t> </w:t>
      </w:r>
      <w:r>
        <w:rPr/>
        <w:t>COVID-19’,</w:t>
      </w:r>
      <w:r>
        <w:rPr>
          <w:spacing w:val="-8"/>
        </w:rPr>
        <w:t> </w:t>
      </w:r>
      <w:r>
        <w:rPr>
          <w:i/>
        </w:rPr>
        <w:t>Jurnal</w:t>
      </w:r>
      <w:r>
        <w:rPr>
          <w:i/>
          <w:spacing w:val="-6"/>
        </w:rPr>
        <w:t> </w:t>
      </w:r>
      <w:r>
        <w:rPr>
          <w:i/>
        </w:rPr>
        <w:t>Bisnis</w:t>
      </w:r>
      <w:r>
        <w:rPr>
          <w:i/>
          <w:spacing w:val="-9"/>
        </w:rPr>
        <w:t> </w:t>
      </w:r>
      <w:r>
        <w:rPr>
          <w:i/>
        </w:rPr>
        <w:t>&amp;</w:t>
      </w:r>
      <w:r>
        <w:rPr>
          <w:i/>
          <w:spacing w:val="-6"/>
        </w:rPr>
        <w:t> </w:t>
      </w:r>
      <w:r>
        <w:rPr>
          <w:i/>
        </w:rPr>
        <w:t>Kewirausahaan</w:t>
      </w:r>
      <w:r>
        <w:rPr/>
        <w:t>,</w:t>
      </w:r>
      <w:r>
        <w:rPr>
          <w:spacing w:val="-7"/>
        </w:rPr>
        <w:t> </w:t>
      </w:r>
      <w:r>
        <w:rPr/>
        <w:t>17</w:t>
      </w:r>
      <w:r>
        <w:rPr>
          <w:spacing w:val="-7"/>
        </w:rPr>
        <w:t> </w:t>
      </w:r>
      <w:r>
        <w:rPr/>
        <w:t>(2021), 86–93 &lt;</w:t>
      </w:r>
      <w:hyperlink r:id="rId14">
        <w:r>
          <w:rPr/>
          <w:t>http://ojs.pnb.ac.id/index.php/JBK&gt;</w:t>
        </w:r>
      </w:hyperlink>
    </w:p>
    <w:p>
      <w:pPr>
        <w:spacing w:before="161"/>
        <w:ind w:left="503" w:right="161" w:hanging="480"/>
        <w:jc w:val="both"/>
        <w:rPr>
          <w:sz w:val="24"/>
        </w:rPr>
      </w:pPr>
      <w:r>
        <w:rPr>
          <w:sz w:val="24"/>
        </w:rPr>
        <w:t>Elvina Hartayu, and R.A. Sista Paramita, ‘Pengaruh Indikator Makroekonomi, Harga</w:t>
      </w:r>
      <w:r>
        <w:rPr>
          <w:spacing w:val="-1"/>
          <w:sz w:val="24"/>
        </w:rPr>
        <w:t> </w:t>
      </w:r>
      <w:r>
        <w:rPr>
          <w:sz w:val="24"/>
        </w:rPr>
        <w:t>Minyak Dunia</w:t>
      </w:r>
      <w:r>
        <w:rPr>
          <w:spacing w:val="-5"/>
          <w:sz w:val="24"/>
        </w:rPr>
        <w:t> </w:t>
      </w:r>
      <w:r>
        <w:rPr>
          <w:sz w:val="24"/>
        </w:rPr>
        <w:t>Dan</w:t>
      </w:r>
      <w:r>
        <w:rPr>
          <w:spacing w:val="-2"/>
          <w:sz w:val="24"/>
        </w:rPr>
        <w:t> </w:t>
      </w:r>
      <w:r>
        <w:rPr>
          <w:sz w:val="24"/>
        </w:rPr>
        <w:t>Indeks</w:t>
      </w:r>
      <w:r>
        <w:rPr>
          <w:spacing w:val="-5"/>
          <w:sz w:val="24"/>
        </w:rPr>
        <w:t> </w:t>
      </w:r>
      <w:r>
        <w:rPr>
          <w:sz w:val="24"/>
        </w:rPr>
        <w:t>Bursa</w:t>
      </w:r>
      <w:r>
        <w:rPr>
          <w:spacing w:val="-4"/>
          <w:sz w:val="24"/>
        </w:rPr>
        <w:t> </w:t>
      </w:r>
      <w:r>
        <w:rPr>
          <w:sz w:val="24"/>
        </w:rPr>
        <w:t>Asia</w:t>
      </w:r>
      <w:r>
        <w:rPr>
          <w:spacing w:val="-5"/>
          <w:sz w:val="24"/>
        </w:rPr>
        <w:t> </w:t>
      </w:r>
      <w:r>
        <w:rPr>
          <w:sz w:val="24"/>
        </w:rPr>
        <w:t>Terhadap</w:t>
      </w:r>
      <w:r>
        <w:rPr>
          <w:spacing w:val="-2"/>
          <w:sz w:val="24"/>
        </w:rPr>
        <w:t> </w:t>
      </w:r>
      <w:r>
        <w:rPr>
          <w:sz w:val="24"/>
        </w:rPr>
        <w:t>IHSG</w:t>
      </w:r>
      <w:r>
        <w:rPr>
          <w:spacing w:val="-5"/>
          <w:sz w:val="24"/>
        </w:rPr>
        <w:t> </w:t>
      </w:r>
      <w:r>
        <w:rPr>
          <w:sz w:val="24"/>
        </w:rPr>
        <w:t>Periode</w:t>
      </w:r>
      <w:r>
        <w:rPr>
          <w:spacing w:val="-4"/>
          <w:sz w:val="24"/>
        </w:rPr>
        <w:t> </w:t>
      </w:r>
      <w:r>
        <w:rPr>
          <w:sz w:val="24"/>
        </w:rPr>
        <w:t>2015-2019’,</w:t>
      </w:r>
      <w:r>
        <w:rPr>
          <w:spacing w:val="-4"/>
          <w:sz w:val="24"/>
        </w:rPr>
        <w:t> </w:t>
      </w:r>
      <w:r>
        <w:rPr>
          <w:i/>
          <w:sz w:val="24"/>
        </w:rPr>
        <w:t>SINOMIKA</w:t>
      </w:r>
      <w:r>
        <w:rPr>
          <w:i/>
          <w:spacing w:val="-4"/>
          <w:sz w:val="24"/>
        </w:rPr>
        <w:t> </w:t>
      </w:r>
      <w:r>
        <w:rPr>
          <w:i/>
          <w:sz w:val="24"/>
        </w:rPr>
        <w:t>Journal: Publikasi</w:t>
      </w:r>
      <w:r>
        <w:rPr>
          <w:i/>
          <w:spacing w:val="57"/>
          <w:w w:val="150"/>
          <w:sz w:val="24"/>
        </w:rPr>
        <w:t>  </w:t>
      </w:r>
      <w:r>
        <w:rPr>
          <w:i/>
          <w:sz w:val="24"/>
        </w:rPr>
        <w:t>Ilmiah</w:t>
      </w:r>
      <w:r>
        <w:rPr>
          <w:i/>
          <w:spacing w:val="58"/>
          <w:w w:val="150"/>
          <w:sz w:val="24"/>
        </w:rPr>
        <w:t>  </w:t>
      </w:r>
      <w:r>
        <w:rPr>
          <w:i/>
          <w:sz w:val="24"/>
        </w:rPr>
        <w:t>Bidang</w:t>
      </w:r>
      <w:r>
        <w:rPr>
          <w:i/>
          <w:spacing w:val="57"/>
          <w:w w:val="150"/>
          <w:sz w:val="24"/>
        </w:rPr>
        <w:t>  </w:t>
      </w:r>
      <w:r>
        <w:rPr>
          <w:i/>
          <w:sz w:val="24"/>
        </w:rPr>
        <w:t>Ekonomi</w:t>
      </w:r>
      <w:r>
        <w:rPr>
          <w:i/>
          <w:spacing w:val="58"/>
          <w:w w:val="150"/>
          <w:sz w:val="24"/>
        </w:rPr>
        <w:t>  </w:t>
      </w:r>
      <w:r>
        <w:rPr>
          <w:i/>
          <w:sz w:val="24"/>
        </w:rPr>
        <w:t>Dan</w:t>
      </w:r>
      <w:r>
        <w:rPr>
          <w:i/>
          <w:spacing w:val="57"/>
          <w:w w:val="150"/>
          <w:sz w:val="24"/>
        </w:rPr>
        <w:t>  </w:t>
      </w:r>
      <w:r>
        <w:rPr>
          <w:i/>
          <w:sz w:val="24"/>
        </w:rPr>
        <w:t>Akuntansi</w:t>
      </w:r>
      <w:r>
        <w:rPr>
          <w:sz w:val="24"/>
        </w:rPr>
        <w:t>,</w:t>
      </w:r>
      <w:r>
        <w:rPr>
          <w:spacing w:val="57"/>
          <w:w w:val="150"/>
          <w:sz w:val="24"/>
        </w:rPr>
        <w:t>  </w:t>
      </w:r>
      <w:r>
        <w:rPr>
          <w:sz w:val="24"/>
        </w:rPr>
        <w:t>1</w:t>
      </w:r>
      <w:r>
        <w:rPr>
          <w:spacing w:val="58"/>
          <w:w w:val="150"/>
          <w:sz w:val="24"/>
        </w:rPr>
        <w:t>  </w:t>
      </w:r>
      <w:r>
        <w:rPr>
          <w:sz w:val="24"/>
        </w:rPr>
        <w:t>(2023),</w:t>
      </w:r>
      <w:r>
        <w:rPr>
          <w:spacing w:val="57"/>
          <w:w w:val="150"/>
          <w:sz w:val="24"/>
        </w:rPr>
        <w:t>  </w:t>
      </w:r>
      <w:r>
        <w:rPr>
          <w:spacing w:val="-2"/>
          <w:sz w:val="24"/>
        </w:rPr>
        <w:t>1075–92</w:t>
      </w:r>
    </w:p>
    <w:p>
      <w:pPr>
        <w:pStyle w:val="BodyText"/>
        <w:ind w:left="503"/>
      </w:pPr>
      <w:r>
        <w:rPr>
          <w:spacing w:val="-2"/>
        </w:rPr>
        <w:t>&lt;https://doi.org/10.54443/sinomika.v1i5.547&gt;</w:t>
      </w:r>
    </w:p>
    <w:p>
      <w:pPr>
        <w:pStyle w:val="BodyText"/>
        <w:spacing w:before="159"/>
        <w:ind w:left="503" w:right="160" w:hanging="480"/>
        <w:jc w:val="both"/>
      </w:pPr>
      <w:r>
        <w:rPr/>
        <w:t>Fadhel, Rizki, Fajri Adrianto, and Mohamad Fany Alfarisi, ‘Analisis Sentimen Investor Terhadap</w:t>
      </w:r>
      <w:r>
        <w:rPr>
          <w:spacing w:val="-13"/>
        </w:rPr>
        <w:t> </w:t>
      </w:r>
      <w:r>
        <w:rPr/>
        <w:t>Kinerja</w:t>
      </w:r>
      <w:r>
        <w:rPr>
          <w:spacing w:val="-13"/>
        </w:rPr>
        <w:t> </w:t>
      </w:r>
      <w:r>
        <w:rPr/>
        <w:t>Saham</w:t>
      </w:r>
      <w:r>
        <w:rPr>
          <w:spacing w:val="-10"/>
        </w:rPr>
        <w:t> </w:t>
      </w:r>
      <w:r>
        <w:rPr/>
        <w:t>Syariah</w:t>
      </w:r>
      <w:r>
        <w:rPr>
          <w:spacing w:val="-13"/>
        </w:rPr>
        <w:t> </w:t>
      </w:r>
      <w:r>
        <w:rPr/>
        <w:t>Di</w:t>
      </w:r>
      <w:r>
        <w:rPr>
          <w:spacing w:val="-11"/>
        </w:rPr>
        <w:t> </w:t>
      </w:r>
      <w:r>
        <w:rPr/>
        <w:t>Indonesia</w:t>
      </w:r>
      <w:r>
        <w:rPr>
          <w:spacing w:val="-11"/>
        </w:rPr>
        <w:t> </w:t>
      </w:r>
      <w:r>
        <w:rPr/>
        <w:t>Selama</w:t>
      </w:r>
      <w:r>
        <w:rPr>
          <w:spacing w:val="-13"/>
        </w:rPr>
        <w:t> </w:t>
      </w:r>
      <w:r>
        <w:rPr/>
        <w:t>Masa</w:t>
      </w:r>
      <w:r>
        <w:rPr>
          <w:spacing w:val="-13"/>
        </w:rPr>
        <w:t> </w:t>
      </w:r>
      <w:r>
        <w:rPr/>
        <w:t>Pandemi</w:t>
      </w:r>
      <w:r>
        <w:rPr>
          <w:spacing w:val="-12"/>
        </w:rPr>
        <w:t> </w:t>
      </w:r>
      <w:r>
        <w:rPr/>
        <w:t>Covid-19’,</w:t>
      </w:r>
      <w:r>
        <w:rPr>
          <w:spacing w:val="-13"/>
        </w:rPr>
        <w:t> </w:t>
      </w:r>
      <w:r>
        <w:rPr>
          <w:i/>
        </w:rPr>
        <w:t>Owner: </w:t>
      </w:r>
      <w:r>
        <w:rPr>
          <w:i/>
          <w:spacing w:val="-2"/>
        </w:rPr>
        <w:t>Riset</w:t>
      </w:r>
      <w:r>
        <w:rPr>
          <w:i/>
          <w:spacing w:val="-6"/>
        </w:rPr>
        <w:t> </w:t>
      </w:r>
      <w:r>
        <w:rPr>
          <w:i/>
          <w:spacing w:val="-2"/>
        </w:rPr>
        <w:t>&amp;</w:t>
      </w:r>
      <w:r>
        <w:rPr>
          <w:i/>
          <w:spacing w:val="-4"/>
        </w:rPr>
        <w:t> </w:t>
      </w:r>
      <w:r>
        <w:rPr>
          <w:i/>
          <w:spacing w:val="-2"/>
        </w:rPr>
        <w:t>Jurnsl</w:t>
      </w:r>
      <w:r>
        <w:rPr>
          <w:i/>
          <w:spacing w:val="-5"/>
        </w:rPr>
        <w:t> </w:t>
      </w:r>
      <w:r>
        <w:rPr>
          <w:i/>
          <w:spacing w:val="-2"/>
        </w:rPr>
        <w:t>Akuntansi</w:t>
      </w:r>
      <w:r>
        <w:rPr>
          <w:spacing w:val="-2"/>
        </w:rPr>
        <w:t>,</w:t>
      </w:r>
      <w:r>
        <w:rPr>
          <w:spacing w:val="-8"/>
        </w:rPr>
        <w:t> </w:t>
      </w:r>
      <w:r>
        <w:rPr>
          <w:spacing w:val="-2"/>
        </w:rPr>
        <w:t>6</w:t>
      </w:r>
      <w:r>
        <w:rPr>
          <w:spacing w:val="-5"/>
        </w:rPr>
        <w:t> </w:t>
      </w:r>
      <w:r>
        <w:rPr>
          <w:spacing w:val="-2"/>
        </w:rPr>
        <w:t>(2022),</w:t>
      </w:r>
      <w:r>
        <w:rPr>
          <w:spacing w:val="-7"/>
        </w:rPr>
        <w:t> </w:t>
      </w:r>
      <w:r>
        <w:rPr>
          <w:spacing w:val="-2"/>
        </w:rPr>
        <w:t>3579–91</w:t>
      </w:r>
      <w:r>
        <w:rPr>
          <w:spacing w:val="-5"/>
        </w:rPr>
        <w:t> </w:t>
      </w:r>
      <w:r>
        <w:rPr>
          <w:spacing w:val="-2"/>
        </w:rPr>
        <w:t>&lt;https://doi.org/10.33395/owner.v6i4.1183&gt;</w:t>
      </w:r>
    </w:p>
    <w:p>
      <w:pPr>
        <w:spacing w:before="161"/>
        <w:ind w:left="503" w:right="162" w:hanging="480"/>
        <w:jc w:val="both"/>
        <w:rPr>
          <w:sz w:val="24"/>
        </w:rPr>
      </w:pPr>
      <w:r>
        <w:rPr>
          <w:sz w:val="24"/>
        </w:rPr>
        <w:t>Fathurrahman, Ayif, and Rahma Aprilia Widiastuti, ‘Determinan Indeks Saham Syariah Indonesia (Pendekatan Error Correction Model)’, </w:t>
      </w:r>
      <w:r>
        <w:rPr>
          <w:i/>
          <w:sz w:val="24"/>
        </w:rPr>
        <w:t>Islamic Banking</w:t>
      </w:r>
      <w:r>
        <w:rPr>
          <w:i/>
          <w:spacing w:val="-14"/>
          <w:sz w:val="24"/>
        </w:rPr>
        <w:t> </w:t>
      </w:r>
      <w:r>
        <w:rPr>
          <w:i/>
          <w:sz w:val="24"/>
        </w:rPr>
        <w:t>: Jurnal Pemikiran Dan</w:t>
      </w:r>
      <w:r>
        <w:rPr>
          <w:i/>
          <w:spacing w:val="72"/>
          <w:sz w:val="24"/>
        </w:rPr>
        <w:t>    </w:t>
      </w:r>
      <w:r>
        <w:rPr>
          <w:i/>
          <w:sz w:val="24"/>
        </w:rPr>
        <w:t>Pengembangan</w:t>
      </w:r>
      <w:r>
        <w:rPr>
          <w:i/>
          <w:spacing w:val="75"/>
          <w:sz w:val="24"/>
        </w:rPr>
        <w:t>    </w:t>
      </w:r>
      <w:r>
        <w:rPr>
          <w:i/>
          <w:sz w:val="24"/>
        </w:rPr>
        <w:t>Perbankan</w:t>
      </w:r>
      <w:r>
        <w:rPr>
          <w:i/>
          <w:spacing w:val="75"/>
          <w:sz w:val="24"/>
        </w:rPr>
        <w:t>    </w:t>
      </w:r>
      <w:r>
        <w:rPr>
          <w:i/>
          <w:sz w:val="24"/>
        </w:rPr>
        <w:t>Syariah</w:t>
      </w:r>
      <w:r>
        <w:rPr>
          <w:sz w:val="24"/>
        </w:rPr>
        <w:t>,</w:t>
      </w:r>
      <w:r>
        <w:rPr>
          <w:spacing w:val="74"/>
          <w:sz w:val="24"/>
        </w:rPr>
        <w:t>    </w:t>
      </w:r>
      <w:r>
        <w:rPr>
          <w:sz w:val="24"/>
        </w:rPr>
        <w:t>7</w:t>
      </w:r>
      <w:r>
        <w:rPr>
          <w:spacing w:val="75"/>
          <w:sz w:val="24"/>
        </w:rPr>
        <w:t>    </w:t>
      </w:r>
      <w:r>
        <w:rPr>
          <w:sz w:val="24"/>
        </w:rPr>
        <w:t>(2021),</w:t>
      </w:r>
      <w:r>
        <w:rPr>
          <w:spacing w:val="75"/>
          <w:sz w:val="24"/>
        </w:rPr>
        <w:t>    </w:t>
      </w:r>
      <w:r>
        <w:rPr>
          <w:spacing w:val="-2"/>
          <w:sz w:val="24"/>
        </w:rPr>
        <w:t>179–94</w:t>
      </w:r>
    </w:p>
    <w:p>
      <w:pPr>
        <w:pStyle w:val="BodyText"/>
        <w:ind w:left="503"/>
      </w:pPr>
      <w:r>
        <w:rPr>
          <w:spacing w:val="-2"/>
        </w:rPr>
        <w:t>&lt;https://doi.org/10.36908/isbank.v7i1.309&gt;</w:t>
      </w:r>
    </w:p>
    <w:p>
      <w:pPr>
        <w:pStyle w:val="BodyText"/>
        <w:spacing w:before="161"/>
        <w:ind w:left="503" w:right="166" w:hanging="480"/>
        <w:jc w:val="both"/>
      </w:pPr>
      <w:r>
        <w:rPr/>
        <w:t>Fauzan, M, and Dedi Suhendro, ‘Peran Pasar Modal Syariah Dalam Mendorong Laju Pertumbuhan Ekonomi Di Indonesia’, </w:t>
      </w:r>
      <w:r>
        <w:rPr>
          <w:i/>
        </w:rPr>
        <w:t>Human Falah</w:t>
      </w:r>
      <w:r>
        <w:rPr/>
        <w:t>, 5 (2018), 70–95 &lt;</w:t>
      </w:r>
      <w:hyperlink r:id="rId15">
        <w:r>
          <w:rPr/>
          <w:t>www.ojk.go.id&gt;</w:t>
        </w:r>
      </w:hyperlink>
    </w:p>
    <w:p>
      <w:pPr>
        <w:pStyle w:val="BodyText"/>
        <w:spacing w:before="159"/>
        <w:ind w:left="503" w:right="159" w:hanging="480"/>
        <w:jc w:val="both"/>
      </w:pPr>
      <w:r>
        <w:rPr/>
        <w:t>Fuadi, Agus, Tota Viola Simamora Debataraja, and Taufik Hidayat, ‘Pengaruh Inflasi, Kebijakan Dividen, Dan Total Asset Turnover Terhadap Keputusan Investasi Pada Perusahaan</w:t>
      </w:r>
      <w:r>
        <w:rPr>
          <w:spacing w:val="-7"/>
        </w:rPr>
        <w:t> </w:t>
      </w:r>
      <w:r>
        <w:rPr/>
        <w:t>Manufaktur</w:t>
      </w:r>
      <w:r>
        <w:rPr>
          <w:spacing w:val="-4"/>
        </w:rPr>
        <w:t> </w:t>
      </w:r>
      <w:r>
        <w:rPr/>
        <w:t>Di</w:t>
      </w:r>
      <w:r>
        <w:rPr>
          <w:spacing w:val="-6"/>
        </w:rPr>
        <w:t> </w:t>
      </w:r>
      <w:r>
        <w:rPr/>
        <w:t>Bursa</w:t>
      </w:r>
      <w:r>
        <w:rPr>
          <w:spacing w:val="-8"/>
        </w:rPr>
        <w:t> </w:t>
      </w:r>
      <w:r>
        <w:rPr/>
        <w:t>Efek</w:t>
      </w:r>
      <w:r>
        <w:rPr>
          <w:spacing w:val="-4"/>
        </w:rPr>
        <w:t> </w:t>
      </w:r>
      <w:r>
        <w:rPr/>
        <w:t>Indonesia</w:t>
      </w:r>
      <w:r>
        <w:rPr>
          <w:spacing w:val="-4"/>
        </w:rPr>
        <w:t> </w:t>
      </w:r>
      <w:r>
        <w:rPr/>
        <w:t>Periode</w:t>
      </w:r>
      <w:r>
        <w:rPr>
          <w:spacing w:val="-7"/>
        </w:rPr>
        <w:t> </w:t>
      </w:r>
      <w:r>
        <w:rPr/>
        <w:t>2018</w:t>
      </w:r>
      <w:r>
        <w:rPr>
          <w:spacing w:val="-6"/>
        </w:rPr>
        <w:t> </w:t>
      </w:r>
      <w:r>
        <w:rPr/>
        <w:t>-</w:t>
      </w:r>
      <w:r>
        <w:rPr>
          <w:spacing w:val="-8"/>
        </w:rPr>
        <w:t> </w:t>
      </w:r>
      <w:r>
        <w:rPr/>
        <w:t>2020’,</w:t>
      </w:r>
      <w:r>
        <w:rPr>
          <w:spacing w:val="-4"/>
        </w:rPr>
        <w:t> </w:t>
      </w:r>
      <w:r>
        <w:rPr>
          <w:i/>
        </w:rPr>
        <w:t>Jurnal</w:t>
      </w:r>
      <w:r>
        <w:rPr>
          <w:i/>
          <w:spacing w:val="-6"/>
        </w:rPr>
        <w:t> </w:t>
      </w:r>
      <w:r>
        <w:rPr>
          <w:i/>
        </w:rPr>
        <w:t>Akuntansi Bisnis Pelita Bangsa</w:t>
      </w:r>
      <w:r>
        <w:rPr/>
        <w:t>, 7 (2022), 40–59 &lt;https://doi.org/10.37366/akubis.v7i01.433&gt;</w:t>
      </w:r>
    </w:p>
    <w:p>
      <w:pPr>
        <w:spacing w:before="161"/>
        <w:ind w:left="503" w:right="163" w:hanging="480"/>
        <w:jc w:val="both"/>
        <w:rPr>
          <w:sz w:val="24"/>
        </w:rPr>
      </w:pPr>
      <w:r>
        <w:rPr>
          <w:sz w:val="24"/>
        </w:rPr>
        <w:t>Ghasemi,</w:t>
      </w:r>
      <w:r>
        <w:rPr>
          <w:spacing w:val="-1"/>
          <w:sz w:val="24"/>
        </w:rPr>
        <w:t> </w:t>
      </w:r>
      <w:r>
        <w:rPr>
          <w:sz w:val="24"/>
        </w:rPr>
        <w:t>Asghar,</w:t>
      </w:r>
      <w:r>
        <w:rPr>
          <w:spacing w:val="-2"/>
          <w:sz w:val="24"/>
        </w:rPr>
        <w:t> </w:t>
      </w:r>
      <w:r>
        <w:rPr>
          <w:sz w:val="24"/>
        </w:rPr>
        <w:t>and</w:t>
      </w:r>
      <w:r>
        <w:rPr>
          <w:spacing w:val="-1"/>
          <w:sz w:val="24"/>
        </w:rPr>
        <w:t> </w:t>
      </w:r>
      <w:r>
        <w:rPr>
          <w:sz w:val="24"/>
        </w:rPr>
        <w:t>Saleh</w:t>
      </w:r>
      <w:r>
        <w:rPr>
          <w:spacing w:val="-2"/>
          <w:sz w:val="24"/>
        </w:rPr>
        <w:t> </w:t>
      </w:r>
      <w:r>
        <w:rPr>
          <w:sz w:val="24"/>
        </w:rPr>
        <w:t>Zahediasl,</w:t>
      </w:r>
      <w:r>
        <w:rPr>
          <w:spacing w:val="-1"/>
          <w:sz w:val="24"/>
        </w:rPr>
        <w:t> </w:t>
      </w:r>
      <w:r>
        <w:rPr>
          <w:sz w:val="24"/>
        </w:rPr>
        <w:t>‘Normality</w:t>
      </w:r>
      <w:r>
        <w:rPr>
          <w:spacing w:val="-1"/>
          <w:sz w:val="24"/>
        </w:rPr>
        <w:t> </w:t>
      </w:r>
      <w:r>
        <w:rPr>
          <w:sz w:val="24"/>
        </w:rPr>
        <w:t>Tests</w:t>
      </w:r>
      <w:r>
        <w:rPr>
          <w:spacing w:val="-1"/>
          <w:sz w:val="24"/>
        </w:rPr>
        <w:t> </w:t>
      </w:r>
      <w:r>
        <w:rPr>
          <w:sz w:val="24"/>
        </w:rPr>
        <w:t>for</w:t>
      </w:r>
      <w:r>
        <w:rPr>
          <w:spacing w:val="-3"/>
          <w:sz w:val="24"/>
        </w:rPr>
        <w:t> </w:t>
      </w:r>
      <w:r>
        <w:rPr>
          <w:sz w:val="24"/>
        </w:rPr>
        <w:t>Statistical</w:t>
      </w:r>
      <w:r>
        <w:rPr>
          <w:spacing w:val="-1"/>
          <w:sz w:val="24"/>
        </w:rPr>
        <w:t> </w:t>
      </w:r>
      <w:r>
        <w:rPr>
          <w:sz w:val="24"/>
        </w:rPr>
        <w:t>Analysis:</w:t>
      </w:r>
      <w:r>
        <w:rPr>
          <w:spacing w:val="-1"/>
          <w:sz w:val="24"/>
        </w:rPr>
        <w:t> </w:t>
      </w:r>
      <w:r>
        <w:rPr>
          <w:sz w:val="24"/>
        </w:rPr>
        <w:t>A</w:t>
      </w:r>
      <w:r>
        <w:rPr>
          <w:spacing w:val="-2"/>
          <w:sz w:val="24"/>
        </w:rPr>
        <w:t> </w:t>
      </w:r>
      <w:r>
        <w:rPr>
          <w:sz w:val="24"/>
        </w:rPr>
        <w:t>Guide</w:t>
      </w:r>
      <w:r>
        <w:rPr>
          <w:spacing w:val="-2"/>
          <w:sz w:val="24"/>
        </w:rPr>
        <w:t> </w:t>
      </w:r>
      <w:r>
        <w:rPr>
          <w:sz w:val="24"/>
        </w:rPr>
        <w:t>for Non-Statisticians’, </w:t>
      </w:r>
      <w:r>
        <w:rPr>
          <w:i/>
          <w:sz w:val="24"/>
        </w:rPr>
        <w:t>International Journal of Endocrinology and Metabolism</w:t>
      </w:r>
      <w:r>
        <w:rPr>
          <w:sz w:val="24"/>
        </w:rPr>
        <w:t>, 10 (2012), 486–89 &lt;https://doi.org/10.5812/ijem.3505&gt;</w:t>
      </w:r>
    </w:p>
    <w:p>
      <w:pPr>
        <w:pStyle w:val="BodyText"/>
        <w:spacing w:before="160"/>
        <w:ind w:left="23"/>
      </w:pPr>
      <w:r>
        <w:rPr/>
        <w:t>Ghassani,</w:t>
      </w:r>
      <w:r>
        <w:rPr>
          <w:spacing w:val="10"/>
        </w:rPr>
        <w:t> </w:t>
      </w:r>
      <w:r>
        <w:rPr/>
        <w:t>Rubina</w:t>
      </w:r>
      <w:r>
        <w:rPr>
          <w:spacing w:val="12"/>
        </w:rPr>
        <w:t> </w:t>
      </w:r>
      <w:r>
        <w:rPr/>
        <w:t>Dwi,</w:t>
      </w:r>
      <w:r>
        <w:rPr>
          <w:spacing w:val="15"/>
        </w:rPr>
        <w:t> </w:t>
      </w:r>
      <w:r>
        <w:rPr/>
        <w:t>and</w:t>
      </w:r>
      <w:r>
        <w:rPr>
          <w:spacing w:val="13"/>
        </w:rPr>
        <w:t> </w:t>
      </w:r>
      <w:r>
        <w:rPr/>
        <w:t>Raditya</w:t>
      </w:r>
      <w:r>
        <w:rPr>
          <w:spacing w:val="11"/>
        </w:rPr>
        <w:t> </w:t>
      </w:r>
      <w:r>
        <w:rPr/>
        <w:t>Sukmana,</w:t>
      </w:r>
      <w:r>
        <w:rPr>
          <w:spacing w:val="13"/>
        </w:rPr>
        <w:t> </w:t>
      </w:r>
      <w:r>
        <w:rPr/>
        <w:t>‘Pengaruh</w:t>
      </w:r>
      <w:r>
        <w:rPr>
          <w:spacing w:val="14"/>
        </w:rPr>
        <w:t> </w:t>
      </w:r>
      <w:r>
        <w:rPr/>
        <w:t>Variabel</w:t>
      </w:r>
      <w:r>
        <w:rPr>
          <w:spacing w:val="13"/>
        </w:rPr>
        <w:t> </w:t>
      </w:r>
      <w:r>
        <w:rPr/>
        <w:t>Makroekonomi</w:t>
      </w:r>
      <w:r>
        <w:rPr>
          <w:spacing w:val="13"/>
        </w:rPr>
        <w:t> </w:t>
      </w:r>
      <w:r>
        <w:rPr>
          <w:spacing w:val="-2"/>
        </w:rPr>
        <w:t>Terhadap</w:t>
      </w:r>
    </w:p>
    <w:p>
      <w:pPr>
        <w:pStyle w:val="BodyText"/>
        <w:spacing w:after="0"/>
        <w:sectPr>
          <w:pgSz w:w="11910" w:h="16840"/>
          <w:pgMar w:header="0" w:footer="1000" w:top="1360" w:bottom="1200" w:left="1417" w:right="1275"/>
        </w:sectPr>
      </w:pPr>
    </w:p>
    <w:p>
      <w:pPr>
        <w:spacing w:before="60"/>
        <w:ind w:left="503" w:right="0" w:firstLine="0"/>
        <w:jc w:val="left"/>
        <w:rPr>
          <w:sz w:val="24"/>
        </w:rPr>
      </w:pPr>
      <w:r>
        <w:rPr>
          <w:sz w:val="24"/>
        </w:rPr>
        <w:t>Jakarta</w:t>
      </w:r>
      <w:r>
        <w:rPr>
          <w:spacing w:val="-15"/>
          <w:sz w:val="24"/>
        </w:rPr>
        <w:t> </w:t>
      </w:r>
      <w:r>
        <w:rPr>
          <w:sz w:val="24"/>
        </w:rPr>
        <w:t>Islamic</w:t>
      </w:r>
      <w:r>
        <w:rPr>
          <w:spacing w:val="-15"/>
          <w:sz w:val="24"/>
        </w:rPr>
        <w:t> </w:t>
      </w:r>
      <w:r>
        <w:rPr>
          <w:sz w:val="24"/>
        </w:rPr>
        <w:t>Index</w:t>
      </w:r>
      <w:r>
        <w:rPr>
          <w:spacing w:val="-15"/>
          <w:sz w:val="24"/>
        </w:rPr>
        <w:t> </w:t>
      </w:r>
      <w:r>
        <w:rPr>
          <w:sz w:val="24"/>
        </w:rPr>
        <w:t>(JII)</w:t>
      </w:r>
      <w:r>
        <w:rPr>
          <w:spacing w:val="-15"/>
          <w:sz w:val="24"/>
        </w:rPr>
        <w:t> </w:t>
      </w:r>
      <w:r>
        <w:rPr>
          <w:sz w:val="24"/>
        </w:rPr>
        <w:t>Periode</w:t>
      </w:r>
      <w:r>
        <w:rPr>
          <w:spacing w:val="-15"/>
          <w:sz w:val="24"/>
        </w:rPr>
        <w:t> </w:t>
      </w:r>
      <w:r>
        <w:rPr>
          <w:sz w:val="24"/>
        </w:rPr>
        <w:t>Januari</w:t>
      </w:r>
      <w:r>
        <w:rPr>
          <w:spacing w:val="-15"/>
          <w:sz w:val="24"/>
        </w:rPr>
        <w:t> </w:t>
      </w:r>
      <w:r>
        <w:rPr>
          <w:sz w:val="24"/>
        </w:rPr>
        <w:t>2004</w:t>
      </w:r>
      <w:r>
        <w:rPr>
          <w:spacing w:val="-15"/>
          <w:sz w:val="24"/>
        </w:rPr>
        <w:t> </w:t>
      </w:r>
      <w:r>
        <w:rPr>
          <w:sz w:val="24"/>
        </w:rPr>
        <w:t>Hingga</w:t>
      </w:r>
      <w:r>
        <w:rPr>
          <w:spacing w:val="-15"/>
          <w:sz w:val="24"/>
        </w:rPr>
        <w:t> </w:t>
      </w:r>
      <w:r>
        <w:rPr>
          <w:sz w:val="24"/>
        </w:rPr>
        <w:t>Desember</w:t>
      </w:r>
      <w:r>
        <w:rPr>
          <w:spacing w:val="-15"/>
          <w:sz w:val="24"/>
        </w:rPr>
        <w:t> </w:t>
      </w:r>
      <w:r>
        <w:rPr>
          <w:sz w:val="24"/>
        </w:rPr>
        <w:t>2017’,</w:t>
      </w:r>
      <w:r>
        <w:rPr>
          <w:spacing w:val="-15"/>
          <w:sz w:val="24"/>
        </w:rPr>
        <w:t> </w:t>
      </w:r>
      <w:r>
        <w:rPr>
          <w:i/>
          <w:sz w:val="24"/>
        </w:rPr>
        <w:t>Jurnal</w:t>
      </w:r>
      <w:r>
        <w:rPr>
          <w:i/>
          <w:spacing w:val="-15"/>
          <w:sz w:val="24"/>
        </w:rPr>
        <w:t> </w:t>
      </w:r>
      <w:r>
        <w:rPr>
          <w:i/>
          <w:sz w:val="24"/>
        </w:rPr>
        <w:t>Ekonomi Syariah</w:t>
      </w:r>
      <w:r>
        <w:rPr>
          <w:i/>
          <w:spacing w:val="-15"/>
          <w:sz w:val="24"/>
        </w:rPr>
        <w:t> </w:t>
      </w:r>
      <w:r>
        <w:rPr>
          <w:i/>
          <w:sz w:val="24"/>
        </w:rPr>
        <w:t>Teori</w:t>
      </w:r>
      <w:r>
        <w:rPr>
          <w:i/>
          <w:spacing w:val="-13"/>
          <w:sz w:val="24"/>
        </w:rPr>
        <w:t> </w:t>
      </w:r>
      <w:r>
        <w:rPr>
          <w:i/>
          <w:sz w:val="24"/>
        </w:rPr>
        <w:t>Dan</w:t>
      </w:r>
      <w:r>
        <w:rPr>
          <w:i/>
          <w:spacing w:val="-14"/>
          <w:sz w:val="24"/>
        </w:rPr>
        <w:t> </w:t>
      </w:r>
      <w:r>
        <w:rPr>
          <w:i/>
          <w:sz w:val="24"/>
        </w:rPr>
        <w:t>Terapan</w:t>
      </w:r>
      <w:r>
        <w:rPr>
          <w:sz w:val="24"/>
        </w:rPr>
        <w:t>,</w:t>
      </w:r>
      <w:r>
        <w:rPr>
          <w:spacing w:val="-13"/>
          <w:sz w:val="24"/>
        </w:rPr>
        <w:t> </w:t>
      </w:r>
      <w:r>
        <w:rPr>
          <w:sz w:val="24"/>
        </w:rPr>
        <w:t>6</w:t>
      </w:r>
      <w:r>
        <w:rPr>
          <w:spacing w:val="-13"/>
          <w:sz w:val="24"/>
        </w:rPr>
        <w:t> </w:t>
      </w:r>
      <w:r>
        <w:rPr>
          <w:sz w:val="24"/>
        </w:rPr>
        <w:t>(2020),</w:t>
      </w:r>
      <w:r>
        <w:rPr>
          <w:spacing w:val="-14"/>
          <w:sz w:val="24"/>
        </w:rPr>
        <w:t> </w:t>
      </w:r>
      <w:r>
        <w:rPr>
          <w:sz w:val="24"/>
        </w:rPr>
        <w:t>372</w:t>
      </w:r>
      <w:r>
        <w:rPr>
          <w:spacing w:val="-12"/>
          <w:sz w:val="24"/>
        </w:rPr>
        <w:t> </w:t>
      </w:r>
      <w:r>
        <w:rPr>
          <w:spacing w:val="-2"/>
          <w:sz w:val="24"/>
        </w:rPr>
        <w:t>&lt;https://doi.org/10.20473/vol6iss20192pp372-</w:t>
      </w:r>
    </w:p>
    <w:p>
      <w:pPr>
        <w:pStyle w:val="BodyText"/>
        <w:spacing w:before="1"/>
        <w:ind w:left="503"/>
      </w:pPr>
      <w:r>
        <w:rPr>
          <w:spacing w:val="-4"/>
        </w:rPr>
        <w:t>385&gt;</w:t>
      </w:r>
    </w:p>
    <w:p>
      <w:pPr>
        <w:pStyle w:val="BodyText"/>
        <w:spacing w:before="161"/>
        <w:ind w:left="503" w:right="163" w:hanging="480"/>
        <w:jc w:val="both"/>
        <w:rPr>
          <w:i/>
        </w:rPr>
      </w:pPr>
      <w:r>
        <w:rPr/>
        <w:t>Halisania, Pebriana Nur, Mohamad Imannudin Jafar, Desi Wahyuningsih, and Nur Azizah, ‘PENGARUH INFLASI, KURS, PDB, JUMLAH UANG BEREDAR, DAN BI RATE TERHADAP</w:t>
      </w:r>
      <w:r>
        <w:rPr>
          <w:spacing w:val="38"/>
        </w:rPr>
        <w:t>  </w:t>
      </w:r>
      <w:r>
        <w:rPr/>
        <w:t>INDEKS</w:t>
      </w:r>
      <w:r>
        <w:rPr>
          <w:spacing w:val="39"/>
        </w:rPr>
        <w:t>  </w:t>
      </w:r>
      <w:r>
        <w:rPr/>
        <w:t>SAHAM</w:t>
      </w:r>
      <w:r>
        <w:rPr>
          <w:spacing w:val="37"/>
        </w:rPr>
        <w:t>  </w:t>
      </w:r>
      <w:r>
        <w:rPr/>
        <w:t>SYARIAH</w:t>
      </w:r>
      <w:r>
        <w:rPr>
          <w:spacing w:val="38"/>
        </w:rPr>
        <w:t>  </w:t>
      </w:r>
      <w:r>
        <w:rPr/>
        <w:t>INDONESIA’,</w:t>
      </w:r>
      <w:r>
        <w:rPr>
          <w:spacing w:val="39"/>
        </w:rPr>
        <w:t>  </w:t>
      </w:r>
      <w:r>
        <w:rPr>
          <w:i/>
        </w:rPr>
        <w:t>Advance</w:t>
      </w:r>
      <w:r>
        <w:rPr>
          <w:i/>
          <w:spacing w:val="37"/>
        </w:rPr>
        <w:t>  </w:t>
      </w:r>
      <w:r>
        <w:rPr>
          <w:i/>
        </w:rPr>
        <w:t>in</w:t>
      </w:r>
      <w:r>
        <w:rPr>
          <w:i/>
          <w:spacing w:val="37"/>
        </w:rPr>
        <w:t>  </w:t>
      </w:r>
      <w:r>
        <w:rPr>
          <w:i/>
          <w:spacing w:val="-2"/>
        </w:rPr>
        <w:t>Social</w:t>
      </w:r>
    </w:p>
    <w:p>
      <w:pPr>
        <w:spacing w:before="0"/>
        <w:ind w:left="503" w:right="0" w:firstLine="0"/>
        <w:jc w:val="left"/>
        <w:rPr>
          <w:sz w:val="24"/>
        </w:rPr>
      </w:pPr>
      <w:r>
        <w:rPr>
          <w:i/>
          <w:sz w:val="24"/>
        </w:rPr>
        <w:t>Humanities</w:t>
      </w:r>
      <w:r>
        <w:rPr>
          <w:i/>
          <w:spacing w:val="-6"/>
          <w:sz w:val="24"/>
        </w:rPr>
        <w:t> </w:t>
      </w:r>
      <w:r>
        <w:rPr>
          <w:i/>
          <w:sz w:val="24"/>
        </w:rPr>
        <w:t>Research</w:t>
      </w:r>
      <w:r>
        <w:rPr>
          <w:sz w:val="24"/>
        </w:rPr>
        <w:t>,</w:t>
      </w:r>
      <w:r>
        <w:rPr>
          <w:spacing w:val="-2"/>
          <w:sz w:val="24"/>
        </w:rPr>
        <w:t> </w:t>
      </w:r>
      <w:r>
        <w:rPr>
          <w:sz w:val="24"/>
        </w:rPr>
        <w:t>2 (2024),</w:t>
      </w:r>
      <w:r>
        <w:rPr>
          <w:spacing w:val="-2"/>
          <w:sz w:val="24"/>
        </w:rPr>
        <w:t> </w:t>
      </w:r>
      <w:r>
        <w:rPr>
          <w:spacing w:val="-4"/>
          <w:sz w:val="24"/>
        </w:rPr>
        <w:t>1–14</w:t>
      </w:r>
    </w:p>
    <w:p>
      <w:pPr>
        <w:spacing w:before="158"/>
        <w:ind w:left="503" w:right="161" w:hanging="480"/>
        <w:jc w:val="both"/>
        <w:rPr>
          <w:sz w:val="24"/>
        </w:rPr>
      </w:pPr>
      <w:r>
        <w:rPr>
          <w:sz w:val="24"/>
        </w:rPr>
        <w:t>Harahap, Samsul Bahry, Yuserizal Bustami, and Syukrawati, ‘Pengaruh Literasi Keuangan Terhadap Minat Investasi Saham Syariah (Studi Kasus Galeri Investasi Syariah IAIN Kerinci)’,</w:t>
      </w:r>
      <w:r>
        <w:rPr>
          <w:spacing w:val="37"/>
          <w:sz w:val="24"/>
        </w:rPr>
        <w:t> </w:t>
      </w:r>
      <w:r>
        <w:rPr>
          <w:i/>
          <w:sz w:val="24"/>
        </w:rPr>
        <w:t>Al</w:t>
      </w:r>
      <w:r>
        <w:rPr>
          <w:i/>
          <w:spacing w:val="36"/>
          <w:sz w:val="24"/>
        </w:rPr>
        <w:t> </w:t>
      </w:r>
      <w:r>
        <w:rPr>
          <w:i/>
          <w:sz w:val="24"/>
        </w:rPr>
        <w:t>Fiddhoh:</w:t>
      </w:r>
      <w:r>
        <w:rPr>
          <w:i/>
          <w:spacing w:val="36"/>
          <w:sz w:val="24"/>
        </w:rPr>
        <w:t> </w:t>
      </w:r>
      <w:r>
        <w:rPr>
          <w:i/>
          <w:sz w:val="24"/>
        </w:rPr>
        <w:t>Journal</w:t>
      </w:r>
      <w:r>
        <w:rPr>
          <w:i/>
          <w:spacing w:val="36"/>
          <w:sz w:val="24"/>
        </w:rPr>
        <w:t> </w:t>
      </w:r>
      <w:r>
        <w:rPr>
          <w:i/>
          <w:sz w:val="24"/>
        </w:rPr>
        <w:t>of</w:t>
      </w:r>
      <w:r>
        <w:rPr>
          <w:i/>
          <w:spacing w:val="36"/>
          <w:sz w:val="24"/>
        </w:rPr>
        <w:t> </w:t>
      </w:r>
      <w:r>
        <w:rPr>
          <w:i/>
          <w:sz w:val="24"/>
        </w:rPr>
        <w:t>Banking,</w:t>
      </w:r>
      <w:r>
        <w:rPr>
          <w:i/>
          <w:spacing w:val="35"/>
          <w:sz w:val="24"/>
        </w:rPr>
        <w:t> </w:t>
      </w:r>
      <w:r>
        <w:rPr>
          <w:i/>
          <w:sz w:val="24"/>
        </w:rPr>
        <w:t>Insurance,</w:t>
      </w:r>
      <w:r>
        <w:rPr>
          <w:i/>
          <w:spacing w:val="35"/>
          <w:sz w:val="24"/>
        </w:rPr>
        <w:t> </w:t>
      </w:r>
      <w:r>
        <w:rPr>
          <w:i/>
          <w:sz w:val="24"/>
        </w:rPr>
        <w:t>and</w:t>
      </w:r>
      <w:r>
        <w:rPr>
          <w:i/>
          <w:spacing w:val="35"/>
          <w:sz w:val="24"/>
        </w:rPr>
        <w:t> </w:t>
      </w:r>
      <w:r>
        <w:rPr>
          <w:i/>
          <w:sz w:val="24"/>
        </w:rPr>
        <w:t>Finance</w:t>
      </w:r>
      <w:r>
        <w:rPr>
          <w:sz w:val="24"/>
        </w:rPr>
        <w:t>,</w:t>
      </w:r>
      <w:r>
        <w:rPr>
          <w:spacing w:val="34"/>
          <w:sz w:val="24"/>
        </w:rPr>
        <w:t> </w:t>
      </w:r>
      <w:r>
        <w:rPr>
          <w:sz w:val="24"/>
        </w:rPr>
        <w:t>2</w:t>
      </w:r>
      <w:r>
        <w:rPr>
          <w:spacing w:val="35"/>
          <w:sz w:val="24"/>
        </w:rPr>
        <w:t> </w:t>
      </w:r>
      <w:r>
        <w:rPr>
          <w:sz w:val="24"/>
        </w:rPr>
        <w:t>(2021),</w:t>
      </w:r>
      <w:r>
        <w:rPr>
          <w:spacing w:val="35"/>
          <w:sz w:val="24"/>
        </w:rPr>
        <w:t> </w:t>
      </w:r>
      <w:r>
        <w:rPr>
          <w:spacing w:val="-2"/>
          <w:sz w:val="24"/>
        </w:rPr>
        <w:t>75–82</w:t>
      </w:r>
    </w:p>
    <w:p>
      <w:pPr>
        <w:pStyle w:val="BodyText"/>
        <w:ind w:left="503"/>
      </w:pPr>
      <w:r>
        <w:rPr>
          <w:spacing w:val="-2"/>
        </w:rPr>
        <w:t>&lt;https://doi.org/10.32939/fdh.v2i2.955&gt;</w:t>
      </w:r>
    </w:p>
    <w:p>
      <w:pPr>
        <w:spacing w:before="161"/>
        <w:ind w:left="503" w:right="164" w:hanging="480"/>
        <w:jc w:val="both"/>
        <w:rPr>
          <w:sz w:val="24"/>
        </w:rPr>
      </w:pPr>
      <w:r>
        <w:rPr>
          <w:sz w:val="24"/>
        </w:rPr>
        <w:t>Heradhyaksa,</w:t>
      </w:r>
      <w:r>
        <w:rPr>
          <w:spacing w:val="-15"/>
          <w:sz w:val="24"/>
        </w:rPr>
        <w:t> </w:t>
      </w:r>
      <w:r>
        <w:rPr>
          <w:sz w:val="24"/>
        </w:rPr>
        <w:t>Bagas,</w:t>
      </w:r>
      <w:r>
        <w:rPr>
          <w:spacing w:val="-15"/>
          <w:sz w:val="24"/>
        </w:rPr>
        <w:t> </w:t>
      </w:r>
      <w:r>
        <w:rPr>
          <w:i/>
          <w:sz w:val="24"/>
        </w:rPr>
        <w:t>Buku</w:t>
      </w:r>
      <w:r>
        <w:rPr>
          <w:i/>
          <w:spacing w:val="-15"/>
          <w:sz w:val="24"/>
        </w:rPr>
        <w:t> </w:t>
      </w:r>
      <w:r>
        <w:rPr>
          <w:i/>
          <w:sz w:val="24"/>
        </w:rPr>
        <w:t>Ajar</w:t>
      </w:r>
      <w:r>
        <w:rPr>
          <w:i/>
          <w:spacing w:val="-15"/>
          <w:sz w:val="24"/>
        </w:rPr>
        <w:t> </w:t>
      </w:r>
      <w:r>
        <w:rPr>
          <w:i/>
          <w:sz w:val="24"/>
        </w:rPr>
        <w:t>Hukum</w:t>
      </w:r>
      <w:r>
        <w:rPr>
          <w:i/>
          <w:spacing w:val="-15"/>
          <w:sz w:val="24"/>
        </w:rPr>
        <w:t> </w:t>
      </w:r>
      <w:r>
        <w:rPr>
          <w:i/>
          <w:sz w:val="24"/>
        </w:rPr>
        <w:t>Investasi</w:t>
      </w:r>
      <w:r>
        <w:rPr>
          <w:i/>
          <w:spacing w:val="-15"/>
          <w:sz w:val="24"/>
        </w:rPr>
        <w:t> </w:t>
      </w:r>
      <w:r>
        <w:rPr>
          <w:i/>
          <w:sz w:val="24"/>
        </w:rPr>
        <w:t>&amp;</w:t>
      </w:r>
      <w:r>
        <w:rPr>
          <w:i/>
          <w:spacing w:val="-15"/>
          <w:sz w:val="24"/>
        </w:rPr>
        <w:t> </w:t>
      </w:r>
      <w:r>
        <w:rPr>
          <w:i/>
          <w:sz w:val="24"/>
        </w:rPr>
        <w:t>Pasar</w:t>
      </w:r>
      <w:r>
        <w:rPr>
          <w:i/>
          <w:spacing w:val="-15"/>
          <w:sz w:val="24"/>
        </w:rPr>
        <w:t> </w:t>
      </w:r>
      <w:r>
        <w:rPr>
          <w:i/>
          <w:sz w:val="24"/>
        </w:rPr>
        <w:t>Modal</w:t>
      </w:r>
      <w:r>
        <w:rPr>
          <w:i/>
          <w:spacing w:val="-15"/>
          <w:sz w:val="24"/>
        </w:rPr>
        <w:t> </w:t>
      </w:r>
      <w:r>
        <w:rPr>
          <w:i/>
          <w:sz w:val="24"/>
        </w:rPr>
        <w:t>Syariah</w:t>
      </w:r>
      <w:r>
        <w:rPr>
          <w:i/>
          <w:spacing w:val="-15"/>
          <w:sz w:val="24"/>
        </w:rPr>
        <w:t> </w:t>
      </w:r>
      <w:r>
        <w:rPr>
          <w:sz w:val="24"/>
        </w:rPr>
        <w:t>(Semarang:</w:t>
      </w:r>
      <w:r>
        <w:rPr>
          <w:spacing w:val="-15"/>
          <w:sz w:val="24"/>
        </w:rPr>
        <w:t> </w:t>
      </w:r>
      <w:r>
        <w:rPr>
          <w:sz w:val="24"/>
        </w:rPr>
        <w:t>CV.</w:t>
      </w:r>
      <w:r>
        <w:rPr>
          <w:spacing w:val="-15"/>
          <w:sz w:val="24"/>
        </w:rPr>
        <w:t> </w:t>
      </w:r>
      <w:r>
        <w:rPr>
          <w:sz w:val="24"/>
        </w:rPr>
        <w:t>Rafi Sarana Perkasa, 2022)</w:t>
      </w:r>
    </w:p>
    <w:p>
      <w:pPr>
        <w:spacing w:before="162"/>
        <w:ind w:left="503" w:right="162" w:hanging="480"/>
        <w:jc w:val="both"/>
        <w:rPr>
          <w:sz w:val="24"/>
        </w:rPr>
      </w:pPr>
      <w:r>
        <w:rPr>
          <w:sz w:val="24"/>
        </w:rPr>
        <w:t>Hermawan,</w:t>
      </w:r>
      <w:r>
        <w:rPr>
          <w:spacing w:val="-1"/>
          <w:sz w:val="24"/>
        </w:rPr>
        <w:t> </w:t>
      </w:r>
      <w:r>
        <w:rPr>
          <w:sz w:val="24"/>
        </w:rPr>
        <w:t>Sigit,</w:t>
      </w:r>
      <w:r>
        <w:rPr>
          <w:spacing w:val="-1"/>
          <w:sz w:val="24"/>
        </w:rPr>
        <w:t> </w:t>
      </w:r>
      <w:r>
        <w:rPr>
          <w:sz w:val="24"/>
        </w:rPr>
        <w:t>and</w:t>
      </w:r>
      <w:r>
        <w:rPr>
          <w:spacing w:val="-1"/>
          <w:sz w:val="24"/>
        </w:rPr>
        <w:t> </w:t>
      </w:r>
      <w:r>
        <w:rPr>
          <w:sz w:val="24"/>
        </w:rPr>
        <w:t>Wiwit</w:t>
      </w:r>
      <w:r>
        <w:rPr>
          <w:spacing w:val="-1"/>
          <w:sz w:val="24"/>
        </w:rPr>
        <w:t> </w:t>
      </w:r>
      <w:r>
        <w:rPr>
          <w:sz w:val="24"/>
        </w:rPr>
        <w:t>Hariyanto, </w:t>
      </w:r>
      <w:r>
        <w:rPr>
          <w:i/>
          <w:sz w:val="24"/>
        </w:rPr>
        <w:t>Buku</w:t>
      </w:r>
      <w:r>
        <w:rPr>
          <w:i/>
          <w:spacing w:val="-1"/>
          <w:sz w:val="24"/>
        </w:rPr>
        <w:t> </w:t>
      </w:r>
      <w:r>
        <w:rPr>
          <w:i/>
          <w:sz w:val="24"/>
        </w:rPr>
        <w:t>Ajar Metode</w:t>
      </w:r>
      <w:r>
        <w:rPr>
          <w:i/>
          <w:spacing w:val="-2"/>
          <w:sz w:val="24"/>
        </w:rPr>
        <w:t> </w:t>
      </w:r>
      <w:r>
        <w:rPr>
          <w:i/>
          <w:sz w:val="24"/>
        </w:rPr>
        <w:t>Penelitian</w:t>
      </w:r>
      <w:r>
        <w:rPr>
          <w:i/>
          <w:spacing w:val="-1"/>
          <w:sz w:val="24"/>
        </w:rPr>
        <w:t> </w:t>
      </w:r>
      <w:r>
        <w:rPr>
          <w:i/>
          <w:sz w:val="24"/>
        </w:rPr>
        <w:t>Bisnis</w:t>
      </w:r>
      <w:r>
        <w:rPr>
          <w:i/>
          <w:spacing w:val="-1"/>
          <w:sz w:val="24"/>
        </w:rPr>
        <w:t> </w:t>
      </w:r>
      <w:r>
        <w:rPr>
          <w:i/>
          <w:sz w:val="24"/>
        </w:rPr>
        <w:t>(Kuantitatif</w:t>
      </w:r>
      <w:r>
        <w:rPr>
          <w:i/>
          <w:spacing w:val="-1"/>
          <w:sz w:val="24"/>
        </w:rPr>
        <w:t> </w:t>
      </w:r>
      <w:r>
        <w:rPr>
          <w:i/>
          <w:sz w:val="24"/>
        </w:rPr>
        <w:t>Dan Kualitatif ) </w:t>
      </w:r>
      <w:r>
        <w:rPr>
          <w:sz w:val="24"/>
        </w:rPr>
        <w:t>(Umsida Press, 2022) &lt;https://doi.org/10.21070/2022/978-623-464-047-2&gt;</w:t>
      </w:r>
    </w:p>
    <w:p>
      <w:pPr>
        <w:spacing w:before="158"/>
        <w:ind w:left="503" w:right="161" w:hanging="480"/>
        <w:jc w:val="both"/>
        <w:rPr>
          <w:sz w:val="24"/>
        </w:rPr>
      </w:pPr>
      <w:r>
        <w:rPr>
          <w:sz w:val="24"/>
        </w:rPr>
        <w:t>Hery, Alexander, </w:t>
      </w:r>
      <w:r>
        <w:rPr>
          <w:i/>
          <w:sz w:val="24"/>
        </w:rPr>
        <w:t>Analisis Fundamental (Trading Dan Investasi Saham) </w:t>
      </w:r>
      <w:r>
        <w:rPr>
          <w:sz w:val="24"/>
        </w:rPr>
        <w:t>(Bandung: PENERBIT YRAMA WIDYA, 20222)</w:t>
      </w:r>
    </w:p>
    <w:p>
      <w:pPr>
        <w:spacing w:line="430" w:lineRule="atLeast" w:before="7"/>
        <w:ind w:left="23" w:right="0" w:firstLine="0"/>
        <w:jc w:val="left"/>
        <w:rPr>
          <w:sz w:val="24"/>
        </w:rPr>
      </w:pPr>
      <w:r>
        <w:rPr>
          <w:sz w:val="24"/>
        </w:rPr>
        <w:t>Hm, Jogiyanto, </w:t>
      </w:r>
      <w:r>
        <w:rPr>
          <w:i/>
          <w:sz w:val="24"/>
        </w:rPr>
        <w:t>Teori Portofolio Dan Analisis Investasi, Edisi II </w:t>
      </w:r>
      <w:r>
        <w:rPr>
          <w:sz w:val="24"/>
        </w:rPr>
        <w:t>(Yogyakarta: BPFE, 2019) I.D.A,</w:t>
      </w:r>
      <w:r>
        <w:rPr>
          <w:spacing w:val="-5"/>
          <w:sz w:val="24"/>
        </w:rPr>
        <w:t> </w:t>
      </w:r>
      <w:r>
        <w:rPr>
          <w:sz w:val="24"/>
        </w:rPr>
        <w:t>Setyawan,</w:t>
      </w:r>
      <w:r>
        <w:rPr>
          <w:spacing w:val="-5"/>
          <w:sz w:val="24"/>
        </w:rPr>
        <w:t> </w:t>
      </w:r>
      <w:r>
        <w:rPr>
          <w:sz w:val="24"/>
        </w:rPr>
        <w:t>Ade</w:t>
      </w:r>
      <w:r>
        <w:rPr>
          <w:spacing w:val="-6"/>
          <w:sz w:val="24"/>
        </w:rPr>
        <w:t> </w:t>
      </w:r>
      <w:r>
        <w:rPr>
          <w:sz w:val="24"/>
        </w:rPr>
        <w:t>Devriany,</w:t>
      </w:r>
      <w:r>
        <w:rPr>
          <w:spacing w:val="-5"/>
          <w:sz w:val="24"/>
        </w:rPr>
        <w:t> </w:t>
      </w:r>
      <w:r>
        <w:rPr>
          <w:sz w:val="24"/>
        </w:rPr>
        <w:t>and</w:t>
      </w:r>
      <w:r>
        <w:rPr>
          <w:spacing w:val="-3"/>
          <w:sz w:val="24"/>
        </w:rPr>
        <w:t> </w:t>
      </w:r>
      <w:r>
        <w:rPr>
          <w:sz w:val="24"/>
        </w:rPr>
        <w:t>N</w:t>
      </w:r>
      <w:r>
        <w:rPr>
          <w:spacing w:val="-5"/>
          <w:sz w:val="24"/>
        </w:rPr>
        <w:t> </w:t>
      </w:r>
      <w:r>
        <w:rPr>
          <w:sz w:val="24"/>
        </w:rPr>
        <w:t>Huda,</w:t>
      </w:r>
      <w:r>
        <w:rPr>
          <w:spacing w:val="-3"/>
          <w:sz w:val="24"/>
        </w:rPr>
        <w:t> </w:t>
      </w:r>
      <w:r>
        <w:rPr>
          <w:i/>
          <w:sz w:val="24"/>
        </w:rPr>
        <w:t>Buku</w:t>
      </w:r>
      <w:r>
        <w:rPr>
          <w:i/>
          <w:spacing w:val="-5"/>
          <w:sz w:val="24"/>
        </w:rPr>
        <w:t> </w:t>
      </w:r>
      <w:r>
        <w:rPr>
          <w:i/>
          <w:sz w:val="24"/>
        </w:rPr>
        <w:t>Ajar</w:t>
      </w:r>
      <w:r>
        <w:rPr>
          <w:i/>
          <w:spacing w:val="-4"/>
          <w:sz w:val="24"/>
        </w:rPr>
        <w:t> </w:t>
      </w:r>
      <w:r>
        <w:rPr>
          <w:i/>
          <w:sz w:val="24"/>
        </w:rPr>
        <w:t>Statistika</w:t>
      </w:r>
      <w:r>
        <w:rPr>
          <w:i/>
          <w:spacing w:val="-4"/>
          <w:sz w:val="24"/>
        </w:rPr>
        <w:t> </w:t>
      </w:r>
      <w:r>
        <w:rPr>
          <w:sz w:val="24"/>
        </w:rPr>
        <w:t>(Bengkulu:</w:t>
      </w:r>
      <w:r>
        <w:rPr>
          <w:spacing w:val="-4"/>
          <w:sz w:val="24"/>
        </w:rPr>
        <w:t> </w:t>
      </w:r>
      <w:r>
        <w:rPr>
          <w:sz w:val="24"/>
        </w:rPr>
        <w:t>Penerbit</w:t>
      </w:r>
      <w:r>
        <w:rPr>
          <w:spacing w:val="-5"/>
          <w:sz w:val="24"/>
        </w:rPr>
        <w:t> </w:t>
      </w:r>
      <w:r>
        <w:rPr>
          <w:sz w:val="24"/>
        </w:rPr>
        <w:t>Adab,</w:t>
      </w:r>
    </w:p>
    <w:p>
      <w:pPr>
        <w:pStyle w:val="BodyText"/>
        <w:spacing w:before="4"/>
        <w:ind w:left="503"/>
      </w:pPr>
      <w:r>
        <w:rPr>
          <w:spacing w:val="-2"/>
        </w:rPr>
        <w:t>2021)</w:t>
      </w:r>
    </w:p>
    <w:p>
      <w:pPr>
        <w:pStyle w:val="BodyText"/>
        <w:spacing w:before="161"/>
        <w:ind w:left="503" w:right="161" w:hanging="480"/>
        <w:jc w:val="both"/>
      </w:pPr>
      <w:r>
        <w:rPr/>
        <w:t>Ilmiah, Dunyati, and Muhammad Galih Wonoseto, ‘Consumer Confidence Index in Coronavirus Disease (Covid-19) Era’, </w:t>
      </w:r>
      <w:r>
        <w:rPr>
          <w:i/>
        </w:rPr>
        <w:t>EkBis: Jurnal Ekonomi Dan Bisnis</w:t>
      </w:r>
      <w:r>
        <w:rPr/>
        <w:t>, 5 (2021), 13– 23 &lt;https://doi.org/10.14421/EkBis.2021.5.1.1271&gt;</w:t>
      </w:r>
    </w:p>
    <w:p>
      <w:pPr>
        <w:tabs>
          <w:tab w:pos="2168" w:val="left" w:leader="none"/>
          <w:tab w:pos="3288" w:val="left" w:leader="none"/>
          <w:tab w:pos="4581" w:val="left" w:leader="none"/>
          <w:tab w:pos="6098" w:val="left" w:leader="none"/>
          <w:tab w:pos="6923" w:val="left" w:leader="none"/>
          <w:tab w:pos="9051" w:val="right" w:leader="none"/>
        </w:tabs>
        <w:spacing w:before="161"/>
        <w:ind w:left="503" w:right="161" w:hanging="480"/>
        <w:jc w:val="left"/>
        <w:rPr>
          <w:sz w:val="24"/>
        </w:rPr>
      </w:pPr>
      <w:r>
        <w:rPr>
          <w:sz w:val="24"/>
        </w:rPr>
        <w:t>Inayah,</w:t>
      </w:r>
      <w:r>
        <w:rPr>
          <w:spacing w:val="-9"/>
          <w:sz w:val="24"/>
        </w:rPr>
        <w:t> </w:t>
      </w:r>
      <w:r>
        <w:rPr>
          <w:sz w:val="24"/>
        </w:rPr>
        <w:t>Ina</w:t>
      </w:r>
      <w:r>
        <w:rPr>
          <w:spacing w:val="-12"/>
          <w:sz w:val="24"/>
        </w:rPr>
        <w:t> </w:t>
      </w:r>
      <w:r>
        <w:rPr>
          <w:sz w:val="24"/>
        </w:rPr>
        <w:t>Nur,</w:t>
      </w:r>
      <w:r>
        <w:rPr>
          <w:spacing w:val="-11"/>
          <w:sz w:val="24"/>
        </w:rPr>
        <w:t> </w:t>
      </w:r>
      <w:r>
        <w:rPr>
          <w:sz w:val="24"/>
        </w:rPr>
        <w:t>‘Prinsip-Prinsip</w:t>
      </w:r>
      <w:r>
        <w:rPr>
          <w:spacing w:val="-13"/>
          <w:sz w:val="24"/>
        </w:rPr>
        <w:t> </w:t>
      </w:r>
      <w:r>
        <w:rPr>
          <w:sz w:val="24"/>
        </w:rPr>
        <w:t>Ekonomi</w:t>
      </w:r>
      <w:r>
        <w:rPr>
          <w:spacing w:val="-13"/>
          <w:sz w:val="24"/>
        </w:rPr>
        <w:t> </w:t>
      </w:r>
      <w:r>
        <w:rPr>
          <w:sz w:val="24"/>
        </w:rPr>
        <w:t>Islam</w:t>
      </w:r>
      <w:r>
        <w:rPr>
          <w:spacing w:val="-11"/>
          <w:sz w:val="24"/>
        </w:rPr>
        <w:t> </w:t>
      </w:r>
      <w:r>
        <w:rPr>
          <w:sz w:val="24"/>
        </w:rPr>
        <w:t>Dalam</w:t>
      </w:r>
      <w:r>
        <w:rPr>
          <w:spacing w:val="-11"/>
          <w:sz w:val="24"/>
        </w:rPr>
        <w:t> </w:t>
      </w:r>
      <w:r>
        <w:rPr>
          <w:sz w:val="24"/>
        </w:rPr>
        <w:t>Investasi</w:t>
      </w:r>
      <w:r>
        <w:rPr>
          <w:spacing w:val="-13"/>
          <w:sz w:val="24"/>
        </w:rPr>
        <w:t> </w:t>
      </w:r>
      <w:r>
        <w:rPr>
          <w:sz w:val="24"/>
        </w:rPr>
        <w:t>Syariah’,</w:t>
      </w:r>
      <w:r>
        <w:rPr>
          <w:spacing w:val="-10"/>
          <w:sz w:val="24"/>
        </w:rPr>
        <w:t> </w:t>
      </w:r>
      <w:r>
        <w:rPr>
          <w:i/>
          <w:sz w:val="24"/>
        </w:rPr>
        <w:t>AKSY:</w:t>
      </w:r>
      <w:r>
        <w:rPr>
          <w:i/>
          <w:spacing w:val="-14"/>
          <w:sz w:val="24"/>
        </w:rPr>
        <w:t> </w:t>
      </w:r>
      <w:r>
        <w:rPr>
          <w:i/>
          <w:sz w:val="24"/>
        </w:rPr>
        <w:t>Jurnal</w:t>
      </w:r>
      <w:r>
        <w:rPr>
          <w:i/>
          <w:spacing w:val="-13"/>
          <w:sz w:val="24"/>
        </w:rPr>
        <w:t> </w:t>
      </w:r>
      <w:r>
        <w:rPr>
          <w:i/>
          <w:sz w:val="24"/>
        </w:rPr>
        <w:t>Ilmu </w:t>
      </w:r>
      <w:r>
        <w:rPr>
          <w:i/>
          <w:spacing w:val="-2"/>
          <w:sz w:val="24"/>
        </w:rPr>
        <w:t>Akuntansi</w:t>
      </w:r>
      <w:r>
        <w:rPr>
          <w:i/>
          <w:sz w:val="24"/>
        </w:rPr>
        <w:tab/>
      </w:r>
      <w:r>
        <w:rPr>
          <w:i/>
          <w:spacing w:val="-5"/>
          <w:sz w:val="24"/>
        </w:rPr>
        <w:t>Dan</w:t>
      </w:r>
      <w:r>
        <w:rPr>
          <w:i/>
          <w:sz w:val="24"/>
        </w:rPr>
        <w:tab/>
      </w:r>
      <w:r>
        <w:rPr>
          <w:i/>
          <w:spacing w:val="-2"/>
          <w:sz w:val="24"/>
        </w:rPr>
        <w:t>Bisnis</w:t>
      </w:r>
      <w:r>
        <w:rPr>
          <w:i/>
          <w:sz w:val="24"/>
        </w:rPr>
        <w:tab/>
      </w:r>
      <w:r>
        <w:rPr>
          <w:i/>
          <w:spacing w:val="-2"/>
          <w:sz w:val="24"/>
        </w:rPr>
        <w:t>Syariah</w:t>
      </w:r>
      <w:r>
        <w:rPr>
          <w:spacing w:val="-2"/>
          <w:sz w:val="24"/>
        </w:rPr>
        <w:t>,</w:t>
      </w:r>
      <w:r>
        <w:rPr>
          <w:sz w:val="24"/>
        </w:rPr>
        <w:tab/>
      </w:r>
      <w:r>
        <w:rPr>
          <w:spacing w:val="-10"/>
          <w:sz w:val="24"/>
        </w:rPr>
        <w:t>2</w:t>
      </w:r>
      <w:r>
        <w:rPr>
          <w:sz w:val="24"/>
        </w:rPr>
        <w:tab/>
      </w:r>
      <w:r>
        <w:rPr>
          <w:spacing w:val="-2"/>
          <w:sz w:val="24"/>
        </w:rPr>
        <w:t>(2020),</w:t>
      </w:r>
      <w:r>
        <w:rPr>
          <w:sz w:val="24"/>
        </w:rPr>
        <w:tab/>
      </w:r>
      <w:r>
        <w:rPr>
          <w:spacing w:val="-2"/>
          <w:sz w:val="24"/>
        </w:rPr>
        <w:t>88–100</w:t>
      </w:r>
    </w:p>
    <w:p>
      <w:pPr>
        <w:pStyle w:val="BodyText"/>
        <w:ind w:left="503"/>
      </w:pPr>
      <w:r>
        <w:rPr>
          <w:spacing w:val="-2"/>
        </w:rPr>
        <w:t>&lt;https://doi.org/10.15575/aksy.v2i2.9801&gt;</w:t>
      </w:r>
    </w:p>
    <w:p>
      <w:pPr>
        <w:spacing w:before="159"/>
        <w:ind w:left="503" w:right="160" w:hanging="480"/>
        <w:jc w:val="both"/>
        <w:rPr>
          <w:sz w:val="24"/>
        </w:rPr>
      </w:pPr>
      <w:r>
        <w:rPr>
          <w:sz w:val="24"/>
        </w:rPr>
        <w:t>Irawan, Heri, Saifuddin Amin, Salfianur, St. Hadijah Wahid, Chaerul Sani, and Abd. Muhaemin Nabir, ‘Potensi Pasar Modal Syariah Di Indonesia’, </w:t>
      </w:r>
      <w:r>
        <w:rPr>
          <w:i/>
          <w:sz w:val="24"/>
        </w:rPr>
        <w:t>Jurnal Asy-Syarikah: Jurnal</w:t>
      </w:r>
      <w:r>
        <w:rPr>
          <w:i/>
          <w:spacing w:val="54"/>
          <w:sz w:val="24"/>
        </w:rPr>
        <w:t>  </w:t>
      </w:r>
      <w:r>
        <w:rPr>
          <w:i/>
          <w:sz w:val="24"/>
        </w:rPr>
        <w:t>Lembaga</w:t>
      </w:r>
      <w:r>
        <w:rPr>
          <w:i/>
          <w:spacing w:val="57"/>
          <w:sz w:val="24"/>
        </w:rPr>
        <w:t>  </w:t>
      </w:r>
      <w:r>
        <w:rPr>
          <w:i/>
          <w:sz w:val="24"/>
        </w:rPr>
        <w:t>Keuangan,</w:t>
      </w:r>
      <w:r>
        <w:rPr>
          <w:i/>
          <w:spacing w:val="56"/>
          <w:sz w:val="24"/>
        </w:rPr>
        <w:t>  </w:t>
      </w:r>
      <w:r>
        <w:rPr>
          <w:i/>
          <w:sz w:val="24"/>
        </w:rPr>
        <w:t>Ekonomi</w:t>
      </w:r>
      <w:r>
        <w:rPr>
          <w:i/>
          <w:spacing w:val="57"/>
          <w:sz w:val="24"/>
        </w:rPr>
        <w:t>  </w:t>
      </w:r>
      <w:r>
        <w:rPr>
          <w:i/>
          <w:sz w:val="24"/>
        </w:rPr>
        <w:t>Dan</w:t>
      </w:r>
      <w:r>
        <w:rPr>
          <w:i/>
          <w:spacing w:val="56"/>
          <w:sz w:val="24"/>
        </w:rPr>
        <w:t>  </w:t>
      </w:r>
      <w:r>
        <w:rPr>
          <w:i/>
          <w:sz w:val="24"/>
        </w:rPr>
        <w:t>Bisnis</w:t>
      </w:r>
      <w:r>
        <w:rPr>
          <w:i/>
          <w:spacing w:val="57"/>
          <w:sz w:val="24"/>
        </w:rPr>
        <w:t>  </w:t>
      </w:r>
      <w:r>
        <w:rPr>
          <w:i/>
          <w:sz w:val="24"/>
        </w:rPr>
        <w:t>Islam</w:t>
      </w:r>
      <w:r>
        <w:rPr>
          <w:sz w:val="24"/>
        </w:rPr>
        <w:t>,</w:t>
      </w:r>
      <w:r>
        <w:rPr>
          <w:spacing w:val="57"/>
          <w:sz w:val="24"/>
        </w:rPr>
        <w:t>  </w:t>
      </w:r>
      <w:r>
        <w:rPr>
          <w:sz w:val="24"/>
        </w:rPr>
        <w:t>5</w:t>
      </w:r>
      <w:r>
        <w:rPr>
          <w:spacing w:val="56"/>
          <w:sz w:val="24"/>
        </w:rPr>
        <w:t>  </w:t>
      </w:r>
      <w:r>
        <w:rPr>
          <w:sz w:val="24"/>
        </w:rPr>
        <w:t>(2023),</w:t>
      </w:r>
      <w:r>
        <w:rPr>
          <w:spacing w:val="57"/>
          <w:sz w:val="24"/>
        </w:rPr>
        <w:t>  </w:t>
      </w:r>
      <w:r>
        <w:rPr>
          <w:spacing w:val="-2"/>
          <w:sz w:val="24"/>
        </w:rPr>
        <w:t>59–70</w:t>
      </w:r>
    </w:p>
    <w:p>
      <w:pPr>
        <w:pStyle w:val="BodyText"/>
        <w:ind w:left="503"/>
      </w:pPr>
      <w:r>
        <w:rPr>
          <w:spacing w:val="-2"/>
        </w:rPr>
        <w:t>&lt;https://doi.org/10.47435/asy-syarikah.v5i1.1732&gt;</w:t>
      </w:r>
    </w:p>
    <w:p>
      <w:pPr>
        <w:spacing w:before="161"/>
        <w:ind w:left="503" w:right="0" w:hanging="480"/>
        <w:jc w:val="left"/>
        <w:rPr>
          <w:sz w:val="24"/>
        </w:rPr>
      </w:pPr>
      <w:r>
        <w:rPr>
          <w:sz w:val="24"/>
        </w:rPr>
        <w:t>Ismail,</w:t>
      </w:r>
      <w:r>
        <w:rPr>
          <w:spacing w:val="40"/>
          <w:sz w:val="24"/>
        </w:rPr>
        <w:t> </w:t>
      </w:r>
      <w:r>
        <w:rPr>
          <w:sz w:val="24"/>
        </w:rPr>
        <w:t>Nawawi,</w:t>
      </w:r>
      <w:r>
        <w:rPr>
          <w:spacing w:val="40"/>
          <w:sz w:val="24"/>
        </w:rPr>
        <w:t> </w:t>
      </w:r>
      <w:r>
        <w:rPr>
          <w:i/>
          <w:sz w:val="24"/>
        </w:rPr>
        <w:t>Ekonomi</w:t>
      </w:r>
      <w:r>
        <w:rPr>
          <w:i/>
          <w:spacing w:val="40"/>
          <w:sz w:val="24"/>
        </w:rPr>
        <w:t> </w:t>
      </w:r>
      <w:r>
        <w:rPr>
          <w:i/>
          <w:sz w:val="24"/>
        </w:rPr>
        <w:t>Kelembagaan</w:t>
      </w:r>
      <w:r>
        <w:rPr>
          <w:i/>
          <w:spacing w:val="40"/>
          <w:sz w:val="24"/>
        </w:rPr>
        <w:t> </w:t>
      </w:r>
      <w:r>
        <w:rPr>
          <w:i/>
          <w:sz w:val="24"/>
        </w:rPr>
        <w:t>Syariah</w:t>
      </w:r>
      <w:r>
        <w:rPr>
          <w:i/>
          <w:spacing w:val="40"/>
          <w:sz w:val="24"/>
        </w:rPr>
        <w:t> </w:t>
      </w:r>
      <w:r>
        <w:rPr>
          <w:i/>
          <w:sz w:val="24"/>
        </w:rPr>
        <w:t>Dalam</w:t>
      </w:r>
      <w:r>
        <w:rPr>
          <w:i/>
          <w:spacing w:val="40"/>
          <w:sz w:val="24"/>
        </w:rPr>
        <w:t> </w:t>
      </w:r>
      <w:r>
        <w:rPr>
          <w:i/>
          <w:sz w:val="24"/>
        </w:rPr>
        <w:t>Pusaran</w:t>
      </w:r>
      <w:r>
        <w:rPr>
          <w:i/>
          <w:spacing w:val="40"/>
          <w:sz w:val="24"/>
        </w:rPr>
        <w:t> </w:t>
      </w:r>
      <w:r>
        <w:rPr>
          <w:i/>
          <w:sz w:val="24"/>
        </w:rPr>
        <w:t>Perekonomian</w:t>
      </w:r>
      <w:r>
        <w:rPr>
          <w:i/>
          <w:spacing w:val="40"/>
          <w:sz w:val="24"/>
        </w:rPr>
        <w:t> </w:t>
      </w:r>
      <w:r>
        <w:rPr>
          <w:i/>
          <w:sz w:val="24"/>
        </w:rPr>
        <w:t>Global</w:t>
      </w:r>
      <w:r>
        <w:rPr>
          <w:i/>
          <w:spacing w:val="40"/>
          <w:sz w:val="24"/>
        </w:rPr>
        <w:t> </w:t>
      </w:r>
      <w:r>
        <w:rPr>
          <w:i/>
          <w:sz w:val="24"/>
        </w:rPr>
        <w:t>Sebuah Tuntutan Dan Realitas </w:t>
      </w:r>
      <w:r>
        <w:rPr>
          <w:sz w:val="24"/>
        </w:rPr>
        <w:t>(Surabaya: CV Putra Media Nusantara, 2009)</w:t>
      </w:r>
    </w:p>
    <w:p>
      <w:pPr>
        <w:spacing w:before="161"/>
        <w:ind w:left="503" w:right="164" w:hanging="480"/>
        <w:jc w:val="both"/>
        <w:rPr>
          <w:sz w:val="24"/>
        </w:rPr>
      </w:pPr>
      <w:r>
        <w:rPr>
          <w:sz w:val="24"/>
        </w:rPr>
        <w:t>Lanori, Tamrin, and Bambang Heri Supriyanto, </w:t>
      </w:r>
      <w:r>
        <w:rPr>
          <w:i/>
          <w:sz w:val="24"/>
        </w:rPr>
        <w:t>Analisis Perilaku Inflasi Negara Indonesia Tinjauan</w:t>
      </w:r>
      <w:r>
        <w:rPr>
          <w:i/>
          <w:spacing w:val="-10"/>
          <w:sz w:val="24"/>
        </w:rPr>
        <w:t> </w:t>
      </w:r>
      <w:r>
        <w:rPr>
          <w:i/>
          <w:sz w:val="24"/>
        </w:rPr>
        <w:t>Historis</w:t>
      </w:r>
      <w:r>
        <w:rPr>
          <w:i/>
          <w:spacing w:val="-10"/>
          <w:sz w:val="24"/>
        </w:rPr>
        <w:t> </w:t>
      </w:r>
      <w:r>
        <w:rPr>
          <w:i/>
          <w:sz w:val="24"/>
        </w:rPr>
        <w:t>Ekonomi</w:t>
      </w:r>
      <w:r>
        <w:rPr>
          <w:i/>
          <w:spacing w:val="-10"/>
          <w:sz w:val="24"/>
        </w:rPr>
        <w:t> </w:t>
      </w:r>
      <w:r>
        <w:rPr>
          <w:i/>
          <w:sz w:val="24"/>
        </w:rPr>
        <w:t>Dalam</w:t>
      </w:r>
      <w:r>
        <w:rPr>
          <w:i/>
          <w:spacing w:val="-11"/>
          <w:sz w:val="24"/>
        </w:rPr>
        <w:t> </w:t>
      </w:r>
      <w:r>
        <w:rPr>
          <w:i/>
          <w:sz w:val="24"/>
        </w:rPr>
        <w:t>Pusara</w:t>
      </w:r>
      <w:r>
        <w:rPr>
          <w:i/>
          <w:spacing w:val="-10"/>
          <w:sz w:val="24"/>
        </w:rPr>
        <w:t> </w:t>
      </w:r>
      <w:r>
        <w:rPr>
          <w:i/>
          <w:sz w:val="24"/>
        </w:rPr>
        <w:t>Ekonomi</w:t>
      </w:r>
      <w:r>
        <w:rPr>
          <w:i/>
          <w:spacing w:val="-10"/>
          <w:sz w:val="24"/>
        </w:rPr>
        <w:t> </w:t>
      </w:r>
      <w:r>
        <w:rPr>
          <w:i/>
          <w:sz w:val="24"/>
        </w:rPr>
        <w:t>Kerakyatan</w:t>
      </w:r>
      <w:r>
        <w:rPr>
          <w:i/>
          <w:spacing w:val="-8"/>
          <w:sz w:val="24"/>
        </w:rPr>
        <w:t> </w:t>
      </w:r>
      <w:r>
        <w:rPr>
          <w:sz w:val="24"/>
        </w:rPr>
        <w:t>(Jakarta:</w:t>
      </w:r>
      <w:r>
        <w:rPr>
          <w:spacing w:val="-10"/>
          <w:sz w:val="24"/>
        </w:rPr>
        <w:t> </w:t>
      </w:r>
      <w:r>
        <w:rPr>
          <w:sz w:val="24"/>
        </w:rPr>
        <w:t>Global</w:t>
      </w:r>
      <w:r>
        <w:rPr>
          <w:spacing w:val="-10"/>
          <w:sz w:val="24"/>
        </w:rPr>
        <w:t> </w:t>
      </w:r>
      <w:r>
        <w:rPr>
          <w:sz w:val="24"/>
        </w:rPr>
        <w:t>Express Media, 2023)</w:t>
      </w:r>
    </w:p>
    <w:p>
      <w:pPr>
        <w:pStyle w:val="BodyText"/>
        <w:spacing w:before="159"/>
        <w:ind w:right="166"/>
        <w:jc w:val="right"/>
      </w:pPr>
      <w:r>
        <w:rPr/>
        <w:t>Lisdawami,</w:t>
      </w:r>
      <w:r>
        <w:rPr>
          <w:spacing w:val="48"/>
        </w:rPr>
        <w:t> </w:t>
      </w:r>
      <w:r>
        <w:rPr/>
        <w:t>Indi</w:t>
      </w:r>
      <w:r>
        <w:rPr>
          <w:spacing w:val="50"/>
        </w:rPr>
        <w:t> </w:t>
      </w:r>
      <w:r>
        <w:rPr/>
        <w:t>Masita,</w:t>
      </w:r>
      <w:r>
        <w:rPr>
          <w:spacing w:val="51"/>
        </w:rPr>
        <w:t> </w:t>
      </w:r>
      <w:r>
        <w:rPr/>
        <w:t>‘Pengaruh</w:t>
      </w:r>
      <w:r>
        <w:rPr>
          <w:spacing w:val="49"/>
        </w:rPr>
        <w:t> </w:t>
      </w:r>
      <w:r>
        <w:rPr/>
        <w:t>Kurs,</w:t>
      </w:r>
      <w:r>
        <w:rPr>
          <w:spacing w:val="51"/>
        </w:rPr>
        <w:t> </w:t>
      </w:r>
      <w:r>
        <w:rPr/>
        <w:t>Inflasi</w:t>
      </w:r>
      <w:r>
        <w:rPr>
          <w:spacing w:val="50"/>
        </w:rPr>
        <w:t> </w:t>
      </w:r>
      <w:r>
        <w:rPr/>
        <w:t>Dan</w:t>
      </w:r>
      <w:r>
        <w:rPr>
          <w:spacing w:val="50"/>
        </w:rPr>
        <w:t> </w:t>
      </w:r>
      <w:r>
        <w:rPr/>
        <w:t>Indeks</w:t>
      </w:r>
      <w:r>
        <w:rPr>
          <w:spacing w:val="50"/>
        </w:rPr>
        <w:t> </w:t>
      </w:r>
      <w:r>
        <w:rPr/>
        <w:t>Produksi</w:t>
      </w:r>
      <w:r>
        <w:rPr>
          <w:spacing w:val="51"/>
        </w:rPr>
        <w:t> </w:t>
      </w:r>
      <w:r>
        <w:rPr/>
        <w:t>Industri</w:t>
      </w:r>
      <w:r>
        <w:rPr>
          <w:spacing w:val="50"/>
        </w:rPr>
        <w:t> </w:t>
      </w:r>
      <w:r>
        <w:rPr>
          <w:spacing w:val="-2"/>
        </w:rPr>
        <w:t>Terhadap</w:t>
      </w:r>
    </w:p>
    <w:p>
      <w:pPr>
        <w:spacing w:before="0"/>
        <w:ind w:left="0" w:right="160" w:firstLine="0"/>
        <w:jc w:val="right"/>
        <w:rPr>
          <w:sz w:val="24"/>
        </w:rPr>
      </w:pPr>
      <w:r>
        <w:rPr>
          <w:sz w:val="24"/>
        </w:rPr>
        <w:t>Jakarta</w:t>
      </w:r>
      <w:r>
        <w:rPr>
          <w:spacing w:val="15"/>
          <w:sz w:val="24"/>
        </w:rPr>
        <w:t> </w:t>
      </w:r>
      <w:r>
        <w:rPr>
          <w:sz w:val="24"/>
        </w:rPr>
        <w:t>Islamic</w:t>
      </w:r>
      <w:r>
        <w:rPr>
          <w:spacing w:val="16"/>
          <w:sz w:val="24"/>
        </w:rPr>
        <w:t> </w:t>
      </w:r>
      <w:r>
        <w:rPr>
          <w:sz w:val="24"/>
        </w:rPr>
        <w:t>Index</w:t>
      </w:r>
      <w:r>
        <w:rPr>
          <w:spacing w:val="15"/>
          <w:sz w:val="24"/>
        </w:rPr>
        <w:t> </w:t>
      </w:r>
      <w:r>
        <w:rPr>
          <w:sz w:val="24"/>
        </w:rPr>
        <w:t>Periode</w:t>
      </w:r>
      <w:r>
        <w:rPr>
          <w:spacing w:val="13"/>
          <w:sz w:val="24"/>
        </w:rPr>
        <w:t> </w:t>
      </w:r>
      <w:r>
        <w:rPr>
          <w:sz w:val="24"/>
        </w:rPr>
        <w:t>2010-2019’,</w:t>
      </w:r>
      <w:r>
        <w:rPr>
          <w:spacing w:val="15"/>
          <w:sz w:val="24"/>
        </w:rPr>
        <w:t> </w:t>
      </w:r>
      <w:r>
        <w:rPr>
          <w:i/>
          <w:sz w:val="24"/>
        </w:rPr>
        <w:t>Ulûmuna:</w:t>
      </w:r>
      <w:r>
        <w:rPr>
          <w:i/>
          <w:spacing w:val="14"/>
          <w:sz w:val="24"/>
        </w:rPr>
        <w:t> </w:t>
      </w:r>
      <w:r>
        <w:rPr>
          <w:i/>
          <w:sz w:val="24"/>
        </w:rPr>
        <w:t>Jurnal</w:t>
      </w:r>
      <w:r>
        <w:rPr>
          <w:i/>
          <w:spacing w:val="15"/>
          <w:sz w:val="24"/>
        </w:rPr>
        <w:t> </w:t>
      </w:r>
      <w:r>
        <w:rPr>
          <w:i/>
          <w:sz w:val="24"/>
        </w:rPr>
        <w:t>Studi</w:t>
      </w:r>
      <w:r>
        <w:rPr>
          <w:i/>
          <w:spacing w:val="15"/>
          <w:sz w:val="24"/>
        </w:rPr>
        <w:t> </w:t>
      </w:r>
      <w:r>
        <w:rPr>
          <w:i/>
          <w:sz w:val="24"/>
        </w:rPr>
        <w:t>Keislaman</w:t>
      </w:r>
      <w:r>
        <w:rPr>
          <w:sz w:val="24"/>
        </w:rPr>
        <w:t>,</w:t>
      </w:r>
      <w:r>
        <w:rPr>
          <w:spacing w:val="15"/>
          <w:sz w:val="24"/>
        </w:rPr>
        <w:t> </w:t>
      </w:r>
      <w:r>
        <w:rPr>
          <w:sz w:val="24"/>
        </w:rPr>
        <w:t>7</w:t>
      </w:r>
      <w:r>
        <w:rPr>
          <w:spacing w:val="15"/>
          <w:sz w:val="24"/>
        </w:rPr>
        <w:t> </w:t>
      </w:r>
      <w:r>
        <w:rPr>
          <w:spacing w:val="-2"/>
          <w:sz w:val="24"/>
        </w:rPr>
        <w:t>(2021)</w:t>
      </w:r>
    </w:p>
    <w:p>
      <w:pPr>
        <w:pStyle w:val="BodyText"/>
        <w:ind w:left="503" w:right="159"/>
      </w:pPr>
      <w:r>
        <w:rPr>
          <w:spacing w:val="-2"/>
        </w:rPr>
        <w:t>&lt;</w:t>
      </w:r>
      <w:hyperlink r:id="rId22">
        <w:r>
          <w:rPr>
            <w:spacing w:val="-2"/>
          </w:rPr>
          <w:t>http://scioteca.caf.com/bitstream/handle/123456789/1091/RED2017-Eng-</w:t>
        </w:r>
      </w:hyperlink>
      <w:r>
        <w:rPr>
          <w:spacing w:val="-2"/>
        </w:rPr>
        <w:t> 8ene.pdf?sequence=12&amp;isAllowed=y%</w:t>
      </w:r>
      <w:hyperlink r:id="rId23">
        <w:r>
          <w:rPr>
            <w:spacing w:val="-2"/>
          </w:rPr>
          <w:t>0Ahttp://dx.doi.org/10.1016/j.regsciurbeco.2008.</w:t>
        </w:r>
      </w:hyperlink>
      <w:r>
        <w:rPr>
          <w:spacing w:val="-2"/>
        </w:rPr>
        <w:t> 06.005%0Ahttps:/</w:t>
      </w:r>
      <w:hyperlink r:id="rId24">
        <w:r>
          <w:rPr>
            <w:spacing w:val="-2"/>
          </w:rPr>
          <w:t>/www.researchgate.net/publication/305320484_SISTEM_PEMBETU</w:t>
        </w:r>
      </w:hyperlink>
      <w:r>
        <w:rPr>
          <w:spacing w:val="-2"/>
        </w:rPr>
        <w:t> NGAN_TERPUSAT_STRATEGI_MELESTARI&gt;</w:t>
      </w:r>
    </w:p>
    <w:p>
      <w:pPr>
        <w:pStyle w:val="BodyText"/>
        <w:spacing w:before="160"/>
        <w:ind w:right="165"/>
        <w:jc w:val="right"/>
      </w:pPr>
      <w:r>
        <w:rPr/>
        <w:t>Maharani,</w:t>
      </w:r>
      <w:r>
        <w:rPr>
          <w:spacing w:val="29"/>
        </w:rPr>
        <w:t> </w:t>
      </w:r>
      <w:r>
        <w:rPr/>
        <w:t>Bintang,</w:t>
      </w:r>
      <w:r>
        <w:rPr>
          <w:spacing w:val="28"/>
        </w:rPr>
        <w:t> </w:t>
      </w:r>
      <w:r>
        <w:rPr/>
        <w:t>and</w:t>
      </w:r>
      <w:r>
        <w:rPr>
          <w:spacing w:val="32"/>
        </w:rPr>
        <w:t> </w:t>
      </w:r>
      <w:r>
        <w:rPr/>
        <w:t>Putri</w:t>
      </w:r>
      <w:r>
        <w:rPr>
          <w:spacing w:val="29"/>
        </w:rPr>
        <w:t> </w:t>
      </w:r>
      <w:r>
        <w:rPr/>
        <w:t>Apria</w:t>
      </w:r>
      <w:r>
        <w:rPr>
          <w:spacing w:val="28"/>
        </w:rPr>
        <w:t> </w:t>
      </w:r>
      <w:r>
        <w:rPr/>
        <w:t>Ningsih,</w:t>
      </w:r>
      <w:r>
        <w:rPr>
          <w:spacing w:val="29"/>
        </w:rPr>
        <w:t> </w:t>
      </w:r>
      <w:r>
        <w:rPr/>
        <w:t>‘Pengaruh</w:t>
      </w:r>
      <w:r>
        <w:rPr>
          <w:spacing w:val="30"/>
        </w:rPr>
        <w:t> </w:t>
      </w:r>
      <w:r>
        <w:rPr/>
        <w:t>Inflasi,</w:t>
      </w:r>
      <w:r>
        <w:rPr>
          <w:spacing w:val="29"/>
        </w:rPr>
        <w:t> </w:t>
      </w:r>
      <w:r>
        <w:rPr/>
        <w:t>Nilai</w:t>
      </w:r>
      <w:r>
        <w:rPr>
          <w:spacing w:val="30"/>
        </w:rPr>
        <w:t> </w:t>
      </w:r>
      <w:r>
        <w:rPr/>
        <w:t>Tukar</w:t>
      </w:r>
      <w:r>
        <w:rPr>
          <w:spacing w:val="28"/>
        </w:rPr>
        <w:t> </w:t>
      </w:r>
      <w:r>
        <w:rPr/>
        <w:t>Dan</w:t>
      </w:r>
      <w:r>
        <w:rPr>
          <w:spacing w:val="29"/>
        </w:rPr>
        <w:t> </w:t>
      </w:r>
      <w:r>
        <w:rPr>
          <w:spacing w:val="-2"/>
        </w:rPr>
        <w:t>Domestik</w:t>
      </w:r>
    </w:p>
    <w:p>
      <w:pPr>
        <w:pStyle w:val="BodyText"/>
        <w:spacing w:after="0"/>
        <w:jc w:val="right"/>
        <w:sectPr>
          <w:pgSz w:w="11910" w:h="16840"/>
          <w:pgMar w:header="0" w:footer="1000" w:top="1360" w:bottom="1200" w:left="1417" w:right="1275"/>
        </w:sectPr>
      </w:pPr>
    </w:p>
    <w:p>
      <w:pPr>
        <w:pStyle w:val="BodyText"/>
        <w:tabs>
          <w:tab w:pos="7970" w:val="left" w:leader="none"/>
        </w:tabs>
        <w:spacing w:before="60"/>
        <w:ind w:left="503" w:right="158"/>
        <w:jc w:val="both"/>
      </w:pPr>
      <w:r>
        <w:rPr/>
        <w:t>Bruto Terhadap Return Saham Syariah Yang Terdaftar Di Indeks Saham Syariah Indonesia (Pada PT. ANTAM Tbk Periode 2019-2023)’, </w:t>
      </w:r>
      <w:r>
        <w:rPr>
          <w:i/>
        </w:rPr>
        <w:t>Jurnal Studi Multidisipliner</w:t>
      </w:r>
      <w:r>
        <w:rPr/>
        <w:t>, 9 </w:t>
      </w:r>
      <w:r>
        <w:rPr>
          <w:spacing w:val="-2"/>
        </w:rPr>
        <w:t>(2025),</w:t>
      </w:r>
      <w:r>
        <w:rPr/>
        <w:tab/>
      </w:r>
      <w:r>
        <w:rPr>
          <w:spacing w:val="-2"/>
        </w:rPr>
        <w:t>2118–7453</w:t>
      </w:r>
    </w:p>
    <w:p>
      <w:pPr>
        <w:pStyle w:val="BodyText"/>
        <w:spacing w:before="1"/>
        <w:ind w:left="503"/>
      </w:pPr>
      <w:r>
        <w:rPr>
          <w:spacing w:val="-2"/>
        </w:rPr>
        <w:t>&lt;</w:t>
      </w:r>
      <w:hyperlink r:id="rId13">
        <w:r>
          <w:rPr>
            <w:spacing w:val="-2"/>
          </w:rPr>
          <w:t>http://penajournal.com/index.php/PENANOMICS/article/view/151.&gt;</w:t>
        </w:r>
      </w:hyperlink>
    </w:p>
    <w:p>
      <w:pPr>
        <w:pStyle w:val="BodyText"/>
        <w:spacing w:before="161"/>
        <w:ind w:left="503" w:right="162" w:hanging="480"/>
        <w:jc w:val="both"/>
        <w:rPr>
          <w:i/>
        </w:rPr>
      </w:pPr>
      <w:r>
        <w:rPr/>
        <w:t>Mardiatmoko, Gun, ‘PENTINGNYA UJI ASUMSI KLASIK PADA ANALISIS REGRESI LINIER BERGANDA (STUDI KASUS PENYUSUNAN PERSAMAAN ALLOMETRIK</w:t>
      </w:r>
      <w:r>
        <w:rPr>
          <w:spacing w:val="1"/>
        </w:rPr>
        <w:t> </w:t>
      </w:r>
      <w:r>
        <w:rPr/>
        <w:t>KENARI</w:t>
      </w:r>
      <w:r>
        <w:rPr>
          <w:spacing w:val="1"/>
        </w:rPr>
        <w:t> </w:t>
      </w:r>
      <w:r>
        <w:rPr/>
        <w:t>MUDA</w:t>
      </w:r>
      <w:r>
        <w:rPr>
          <w:spacing w:val="4"/>
        </w:rPr>
        <w:t> </w:t>
      </w:r>
      <w:r>
        <w:rPr/>
        <w:t>[CANARIUM</w:t>
      </w:r>
      <w:r>
        <w:rPr>
          <w:spacing w:val="6"/>
        </w:rPr>
        <w:t> </w:t>
      </w:r>
      <w:r>
        <w:rPr/>
        <w:t>INDICUM</w:t>
      </w:r>
      <w:r>
        <w:rPr>
          <w:spacing w:val="3"/>
        </w:rPr>
        <w:t> </w:t>
      </w:r>
      <w:r>
        <w:rPr/>
        <w:t>L.])’,</w:t>
      </w:r>
      <w:r>
        <w:rPr>
          <w:spacing w:val="7"/>
        </w:rPr>
        <w:t> </w:t>
      </w:r>
      <w:r>
        <w:rPr>
          <w:i/>
        </w:rPr>
        <w:t>BAREKENG:</w:t>
      </w:r>
      <w:r>
        <w:rPr>
          <w:i/>
          <w:spacing w:val="4"/>
        </w:rPr>
        <w:t> </w:t>
      </w:r>
      <w:r>
        <w:rPr>
          <w:i/>
          <w:spacing w:val="-2"/>
        </w:rPr>
        <w:t>Jurnal</w:t>
      </w:r>
    </w:p>
    <w:p>
      <w:pPr>
        <w:tabs>
          <w:tab w:pos="1611" w:val="left" w:leader="none"/>
          <w:tab w:pos="3427" w:val="left" w:leader="none"/>
          <w:tab w:pos="4509" w:val="left" w:leader="none"/>
          <w:tab w:pos="6055" w:val="left" w:leader="none"/>
          <w:tab w:pos="6964" w:val="left" w:leader="none"/>
          <w:tab w:pos="9053" w:val="right" w:leader="none"/>
        </w:tabs>
        <w:spacing w:before="0"/>
        <w:ind w:left="503" w:right="0" w:firstLine="0"/>
        <w:jc w:val="left"/>
        <w:rPr>
          <w:sz w:val="24"/>
        </w:rPr>
      </w:pPr>
      <w:r>
        <w:rPr>
          <w:i/>
          <w:spacing w:val="-4"/>
          <w:sz w:val="24"/>
        </w:rPr>
        <w:t>Ilmu</w:t>
      </w:r>
      <w:r>
        <w:rPr>
          <w:i/>
          <w:sz w:val="24"/>
        </w:rPr>
        <w:tab/>
      </w:r>
      <w:r>
        <w:rPr>
          <w:i/>
          <w:spacing w:val="-2"/>
          <w:sz w:val="24"/>
        </w:rPr>
        <w:t>Matematika</w:t>
      </w:r>
      <w:r>
        <w:rPr>
          <w:i/>
          <w:sz w:val="24"/>
        </w:rPr>
        <w:tab/>
      </w:r>
      <w:r>
        <w:rPr>
          <w:i/>
          <w:spacing w:val="-5"/>
          <w:sz w:val="24"/>
        </w:rPr>
        <w:t>Dan</w:t>
      </w:r>
      <w:r>
        <w:rPr>
          <w:i/>
          <w:sz w:val="24"/>
        </w:rPr>
        <w:tab/>
      </w:r>
      <w:r>
        <w:rPr>
          <w:i/>
          <w:spacing w:val="-2"/>
          <w:sz w:val="24"/>
        </w:rPr>
        <w:t>Terapan</w:t>
      </w:r>
      <w:r>
        <w:rPr>
          <w:spacing w:val="-2"/>
          <w:sz w:val="24"/>
        </w:rPr>
        <w:t>,</w:t>
      </w:r>
      <w:r>
        <w:rPr>
          <w:sz w:val="24"/>
        </w:rPr>
        <w:tab/>
      </w:r>
      <w:r>
        <w:rPr>
          <w:spacing w:val="-5"/>
          <w:sz w:val="24"/>
        </w:rPr>
        <w:t>14</w:t>
      </w:r>
      <w:r>
        <w:rPr>
          <w:sz w:val="24"/>
        </w:rPr>
        <w:tab/>
      </w:r>
      <w:r>
        <w:rPr>
          <w:spacing w:val="-2"/>
          <w:sz w:val="24"/>
        </w:rPr>
        <w:t>(2020),</w:t>
      </w:r>
      <w:r>
        <w:rPr>
          <w:sz w:val="24"/>
        </w:rPr>
        <w:tab/>
      </w:r>
      <w:r>
        <w:rPr>
          <w:spacing w:val="-2"/>
          <w:sz w:val="24"/>
        </w:rPr>
        <w:t>333–42</w:t>
      </w:r>
    </w:p>
    <w:p>
      <w:pPr>
        <w:pStyle w:val="BodyText"/>
        <w:ind w:left="503"/>
      </w:pPr>
      <w:r>
        <w:rPr>
          <w:spacing w:val="-2"/>
        </w:rPr>
        <w:t>&lt;https://doi.org/10.30598/barekengvol14iss3pp333-</w:t>
      </w:r>
      <w:r>
        <w:rPr>
          <w:spacing w:val="-4"/>
        </w:rPr>
        <w:t>342&gt;</w:t>
      </w:r>
    </w:p>
    <w:p>
      <w:pPr>
        <w:pStyle w:val="BodyText"/>
        <w:spacing w:before="158"/>
        <w:ind w:left="23"/>
      </w:pPr>
      <w:r>
        <w:rPr/>
        <w:t>Martias,</w:t>
      </w:r>
      <w:r>
        <w:rPr>
          <w:spacing w:val="10"/>
        </w:rPr>
        <w:t> </w:t>
      </w:r>
      <w:r>
        <w:rPr/>
        <w:t>Lilih</w:t>
      </w:r>
      <w:r>
        <w:rPr>
          <w:spacing w:val="11"/>
        </w:rPr>
        <w:t> </w:t>
      </w:r>
      <w:r>
        <w:rPr/>
        <w:t>Deva,</w:t>
      </w:r>
      <w:r>
        <w:rPr>
          <w:spacing w:val="11"/>
        </w:rPr>
        <w:t> </w:t>
      </w:r>
      <w:r>
        <w:rPr/>
        <w:t>‘STATISTIKA</w:t>
      </w:r>
      <w:r>
        <w:rPr>
          <w:spacing w:val="10"/>
        </w:rPr>
        <w:t> </w:t>
      </w:r>
      <w:r>
        <w:rPr/>
        <w:t>DESKRIPTIF</w:t>
      </w:r>
      <w:r>
        <w:rPr>
          <w:spacing w:val="8"/>
        </w:rPr>
        <w:t> </w:t>
      </w:r>
      <w:r>
        <w:rPr/>
        <w:t>SEBAGAI</w:t>
      </w:r>
      <w:r>
        <w:rPr>
          <w:spacing w:val="8"/>
        </w:rPr>
        <w:t> </w:t>
      </w:r>
      <w:r>
        <w:rPr/>
        <w:t>KUMPULAN</w:t>
      </w:r>
      <w:r>
        <w:rPr>
          <w:spacing w:val="10"/>
        </w:rPr>
        <w:t> </w:t>
      </w:r>
      <w:r>
        <w:rPr>
          <w:spacing w:val="-2"/>
        </w:rPr>
        <w:t>INFORMASI’,</w:t>
      </w:r>
    </w:p>
    <w:p>
      <w:pPr>
        <w:tabs>
          <w:tab w:pos="1532" w:val="left" w:leader="none"/>
          <w:tab w:pos="2521" w:val="left" w:leader="none"/>
          <w:tab w:pos="3322" w:val="left" w:leader="none"/>
          <w:tab w:pos="5016" w:val="left" w:leader="none"/>
          <w:tab w:pos="5791" w:val="left" w:leader="none"/>
          <w:tab w:pos="7149" w:val="left" w:leader="none"/>
          <w:tab w:pos="7749" w:val="left" w:leader="none"/>
          <w:tab w:pos="9049" w:val="right" w:leader="none"/>
        </w:tabs>
        <w:spacing w:before="0"/>
        <w:ind w:left="503" w:right="0" w:firstLine="0"/>
        <w:jc w:val="left"/>
        <w:rPr>
          <w:sz w:val="24"/>
        </w:rPr>
      </w:pPr>
      <w:r>
        <w:rPr>
          <w:i/>
          <w:spacing w:val="-2"/>
          <w:sz w:val="24"/>
        </w:rPr>
        <w:t>Fihris:</w:t>
      </w:r>
      <w:r>
        <w:rPr>
          <w:i/>
          <w:sz w:val="24"/>
        </w:rPr>
        <w:tab/>
      </w:r>
      <w:r>
        <w:rPr>
          <w:i/>
          <w:spacing w:val="-2"/>
          <w:sz w:val="24"/>
        </w:rPr>
        <w:t>Jurnal</w:t>
      </w:r>
      <w:r>
        <w:rPr>
          <w:i/>
          <w:sz w:val="24"/>
        </w:rPr>
        <w:tab/>
      </w:r>
      <w:r>
        <w:rPr>
          <w:i/>
          <w:spacing w:val="-4"/>
          <w:sz w:val="24"/>
        </w:rPr>
        <w:t>Ilmu</w:t>
      </w:r>
      <w:r>
        <w:rPr>
          <w:i/>
          <w:sz w:val="24"/>
        </w:rPr>
        <w:tab/>
      </w:r>
      <w:r>
        <w:rPr>
          <w:i/>
          <w:spacing w:val="-2"/>
          <w:sz w:val="24"/>
        </w:rPr>
        <w:t>Perpustakaan</w:t>
      </w:r>
      <w:r>
        <w:rPr>
          <w:i/>
          <w:sz w:val="24"/>
        </w:rPr>
        <w:tab/>
      </w:r>
      <w:r>
        <w:rPr>
          <w:i/>
          <w:spacing w:val="-5"/>
          <w:sz w:val="24"/>
        </w:rPr>
        <w:t>Dan</w:t>
      </w:r>
      <w:r>
        <w:rPr>
          <w:i/>
          <w:sz w:val="24"/>
        </w:rPr>
        <w:tab/>
      </w:r>
      <w:r>
        <w:rPr>
          <w:i/>
          <w:spacing w:val="-2"/>
          <w:sz w:val="24"/>
        </w:rPr>
        <w:t>Informasi</w:t>
      </w:r>
      <w:r>
        <w:rPr>
          <w:spacing w:val="-2"/>
          <w:sz w:val="24"/>
        </w:rPr>
        <w:t>,</w:t>
      </w:r>
      <w:r>
        <w:rPr>
          <w:sz w:val="24"/>
        </w:rPr>
        <w:tab/>
      </w:r>
      <w:r>
        <w:rPr>
          <w:spacing w:val="-5"/>
          <w:sz w:val="24"/>
        </w:rPr>
        <w:t>16</w:t>
      </w:r>
      <w:r>
        <w:rPr>
          <w:sz w:val="24"/>
        </w:rPr>
        <w:tab/>
      </w:r>
      <w:r>
        <w:rPr>
          <w:spacing w:val="-2"/>
          <w:sz w:val="24"/>
        </w:rPr>
        <w:t>(2021),</w:t>
      </w:r>
      <w:r>
        <w:rPr>
          <w:sz w:val="24"/>
        </w:rPr>
        <w:tab/>
      </w:r>
      <w:r>
        <w:rPr>
          <w:spacing w:val="-5"/>
          <w:sz w:val="24"/>
        </w:rPr>
        <w:t>40</w:t>
      </w:r>
    </w:p>
    <w:p>
      <w:pPr>
        <w:pStyle w:val="BodyText"/>
        <w:ind w:left="503"/>
      </w:pPr>
      <w:r>
        <w:rPr>
          <w:spacing w:val="-2"/>
        </w:rPr>
        <w:t>&lt;https://doi.org/10.14421/fhrs.2021.161.40-</w:t>
      </w:r>
      <w:r>
        <w:rPr>
          <w:spacing w:val="-5"/>
        </w:rPr>
        <w:t>59&gt;</w:t>
      </w:r>
    </w:p>
    <w:p>
      <w:pPr>
        <w:pStyle w:val="BodyText"/>
        <w:spacing w:before="162"/>
        <w:ind w:right="165"/>
        <w:jc w:val="right"/>
      </w:pPr>
      <w:r>
        <w:rPr/>
        <w:t>Mashilal,</w:t>
      </w:r>
      <w:r>
        <w:rPr>
          <w:spacing w:val="-12"/>
        </w:rPr>
        <w:t> </w:t>
      </w:r>
      <w:r>
        <w:rPr/>
        <w:t>and</w:t>
      </w:r>
      <w:r>
        <w:rPr>
          <w:spacing w:val="-12"/>
        </w:rPr>
        <w:t> </w:t>
      </w:r>
      <w:r>
        <w:rPr/>
        <w:t>Rakhmat</w:t>
      </w:r>
      <w:r>
        <w:rPr>
          <w:spacing w:val="-11"/>
        </w:rPr>
        <w:t> </w:t>
      </w:r>
      <w:r>
        <w:rPr/>
        <w:t>Dwi</w:t>
      </w:r>
      <w:r>
        <w:rPr>
          <w:spacing w:val="-12"/>
        </w:rPr>
        <w:t> </w:t>
      </w:r>
      <w:r>
        <w:rPr/>
        <w:t>Pambudi,</w:t>
      </w:r>
      <w:r>
        <w:rPr>
          <w:spacing w:val="-11"/>
        </w:rPr>
        <w:t> </w:t>
      </w:r>
      <w:r>
        <w:rPr/>
        <w:t>‘Depreciation</w:t>
      </w:r>
      <w:r>
        <w:rPr>
          <w:spacing w:val="-12"/>
        </w:rPr>
        <w:t> </w:t>
      </w:r>
      <w:r>
        <w:rPr/>
        <w:t>and</w:t>
      </w:r>
      <w:r>
        <w:rPr>
          <w:spacing w:val="-12"/>
        </w:rPr>
        <w:t> </w:t>
      </w:r>
      <w:r>
        <w:rPr/>
        <w:t>Trade</w:t>
      </w:r>
      <w:r>
        <w:rPr>
          <w:spacing w:val="-12"/>
        </w:rPr>
        <w:t> </w:t>
      </w:r>
      <w:r>
        <w:rPr/>
        <w:t>Balance:</w:t>
      </w:r>
      <w:r>
        <w:rPr>
          <w:spacing w:val="-12"/>
        </w:rPr>
        <w:t> </w:t>
      </w:r>
      <w:r>
        <w:rPr/>
        <w:t>An</w:t>
      </w:r>
      <w:r>
        <w:rPr>
          <w:spacing w:val="-9"/>
        </w:rPr>
        <w:t> </w:t>
      </w:r>
      <w:r>
        <w:rPr/>
        <w:t>Exploration</w:t>
      </w:r>
      <w:r>
        <w:rPr>
          <w:spacing w:val="-12"/>
        </w:rPr>
        <w:t> </w:t>
      </w:r>
      <w:r>
        <w:rPr/>
        <w:t>of</w:t>
      </w:r>
      <w:r>
        <w:rPr>
          <w:spacing w:val="-12"/>
        </w:rPr>
        <w:t> </w:t>
      </w:r>
      <w:r>
        <w:rPr>
          <w:spacing w:val="-5"/>
        </w:rPr>
        <w:t>the</w:t>
      </w:r>
    </w:p>
    <w:p>
      <w:pPr>
        <w:spacing w:before="0"/>
        <w:ind w:left="0" w:right="161" w:firstLine="0"/>
        <w:jc w:val="right"/>
        <w:rPr>
          <w:sz w:val="24"/>
        </w:rPr>
      </w:pPr>
      <w:r>
        <w:rPr>
          <w:sz w:val="24"/>
        </w:rPr>
        <w:t>J-Curve</w:t>
      </w:r>
      <w:r>
        <w:rPr>
          <w:spacing w:val="-6"/>
          <w:sz w:val="24"/>
        </w:rPr>
        <w:t> </w:t>
      </w:r>
      <w:r>
        <w:rPr>
          <w:sz w:val="24"/>
        </w:rPr>
        <w:t>Phenomenon</w:t>
      </w:r>
      <w:r>
        <w:rPr>
          <w:spacing w:val="-4"/>
          <w:sz w:val="24"/>
        </w:rPr>
        <w:t> </w:t>
      </w:r>
      <w:r>
        <w:rPr>
          <w:sz w:val="24"/>
        </w:rPr>
        <w:t>in Indonesia’,</w:t>
      </w:r>
      <w:r>
        <w:rPr>
          <w:spacing w:val="-3"/>
          <w:sz w:val="24"/>
        </w:rPr>
        <w:t> </w:t>
      </w:r>
      <w:r>
        <w:rPr>
          <w:i/>
          <w:sz w:val="24"/>
        </w:rPr>
        <w:t>Signifikan:</w:t>
      </w:r>
      <w:r>
        <w:rPr>
          <w:i/>
          <w:spacing w:val="-4"/>
          <w:sz w:val="24"/>
        </w:rPr>
        <w:t> </w:t>
      </w:r>
      <w:r>
        <w:rPr>
          <w:i/>
          <w:sz w:val="24"/>
        </w:rPr>
        <w:t>Jurnal</w:t>
      </w:r>
      <w:r>
        <w:rPr>
          <w:i/>
          <w:spacing w:val="-3"/>
          <w:sz w:val="24"/>
        </w:rPr>
        <w:t> </w:t>
      </w:r>
      <w:r>
        <w:rPr>
          <w:i/>
          <w:sz w:val="24"/>
        </w:rPr>
        <w:t>Ilmu</w:t>
      </w:r>
      <w:r>
        <w:rPr>
          <w:i/>
          <w:spacing w:val="-4"/>
          <w:sz w:val="24"/>
        </w:rPr>
        <w:t> </w:t>
      </w:r>
      <w:r>
        <w:rPr>
          <w:i/>
          <w:sz w:val="24"/>
        </w:rPr>
        <w:t>Ekonomi</w:t>
      </w:r>
      <w:r>
        <w:rPr>
          <w:sz w:val="24"/>
        </w:rPr>
        <w:t>,</w:t>
      </w:r>
      <w:r>
        <w:rPr>
          <w:spacing w:val="-3"/>
          <w:sz w:val="24"/>
        </w:rPr>
        <w:t> </w:t>
      </w:r>
      <w:r>
        <w:rPr>
          <w:sz w:val="24"/>
        </w:rPr>
        <w:t>13</w:t>
      </w:r>
      <w:r>
        <w:rPr>
          <w:spacing w:val="-1"/>
          <w:sz w:val="24"/>
        </w:rPr>
        <w:t> </w:t>
      </w:r>
      <w:r>
        <w:rPr>
          <w:sz w:val="24"/>
        </w:rPr>
        <w:t>(2024),</w:t>
      </w:r>
      <w:r>
        <w:rPr>
          <w:spacing w:val="-4"/>
          <w:sz w:val="24"/>
        </w:rPr>
        <w:t> </w:t>
      </w:r>
      <w:r>
        <w:rPr>
          <w:spacing w:val="-2"/>
          <w:sz w:val="24"/>
        </w:rPr>
        <w:t>143–56</w:t>
      </w:r>
    </w:p>
    <w:p>
      <w:pPr>
        <w:pStyle w:val="BodyText"/>
        <w:ind w:left="503"/>
      </w:pPr>
      <w:r>
        <w:rPr>
          <w:spacing w:val="-2"/>
        </w:rPr>
        <w:t>&lt;https://doi.org/10.15408/sjie.v13i1.40972&gt;</w:t>
      </w:r>
    </w:p>
    <w:p>
      <w:pPr>
        <w:spacing w:before="161"/>
        <w:ind w:left="503" w:right="162" w:hanging="480"/>
        <w:jc w:val="both"/>
        <w:rPr>
          <w:i/>
          <w:sz w:val="24"/>
        </w:rPr>
      </w:pPr>
      <w:r>
        <w:rPr>
          <w:sz w:val="24"/>
        </w:rPr>
        <w:t>Maulana,</w:t>
      </w:r>
      <w:r>
        <w:rPr>
          <w:spacing w:val="-11"/>
          <w:sz w:val="24"/>
        </w:rPr>
        <w:t> </w:t>
      </w:r>
      <w:r>
        <w:rPr>
          <w:sz w:val="24"/>
        </w:rPr>
        <w:t>Alfin,</w:t>
      </w:r>
      <w:r>
        <w:rPr>
          <w:spacing w:val="-9"/>
          <w:sz w:val="24"/>
        </w:rPr>
        <w:t> </w:t>
      </w:r>
      <w:r>
        <w:rPr>
          <w:sz w:val="24"/>
        </w:rPr>
        <w:t>and</w:t>
      </w:r>
      <w:r>
        <w:rPr>
          <w:spacing w:val="-11"/>
          <w:sz w:val="24"/>
        </w:rPr>
        <w:t> </w:t>
      </w:r>
      <w:r>
        <w:rPr>
          <w:sz w:val="24"/>
        </w:rPr>
        <w:t>Yoan</w:t>
      </w:r>
      <w:r>
        <w:rPr>
          <w:spacing w:val="-11"/>
          <w:sz w:val="24"/>
        </w:rPr>
        <w:t> </w:t>
      </w:r>
      <w:r>
        <w:rPr>
          <w:sz w:val="24"/>
        </w:rPr>
        <w:t>Maris,</w:t>
      </w:r>
      <w:r>
        <w:rPr>
          <w:spacing w:val="-11"/>
          <w:sz w:val="24"/>
        </w:rPr>
        <w:t> </w:t>
      </w:r>
      <w:r>
        <w:rPr>
          <w:sz w:val="24"/>
        </w:rPr>
        <w:t>‘Pengaruh</w:t>
      </w:r>
      <w:r>
        <w:rPr>
          <w:spacing w:val="-7"/>
          <w:sz w:val="24"/>
        </w:rPr>
        <w:t> </w:t>
      </w:r>
      <w:r>
        <w:rPr>
          <w:sz w:val="24"/>
        </w:rPr>
        <w:t>Inflasi,</w:t>
      </w:r>
      <w:r>
        <w:rPr>
          <w:spacing w:val="-10"/>
          <w:sz w:val="24"/>
        </w:rPr>
        <w:t> </w:t>
      </w:r>
      <w:r>
        <w:rPr>
          <w:sz w:val="24"/>
        </w:rPr>
        <w:t>Nilai</w:t>
      </w:r>
      <w:r>
        <w:rPr>
          <w:spacing w:val="-11"/>
          <w:sz w:val="24"/>
        </w:rPr>
        <w:t> </w:t>
      </w:r>
      <w:r>
        <w:rPr>
          <w:sz w:val="24"/>
        </w:rPr>
        <w:t>Tukar,</w:t>
      </w:r>
      <w:r>
        <w:rPr>
          <w:spacing w:val="-11"/>
          <w:sz w:val="24"/>
        </w:rPr>
        <w:t> </w:t>
      </w:r>
      <w:r>
        <w:rPr>
          <w:sz w:val="24"/>
        </w:rPr>
        <w:t>Dan</w:t>
      </w:r>
      <w:r>
        <w:rPr>
          <w:spacing w:val="-11"/>
          <w:sz w:val="24"/>
        </w:rPr>
        <w:t> </w:t>
      </w:r>
      <w:r>
        <w:rPr>
          <w:sz w:val="24"/>
        </w:rPr>
        <w:t>Bi</w:t>
      </w:r>
      <w:r>
        <w:rPr>
          <w:spacing w:val="-10"/>
          <w:sz w:val="24"/>
        </w:rPr>
        <w:t> </w:t>
      </w:r>
      <w:r>
        <w:rPr>
          <w:sz w:val="24"/>
        </w:rPr>
        <w:t>Rate</w:t>
      </w:r>
      <w:r>
        <w:rPr>
          <w:spacing w:val="-11"/>
          <w:sz w:val="24"/>
        </w:rPr>
        <w:t> </w:t>
      </w:r>
      <w:r>
        <w:rPr>
          <w:sz w:val="24"/>
        </w:rPr>
        <w:t>Terhadap</w:t>
      </w:r>
      <w:r>
        <w:rPr>
          <w:spacing w:val="-8"/>
          <w:sz w:val="24"/>
        </w:rPr>
        <w:t> </w:t>
      </w:r>
      <w:r>
        <w:rPr>
          <w:sz w:val="24"/>
        </w:rPr>
        <w:t>Indeks Saham</w:t>
      </w:r>
      <w:r>
        <w:rPr>
          <w:spacing w:val="-16"/>
          <w:sz w:val="24"/>
        </w:rPr>
        <w:t> </w:t>
      </w:r>
      <w:r>
        <w:rPr>
          <w:sz w:val="24"/>
        </w:rPr>
        <w:t>Syariah</w:t>
      </w:r>
      <w:r>
        <w:rPr>
          <w:spacing w:val="-12"/>
          <w:sz w:val="24"/>
        </w:rPr>
        <w:t> </w:t>
      </w:r>
      <w:r>
        <w:rPr>
          <w:sz w:val="24"/>
        </w:rPr>
        <w:t>Indonesia</w:t>
      </w:r>
      <w:r>
        <w:rPr>
          <w:spacing w:val="-12"/>
          <w:sz w:val="24"/>
        </w:rPr>
        <w:t> </w:t>
      </w:r>
      <w:r>
        <w:rPr>
          <w:sz w:val="24"/>
        </w:rPr>
        <w:t>(Issi)’,</w:t>
      </w:r>
      <w:r>
        <w:rPr>
          <w:spacing w:val="-13"/>
          <w:sz w:val="24"/>
        </w:rPr>
        <w:t> </w:t>
      </w:r>
      <w:r>
        <w:rPr>
          <w:i/>
          <w:sz w:val="24"/>
        </w:rPr>
        <w:t>WORLDVIEW</w:t>
      </w:r>
      <w:r>
        <w:rPr>
          <w:i/>
          <w:spacing w:val="-15"/>
          <w:sz w:val="24"/>
        </w:rPr>
        <w:t> </w:t>
      </w:r>
      <w:r>
        <w:rPr>
          <w:i/>
          <w:sz w:val="24"/>
        </w:rPr>
        <w:t>(</w:t>
      </w:r>
      <w:r>
        <w:rPr>
          <w:i/>
          <w:spacing w:val="-12"/>
          <w:sz w:val="24"/>
        </w:rPr>
        <w:t> </w:t>
      </w:r>
      <w:r>
        <w:rPr>
          <w:i/>
          <w:sz w:val="24"/>
        </w:rPr>
        <w:t>Jurnal</w:t>
      </w:r>
      <w:r>
        <w:rPr>
          <w:i/>
          <w:spacing w:val="-14"/>
          <w:sz w:val="24"/>
        </w:rPr>
        <w:t> </w:t>
      </w:r>
      <w:r>
        <w:rPr>
          <w:i/>
          <w:sz w:val="24"/>
        </w:rPr>
        <w:t>Ekonomi</w:t>
      </w:r>
      <w:r>
        <w:rPr>
          <w:i/>
          <w:spacing w:val="-14"/>
          <w:sz w:val="24"/>
        </w:rPr>
        <w:t> </w:t>
      </w:r>
      <w:r>
        <w:rPr>
          <w:i/>
          <w:sz w:val="24"/>
        </w:rPr>
        <w:t>Bisnis</w:t>
      </w:r>
      <w:r>
        <w:rPr>
          <w:i/>
          <w:spacing w:val="-13"/>
          <w:sz w:val="24"/>
        </w:rPr>
        <w:t> </w:t>
      </w:r>
      <w:r>
        <w:rPr>
          <w:i/>
          <w:sz w:val="24"/>
        </w:rPr>
        <w:t>Dan</w:t>
      </w:r>
      <w:r>
        <w:rPr>
          <w:i/>
          <w:spacing w:val="-15"/>
          <w:sz w:val="24"/>
        </w:rPr>
        <w:t> </w:t>
      </w:r>
      <w:r>
        <w:rPr>
          <w:i/>
          <w:sz w:val="24"/>
        </w:rPr>
        <w:t>Sosial</w:t>
      </w:r>
      <w:r>
        <w:rPr>
          <w:i/>
          <w:spacing w:val="-13"/>
          <w:sz w:val="24"/>
        </w:rPr>
        <w:t> </w:t>
      </w:r>
      <w:r>
        <w:rPr>
          <w:i/>
          <w:spacing w:val="-2"/>
          <w:sz w:val="24"/>
        </w:rPr>
        <w:t>Sains</w:t>
      </w:r>
    </w:p>
    <w:p>
      <w:pPr>
        <w:pStyle w:val="BodyText"/>
        <w:ind w:left="503"/>
      </w:pPr>
      <w:r>
        <w:rPr>
          <w:i/>
        </w:rPr>
        <w:t>)</w:t>
      </w:r>
      <w:r>
        <w:rPr/>
        <w:t>,</w:t>
      </w:r>
      <w:r>
        <w:rPr>
          <w:spacing w:val="-1"/>
        </w:rPr>
        <w:t> </w:t>
      </w:r>
      <w:r>
        <w:rPr/>
        <w:t>1</w:t>
      </w:r>
      <w:r>
        <w:rPr>
          <w:spacing w:val="-1"/>
        </w:rPr>
        <w:t> </w:t>
      </w:r>
      <w:r>
        <w:rPr/>
        <w:t>(2022),</w:t>
      </w:r>
      <w:r>
        <w:rPr>
          <w:spacing w:val="-2"/>
        </w:rPr>
        <w:t> </w:t>
      </w:r>
      <w:r>
        <w:rPr/>
        <w:t>35–48 </w:t>
      </w:r>
      <w:r>
        <w:rPr>
          <w:spacing w:val="-2"/>
        </w:rPr>
        <w:t>&lt;https://doi.org/10.38156/worldview.v1i1.115&gt;</w:t>
      </w:r>
    </w:p>
    <w:p>
      <w:pPr>
        <w:pStyle w:val="BodyText"/>
        <w:spacing w:before="158"/>
        <w:ind w:left="503" w:right="162" w:hanging="480"/>
        <w:jc w:val="both"/>
      </w:pPr>
      <w:r>
        <w:rPr/>
        <w:t>Maulana, Yasir, Dikdik Harjadi, and Lia Kurniasih, ‘Pengaruh Faktor Mikroekonomi Dan Makroekonomi Terhadap Harga Saham Sektor Pertanian’, </w:t>
      </w:r>
      <w:r>
        <w:rPr>
          <w:i/>
        </w:rPr>
        <w:t>Bisnis-Net Jurnal Ekonomi Dan Bisnis</w:t>
      </w:r>
      <w:r>
        <w:rPr/>
        <w:t>, 6 (2023), 329–40 &lt;https://doi.org/10.46576/bn.v6i1.3051&gt;</w:t>
      </w:r>
    </w:p>
    <w:p>
      <w:pPr>
        <w:pStyle w:val="BodyText"/>
        <w:spacing w:before="161"/>
        <w:ind w:left="503" w:right="162" w:hanging="480"/>
        <w:jc w:val="both"/>
      </w:pPr>
      <w:r>
        <w:rPr/>
        <w:t>Muarif,</w:t>
      </w:r>
      <w:r>
        <w:rPr>
          <w:spacing w:val="-2"/>
        </w:rPr>
        <w:t> </w:t>
      </w:r>
      <w:r>
        <w:rPr/>
        <w:t>Ifan,</w:t>
      </w:r>
      <w:r>
        <w:rPr>
          <w:spacing w:val="-4"/>
        </w:rPr>
        <w:t> </w:t>
      </w:r>
      <w:r>
        <w:rPr/>
        <w:t>Nurul</w:t>
      </w:r>
      <w:r>
        <w:rPr>
          <w:spacing w:val="-4"/>
        </w:rPr>
        <w:t> </w:t>
      </w:r>
      <w:r>
        <w:rPr/>
        <w:t>Anwar,</w:t>
      </w:r>
      <w:r>
        <w:rPr>
          <w:spacing w:val="-4"/>
        </w:rPr>
        <w:t> </w:t>
      </w:r>
      <w:r>
        <w:rPr/>
        <w:t>and</w:t>
      </w:r>
      <w:r>
        <w:rPr>
          <w:spacing w:val="-4"/>
        </w:rPr>
        <w:t> </w:t>
      </w:r>
      <w:r>
        <w:rPr/>
        <w:t>Arintoko</w:t>
      </w:r>
      <w:r>
        <w:rPr>
          <w:spacing w:val="-4"/>
        </w:rPr>
        <w:t> </w:t>
      </w:r>
      <w:r>
        <w:rPr/>
        <w:t>Arintoko,</w:t>
      </w:r>
      <w:r>
        <w:rPr>
          <w:spacing w:val="-4"/>
        </w:rPr>
        <w:t> </w:t>
      </w:r>
      <w:r>
        <w:rPr/>
        <w:t>‘Pengaruh</w:t>
      </w:r>
      <w:r>
        <w:rPr>
          <w:spacing w:val="-3"/>
        </w:rPr>
        <w:t> </w:t>
      </w:r>
      <w:r>
        <w:rPr/>
        <w:t>Indeks</w:t>
      </w:r>
      <w:r>
        <w:rPr>
          <w:spacing w:val="-5"/>
        </w:rPr>
        <w:t> </w:t>
      </w:r>
      <w:r>
        <w:rPr/>
        <w:t>Produksi</w:t>
      </w:r>
      <w:r>
        <w:rPr>
          <w:spacing w:val="-4"/>
        </w:rPr>
        <w:t> </w:t>
      </w:r>
      <w:r>
        <w:rPr/>
        <w:t>Industri,</w:t>
      </w:r>
      <w:r>
        <w:rPr>
          <w:spacing w:val="-4"/>
        </w:rPr>
        <w:t> </w:t>
      </w:r>
      <w:r>
        <w:rPr/>
        <w:t>Suku Bunga</w:t>
      </w:r>
      <w:r>
        <w:rPr>
          <w:spacing w:val="-15"/>
        </w:rPr>
        <w:t> </w:t>
      </w:r>
      <w:r>
        <w:rPr/>
        <w:t>Dan</w:t>
      </w:r>
      <w:r>
        <w:rPr>
          <w:spacing w:val="-14"/>
        </w:rPr>
        <w:t> </w:t>
      </w:r>
      <w:r>
        <w:rPr/>
        <w:t>Kurs</w:t>
      </w:r>
      <w:r>
        <w:rPr>
          <w:spacing w:val="-14"/>
        </w:rPr>
        <w:t> </w:t>
      </w:r>
      <w:r>
        <w:rPr/>
        <w:t>Terhadap</w:t>
      </w:r>
      <w:r>
        <w:rPr>
          <w:spacing w:val="-14"/>
        </w:rPr>
        <w:t> </w:t>
      </w:r>
      <w:r>
        <w:rPr/>
        <w:t>Indeks</w:t>
      </w:r>
      <w:r>
        <w:rPr>
          <w:spacing w:val="-14"/>
        </w:rPr>
        <w:t> </w:t>
      </w:r>
      <w:r>
        <w:rPr/>
        <w:t>Harga</w:t>
      </w:r>
      <w:r>
        <w:rPr>
          <w:spacing w:val="-15"/>
        </w:rPr>
        <w:t> </w:t>
      </w:r>
      <w:r>
        <w:rPr/>
        <w:t>Saham</w:t>
      </w:r>
      <w:r>
        <w:rPr>
          <w:spacing w:val="-14"/>
        </w:rPr>
        <w:t> </w:t>
      </w:r>
      <w:r>
        <w:rPr/>
        <w:t>Syariah</w:t>
      </w:r>
      <w:r>
        <w:rPr>
          <w:spacing w:val="-14"/>
        </w:rPr>
        <w:t> </w:t>
      </w:r>
      <w:r>
        <w:rPr/>
        <w:t>Jakarta</w:t>
      </w:r>
      <w:r>
        <w:rPr>
          <w:spacing w:val="-13"/>
        </w:rPr>
        <w:t> </w:t>
      </w:r>
      <w:r>
        <w:rPr/>
        <w:t>Islamic</w:t>
      </w:r>
      <w:r>
        <w:rPr>
          <w:spacing w:val="-12"/>
        </w:rPr>
        <w:t> </w:t>
      </w:r>
      <w:r>
        <w:rPr/>
        <w:t>Index’,</w:t>
      </w:r>
      <w:r>
        <w:rPr>
          <w:spacing w:val="-12"/>
        </w:rPr>
        <w:t> </w:t>
      </w:r>
      <w:r>
        <w:rPr>
          <w:i/>
        </w:rPr>
        <w:t>El-Jizya</w:t>
      </w:r>
      <w:r>
        <w:rPr>
          <w:i/>
          <w:spacing w:val="-15"/>
        </w:rPr>
        <w:t> </w:t>
      </w:r>
      <w:r>
        <w:rPr>
          <w:i/>
        </w:rPr>
        <w:t>: Jurnal Ekonomi Islam</w:t>
      </w:r>
      <w:r>
        <w:rPr/>
        <w:t>, 12 (2024), 203–20 &lt;https://doi.org/10.24090/ej.v12i2.11411&gt;</w:t>
      </w:r>
    </w:p>
    <w:p>
      <w:pPr>
        <w:pStyle w:val="BodyText"/>
        <w:tabs>
          <w:tab w:pos="2072" w:val="left" w:leader="none"/>
          <w:tab w:pos="3870" w:val="left" w:leader="none"/>
          <w:tab w:pos="5620" w:val="left" w:leader="none"/>
          <w:tab w:pos="6683" w:val="left" w:leader="none"/>
          <w:tab w:pos="8326" w:val="left" w:leader="none"/>
        </w:tabs>
        <w:spacing w:before="159"/>
        <w:ind w:left="503" w:right="160" w:hanging="480"/>
        <w:jc w:val="both"/>
      </w:pPr>
      <w:r>
        <w:rPr/>
        <w:t>Multazam, Agung, ‘Analisis Dampak Suku Bunga SBI, Inflasi, Serta Pertumbuhan Ekonomi Terhadap Return Saham Syariah Pada Jakarta Islamic Index Indonesia’, </w:t>
      </w:r>
      <w:r>
        <w:rPr>
          <w:i/>
        </w:rPr>
        <w:t>Iqtishodia: </w:t>
      </w:r>
      <w:r>
        <w:rPr>
          <w:i/>
          <w:spacing w:val="-2"/>
        </w:rPr>
        <w:t>Jurnal</w:t>
      </w:r>
      <w:r>
        <w:rPr>
          <w:i/>
        </w:rPr>
        <w:tab/>
      </w:r>
      <w:r>
        <w:rPr>
          <w:i/>
          <w:spacing w:val="-2"/>
        </w:rPr>
        <w:t>Ekonomi</w:t>
      </w:r>
      <w:r>
        <w:rPr>
          <w:i/>
        </w:rPr>
        <w:tab/>
      </w:r>
      <w:r>
        <w:rPr>
          <w:i/>
          <w:spacing w:val="-2"/>
        </w:rPr>
        <w:t>Syariah</w:t>
      </w:r>
      <w:r>
        <w:rPr>
          <w:spacing w:val="-2"/>
        </w:rPr>
        <w:t>,</w:t>
      </w:r>
      <w:r>
        <w:rPr/>
        <w:tab/>
      </w:r>
      <w:r>
        <w:rPr>
          <w:spacing w:val="-10"/>
        </w:rPr>
        <w:t>3</w:t>
      </w:r>
      <w:r>
        <w:rPr/>
        <w:tab/>
      </w:r>
      <w:r>
        <w:rPr>
          <w:spacing w:val="-2"/>
        </w:rPr>
        <w:t>(2018),</w:t>
      </w:r>
      <w:r>
        <w:rPr/>
        <w:tab/>
      </w:r>
      <w:r>
        <w:rPr>
          <w:spacing w:val="-2"/>
        </w:rPr>
        <w:t>132–51</w:t>
      </w:r>
    </w:p>
    <w:p>
      <w:pPr>
        <w:pStyle w:val="BodyText"/>
        <w:ind w:left="503"/>
      </w:pPr>
      <w:r>
        <w:rPr>
          <w:spacing w:val="-2"/>
        </w:rPr>
        <w:t>&lt;https://doi.org/10.35897/iqtishodia.v3i2.218&gt;</w:t>
      </w:r>
    </w:p>
    <w:p>
      <w:pPr>
        <w:spacing w:before="161"/>
        <w:ind w:left="503" w:right="163" w:hanging="480"/>
        <w:jc w:val="both"/>
        <w:rPr>
          <w:sz w:val="24"/>
        </w:rPr>
      </w:pPr>
      <w:r>
        <w:rPr>
          <w:sz w:val="24"/>
        </w:rPr>
        <w:t>Mulyati, Eli, M. Rosihan Arsyad, Suryaningsih, Sri Maryati, and Leni Gustina, </w:t>
      </w:r>
      <w:r>
        <w:rPr>
          <w:i/>
          <w:sz w:val="24"/>
        </w:rPr>
        <w:t>Pengantar SPSS: Teori, Implementasi Dan Interpretasi </w:t>
      </w:r>
      <w:r>
        <w:rPr>
          <w:sz w:val="24"/>
        </w:rPr>
        <w:t>(Padang: CV. Gita Lentera, 2024)</w:t>
      </w:r>
    </w:p>
    <w:p>
      <w:pPr>
        <w:pStyle w:val="BodyText"/>
        <w:spacing w:before="161"/>
        <w:ind w:left="503" w:right="158" w:hanging="480"/>
        <w:jc w:val="both"/>
      </w:pPr>
      <w:r>
        <w:rPr/>
        <w:t>Muzahid, Mukhlisul, Nanang Prihatin, Lukman Lukman, and Rozatul Fitria, ‘Analisa Pengaruh Nilai Tukar, Inflasi, Suku Bunga Dan Sertifikat Bank Indonesia Syariah Terhadap Indeks Saham Syariah Indonesia’, </w:t>
      </w:r>
      <w:r>
        <w:rPr>
          <w:i/>
        </w:rPr>
        <w:t>Ekonis: Jurnal Ekonomi Dan Bisnis</w:t>
      </w:r>
      <w:r>
        <w:rPr/>
        <w:t>, 24 (2023) &lt;https://doi.org/10.30811/ekonis.v24i2.3637&gt;</w:t>
      </w:r>
    </w:p>
    <w:p>
      <w:pPr>
        <w:pStyle w:val="BodyText"/>
        <w:spacing w:before="159"/>
        <w:ind w:left="503" w:right="164" w:hanging="480"/>
        <w:jc w:val="both"/>
      </w:pPr>
      <w:r>
        <w:rPr/>
        <w:t>Nabiilah, Irfani Azzah, Ulil Hartono, and Nadia Asandimitra Haryono, ‘Analisis Kointegrasi Indeks</w:t>
      </w:r>
      <w:r>
        <w:rPr>
          <w:spacing w:val="-10"/>
        </w:rPr>
        <w:t> </w:t>
      </w:r>
      <w:r>
        <w:rPr/>
        <w:t>Saham</w:t>
      </w:r>
      <w:r>
        <w:rPr>
          <w:spacing w:val="-8"/>
        </w:rPr>
        <w:t> </w:t>
      </w:r>
      <w:r>
        <w:rPr/>
        <w:t>Filipina</w:t>
      </w:r>
      <w:r>
        <w:rPr>
          <w:spacing w:val="-12"/>
        </w:rPr>
        <w:t> </w:t>
      </w:r>
      <w:r>
        <w:rPr/>
        <w:t>PSEI,</w:t>
      </w:r>
      <w:r>
        <w:rPr>
          <w:spacing w:val="-8"/>
        </w:rPr>
        <w:t> </w:t>
      </w:r>
      <w:r>
        <w:rPr/>
        <w:t>Indeks</w:t>
      </w:r>
      <w:r>
        <w:rPr>
          <w:spacing w:val="-10"/>
        </w:rPr>
        <w:t> </w:t>
      </w:r>
      <w:r>
        <w:rPr/>
        <w:t>Saham</w:t>
      </w:r>
      <w:r>
        <w:rPr>
          <w:spacing w:val="-10"/>
        </w:rPr>
        <w:t> </w:t>
      </w:r>
      <w:r>
        <w:rPr/>
        <w:t>Malaysia</w:t>
      </w:r>
      <w:r>
        <w:rPr>
          <w:spacing w:val="-11"/>
        </w:rPr>
        <w:t> </w:t>
      </w:r>
      <w:r>
        <w:rPr/>
        <w:t>KLCI,</w:t>
      </w:r>
      <w:r>
        <w:rPr>
          <w:spacing w:val="-8"/>
        </w:rPr>
        <w:t> </w:t>
      </w:r>
      <w:r>
        <w:rPr/>
        <w:t>Indeks</w:t>
      </w:r>
      <w:r>
        <w:rPr>
          <w:spacing w:val="-10"/>
        </w:rPr>
        <w:t> </w:t>
      </w:r>
      <w:r>
        <w:rPr/>
        <w:t>Saham</w:t>
      </w:r>
      <w:r>
        <w:rPr>
          <w:spacing w:val="-10"/>
        </w:rPr>
        <w:t> </w:t>
      </w:r>
      <w:r>
        <w:rPr/>
        <w:t>AS</w:t>
      </w:r>
      <w:r>
        <w:rPr>
          <w:spacing w:val="-10"/>
        </w:rPr>
        <w:t> </w:t>
      </w:r>
      <w:r>
        <w:rPr/>
        <w:t>DJIA</w:t>
      </w:r>
      <w:r>
        <w:rPr>
          <w:spacing w:val="-11"/>
        </w:rPr>
        <w:t> </w:t>
      </w:r>
      <w:r>
        <w:rPr/>
        <w:t>Dan Variabel Makroekonomi Dengan IHSG’, </w:t>
      </w:r>
      <w:r>
        <w:rPr>
          <w:i/>
        </w:rPr>
        <w:t>Jurnal Ilmiah Manajemen, Ekonomi, &amp; Akuntansi (MEA)</w:t>
      </w:r>
      <w:r>
        <w:rPr/>
        <w:t>, 8 (2024), 528–57 &lt;https://doi.org/10.31955/mea.v8i1.3740&gt;</w:t>
      </w:r>
    </w:p>
    <w:p>
      <w:pPr>
        <w:pStyle w:val="BodyText"/>
        <w:spacing w:before="161"/>
        <w:ind w:left="503" w:right="160" w:hanging="480"/>
        <w:jc w:val="both"/>
      </w:pPr>
      <w:r>
        <w:rPr/>
        <w:t>Nasution,</w:t>
      </w:r>
      <w:r>
        <w:rPr>
          <w:spacing w:val="-13"/>
        </w:rPr>
        <w:t> </w:t>
      </w:r>
      <w:r>
        <w:rPr/>
        <w:t>Soibatul</w:t>
      </w:r>
      <w:r>
        <w:rPr>
          <w:spacing w:val="-13"/>
        </w:rPr>
        <w:t> </w:t>
      </w:r>
      <w:r>
        <w:rPr/>
        <w:t>Aslamia,</w:t>
      </w:r>
      <w:r>
        <w:rPr>
          <w:spacing w:val="-13"/>
        </w:rPr>
        <w:t> </w:t>
      </w:r>
      <w:r>
        <w:rPr/>
        <w:t>Aida</w:t>
      </w:r>
      <w:r>
        <w:rPr>
          <w:spacing w:val="-12"/>
        </w:rPr>
        <w:t> </w:t>
      </w:r>
      <w:r>
        <w:rPr/>
        <w:t>Lasmi,</w:t>
      </w:r>
      <w:r>
        <w:rPr>
          <w:spacing w:val="-13"/>
        </w:rPr>
        <w:t> </w:t>
      </w:r>
      <w:r>
        <w:rPr/>
        <w:t>Purnama</w:t>
      </w:r>
      <w:r>
        <w:rPr>
          <w:spacing w:val="-9"/>
        </w:rPr>
        <w:t> </w:t>
      </w:r>
      <w:r>
        <w:rPr/>
        <w:t>Ramadani</w:t>
      </w:r>
      <w:r>
        <w:rPr>
          <w:spacing w:val="-13"/>
        </w:rPr>
        <w:t> </w:t>
      </w:r>
      <w:r>
        <w:rPr/>
        <w:t>Silalahi,</w:t>
      </w:r>
      <w:r>
        <w:rPr>
          <w:spacing w:val="-13"/>
        </w:rPr>
        <w:t> </w:t>
      </w:r>
      <w:r>
        <w:rPr/>
        <w:t>and</w:t>
      </w:r>
      <w:r>
        <w:rPr>
          <w:spacing w:val="-11"/>
        </w:rPr>
        <w:t> </w:t>
      </w:r>
      <w:r>
        <w:rPr/>
        <w:t>Armando</w:t>
      </w:r>
      <w:r>
        <w:rPr>
          <w:spacing w:val="-13"/>
        </w:rPr>
        <w:t> </w:t>
      </w:r>
      <w:r>
        <w:rPr/>
        <w:t>Nasution, ‘Efektivitas Galeri Investasi Syariah Bursa Efek Indonesia (GIS BEI) UINSU Medan Dalam Meningkatkan Literasi Pasar Modal’, </w:t>
      </w:r>
      <w:r>
        <w:rPr>
          <w:i/>
        </w:rPr>
        <w:t>El-Mal: Jurnal Kajian Ekonomi &amp; Bisnis Islam</w:t>
      </w:r>
      <w:r>
        <w:rPr/>
        <w:t>, 4 (2023), 548–59 &lt;https://doi.org/10.47467/elmal.v4i3.1931&gt;</w:t>
      </w:r>
    </w:p>
    <w:p>
      <w:pPr>
        <w:pStyle w:val="BodyText"/>
        <w:spacing w:before="160"/>
        <w:ind w:right="169"/>
        <w:jc w:val="right"/>
      </w:pPr>
      <w:r>
        <w:rPr/>
        <w:t>Nugraha,</w:t>
      </w:r>
      <w:r>
        <w:rPr>
          <w:spacing w:val="1"/>
        </w:rPr>
        <w:t> </w:t>
      </w:r>
      <w:r>
        <w:rPr/>
        <w:t>Handy,</w:t>
      </w:r>
      <w:r>
        <w:rPr>
          <w:spacing w:val="4"/>
        </w:rPr>
        <w:t> </w:t>
      </w:r>
      <w:r>
        <w:rPr/>
        <w:t>Lukman</w:t>
      </w:r>
      <w:r>
        <w:rPr>
          <w:spacing w:val="2"/>
        </w:rPr>
        <w:t> </w:t>
      </w:r>
      <w:r>
        <w:rPr/>
        <w:t>Hakim,</w:t>
      </w:r>
      <w:r>
        <w:rPr>
          <w:spacing w:val="2"/>
        </w:rPr>
        <w:t> </w:t>
      </w:r>
      <w:r>
        <w:rPr/>
        <w:t>and</w:t>
      </w:r>
      <w:r>
        <w:rPr>
          <w:spacing w:val="4"/>
        </w:rPr>
        <w:t> </w:t>
      </w:r>
      <w:r>
        <w:rPr/>
        <w:t>Dwi</w:t>
      </w:r>
      <w:r>
        <w:rPr>
          <w:spacing w:val="3"/>
        </w:rPr>
        <w:t> </w:t>
      </w:r>
      <w:r>
        <w:rPr/>
        <w:t>Prasetyani,</w:t>
      </w:r>
      <w:r>
        <w:rPr>
          <w:spacing w:val="2"/>
        </w:rPr>
        <w:t> </w:t>
      </w:r>
      <w:r>
        <w:rPr/>
        <w:t>‘Analisis</w:t>
      </w:r>
      <w:r>
        <w:rPr>
          <w:spacing w:val="3"/>
        </w:rPr>
        <w:t> </w:t>
      </w:r>
      <w:r>
        <w:rPr/>
        <w:t>Pengaruh</w:t>
      </w:r>
      <w:r>
        <w:rPr>
          <w:spacing w:val="4"/>
        </w:rPr>
        <w:t> </w:t>
      </w:r>
      <w:r>
        <w:rPr/>
        <w:t>Indeks</w:t>
      </w:r>
      <w:r>
        <w:rPr>
          <w:spacing w:val="2"/>
        </w:rPr>
        <w:t> </w:t>
      </w:r>
      <w:r>
        <w:rPr>
          <w:spacing w:val="-2"/>
        </w:rPr>
        <w:t>Keyakinan</w:t>
      </w:r>
    </w:p>
    <w:p>
      <w:pPr>
        <w:pStyle w:val="BodyText"/>
        <w:spacing w:after="0"/>
        <w:jc w:val="right"/>
        <w:sectPr>
          <w:pgSz w:w="11910" w:h="16840"/>
          <w:pgMar w:header="0" w:footer="1000" w:top="1360" w:bottom="1200" w:left="1417" w:right="1275"/>
        </w:sectPr>
      </w:pPr>
    </w:p>
    <w:p>
      <w:pPr>
        <w:spacing w:before="60"/>
        <w:ind w:left="503" w:right="0" w:firstLine="0"/>
        <w:jc w:val="left"/>
        <w:rPr>
          <w:sz w:val="24"/>
        </w:rPr>
      </w:pPr>
      <w:r>
        <w:rPr>
          <w:sz w:val="24"/>
        </w:rPr>
        <w:t>Konsumen</w:t>
      </w:r>
      <w:r>
        <w:rPr>
          <w:spacing w:val="-5"/>
          <w:sz w:val="24"/>
        </w:rPr>
        <w:t> </w:t>
      </w:r>
      <w:r>
        <w:rPr>
          <w:sz w:val="24"/>
        </w:rPr>
        <w:t>,</w:t>
      </w:r>
      <w:r>
        <w:rPr>
          <w:spacing w:val="-4"/>
          <w:sz w:val="24"/>
        </w:rPr>
        <w:t> </w:t>
      </w:r>
      <w:r>
        <w:rPr>
          <w:sz w:val="24"/>
        </w:rPr>
        <w:t>Suku</w:t>
      </w:r>
      <w:r>
        <w:rPr>
          <w:spacing w:val="-4"/>
          <w:sz w:val="24"/>
        </w:rPr>
        <w:t> </w:t>
      </w:r>
      <w:r>
        <w:rPr>
          <w:sz w:val="24"/>
        </w:rPr>
        <w:t>Bunga</w:t>
      </w:r>
      <w:r>
        <w:rPr>
          <w:spacing w:val="-5"/>
          <w:sz w:val="24"/>
        </w:rPr>
        <w:t> </w:t>
      </w:r>
      <w:r>
        <w:rPr>
          <w:sz w:val="24"/>
        </w:rPr>
        <w:t>,</w:t>
      </w:r>
      <w:r>
        <w:rPr>
          <w:spacing w:val="-4"/>
          <w:sz w:val="24"/>
        </w:rPr>
        <w:t> </w:t>
      </w:r>
      <w:r>
        <w:rPr>
          <w:sz w:val="24"/>
        </w:rPr>
        <w:t>Dan</w:t>
      </w:r>
      <w:r>
        <w:rPr>
          <w:spacing w:val="-2"/>
          <w:sz w:val="24"/>
        </w:rPr>
        <w:t> </w:t>
      </w:r>
      <w:r>
        <w:rPr>
          <w:sz w:val="24"/>
        </w:rPr>
        <w:t>IHSG</w:t>
      </w:r>
      <w:r>
        <w:rPr>
          <w:spacing w:val="-5"/>
          <w:sz w:val="24"/>
        </w:rPr>
        <w:t> </w:t>
      </w:r>
      <w:r>
        <w:rPr>
          <w:sz w:val="24"/>
        </w:rPr>
        <w:t>Terhadap</w:t>
      </w:r>
      <w:r>
        <w:rPr>
          <w:spacing w:val="-2"/>
          <w:sz w:val="24"/>
        </w:rPr>
        <w:t> </w:t>
      </w:r>
      <w:r>
        <w:rPr>
          <w:sz w:val="24"/>
        </w:rPr>
        <w:t>Industr</w:t>
      </w:r>
      <w:r>
        <w:rPr>
          <w:spacing w:val="-4"/>
          <w:sz w:val="24"/>
        </w:rPr>
        <w:t> </w:t>
      </w:r>
      <w:r>
        <w:rPr>
          <w:sz w:val="24"/>
        </w:rPr>
        <w:t>Reksadana</w:t>
      </w:r>
      <w:r>
        <w:rPr>
          <w:spacing w:val="-3"/>
          <w:sz w:val="24"/>
        </w:rPr>
        <w:t> </w:t>
      </w:r>
      <w:r>
        <w:rPr>
          <w:sz w:val="24"/>
        </w:rPr>
        <w:t>Indonesia’,</w:t>
      </w:r>
      <w:r>
        <w:rPr>
          <w:spacing w:val="-1"/>
          <w:sz w:val="24"/>
        </w:rPr>
        <w:t> </w:t>
      </w:r>
      <w:r>
        <w:rPr>
          <w:i/>
          <w:sz w:val="24"/>
        </w:rPr>
        <w:t>Prosiding Seminar Nasional Fakultas Ekonomi Untidar</w:t>
      </w:r>
      <w:r>
        <w:rPr>
          <w:sz w:val="24"/>
        </w:rPr>
        <w:t>, 2021, 33–40</w:t>
      </w:r>
    </w:p>
    <w:p>
      <w:pPr>
        <w:pStyle w:val="BodyText"/>
        <w:spacing w:before="162"/>
        <w:ind w:left="503" w:right="161" w:hanging="480"/>
        <w:jc w:val="both"/>
      </w:pPr>
      <w:r>
        <w:rPr/>
        <w:t>Nugroho, Rikho, Riyanti Riyanti, and Andry Priharta, ‘Pengaruh Inflasi, Nilai Tukar Mata Uang, Debt to Equity Ratio, Dan Return On Assets Terhadap Return Saham Perusahaan Transportasi Di Bursa Efek Indonesia’, </w:t>
      </w:r>
      <w:r>
        <w:rPr>
          <w:i/>
        </w:rPr>
        <w:t>Jurnal Muhammadiyah Manajemen Bisnis</w:t>
      </w:r>
      <w:r>
        <w:rPr/>
        <w:t>, 4 (2023), 7 &lt;https://doi.org/10.24853/jmmb.4.1.7-18&gt;</w:t>
      </w:r>
    </w:p>
    <w:p>
      <w:pPr>
        <w:spacing w:before="158"/>
        <w:ind w:left="503" w:right="161" w:hanging="480"/>
        <w:jc w:val="both"/>
        <w:rPr>
          <w:sz w:val="24"/>
        </w:rPr>
      </w:pPr>
      <w:r>
        <w:rPr>
          <w:sz w:val="24"/>
        </w:rPr>
        <w:t>Nur Wulan, Anyta, ‘Analisis Pengaruh Indikator Makroekonomi Terhadap Indeks Harga Saham Syariah Di Indonesia Tahun 2011-2020’, </w:t>
      </w:r>
      <w:r>
        <w:rPr>
          <w:i/>
          <w:sz w:val="24"/>
        </w:rPr>
        <w:t>Syi`ar Iqtishadi</w:t>
      </w:r>
      <w:r>
        <w:rPr>
          <w:i/>
          <w:spacing w:val="-14"/>
          <w:sz w:val="24"/>
        </w:rPr>
        <w:t> </w:t>
      </w:r>
      <w:r>
        <w:rPr>
          <w:i/>
          <w:sz w:val="24"/>
        </w:rPr>
        <w:t>: Journal of Islamic Economics,</w:t>
      </w:r>
      <w:r>
        <w:rPr>
          <w:i/>
          <w:spacing w:val="-15"/>
          <w:sz w:val="24"/>
        </w:rPr>
        <w:t> </w:t>
      </w:r>
      <w:r>
        <w:rPr>
          <w:i/>
          <w:sz w:val="24"/>
        </w:rPr>
        <w:t>Finance</w:t>
      </w:r>
      <w:r>
        <w:rPr>
          <w:i/>
          <w:spacing w:val="-12"/>
          <w:sz w:val="24"/>
        </w:rPr>
        <w:t> </w:t>
      </w:r>
      <w:r>
        <w:rPr>
          <w:i/>
          <w:sz w:val="24"/>
        </w:rPr>
        <w:t>and</w:t>
      </w:r>
      <w:r>
        <w:rPr>
          <w:i/>
          <w:spacing w:val="-12"/>
          <w:sz w:val="24"/>
        </w:rPr>
        <w:t> </w:t>
      </w:r>
      <w:r>
        <w:rPr>
          <w:i/>
          <w:sz w:val="24"/>
        </w:rPr>
        <w:t>Banking</w:t>
      </w:r>
      <w:r>
        <w:rPr>
          <w:sz w:val="24"/>
        </w:rPr>
        <w:t>,</w:t>
      </w:r>
      <w:r>
        <w:rPr>
          <w:spacing w:val="-13"/>
          <w:sz w:val="24"/>
        </w:rPr>
        <w:t> </w:t>
      </w:r>
      <w:r>
        <w:rPr>
          <w:sz w:val="24"/>
        </w:rPr>
        <w:t>4</w:t>
      </w:r>
      <w:r>
        <w:rPr>
          <w:spacing w:val="-13"/>
          <w:sz w:val="24"/>
        </w:rPr>
        <w:t> </w:t>
      </w:r>
      <w:r>
        <w:rPr>
          <w:sz w:val="24"/>
        </w:rPr>
        <w:t>(2020),</w:t>
      </w:r>
      <w:r>
        <w:rPr>
          <w:spacing w:val="-13"/>
          <w:sz w:val="24"/>
        </w:rPr>
        <w:t> </w:t>
      </w:r>
      <w:r>
        <w:rPr>
          <w:sz w:val="24"/>
        </w:rPr>
        <w:t>59</w:t>
      </w:r>
      <w:r>
        <w:rPr>
          <w:spacing w:val="-13"/>
          <w:sz w:val="24"/>
        </w:rPr>
        <w:t> </w:t>
      </w:r>
      <w:r>
        <w:rPr>
          <w:spacing w:val="-2"/>
          <w:sz w:val="24"/>
        </w:rPr>
        <w:t>&lt;https://doi.org/10.35448/jiec.v4i2.9844&gt;</w:t>
      </w:r>
    </w:p>
    <w:p>
      <w:pPr>
        <w:pStyle w:val="BodyText"/>
        <w:spacing w:before="161"/>
        <w:ind w:left="503" w:right="164" w:hanging="480"/>
        <w:jc w:val="both"/>
      </w:pPr>
      <w:r>
        <w:rPr/>
        <w:t>Nurhaswinda,</w:t>
      </w:r>
      <w:r>
        <w:rPr>
          <w:spacing w:val="-7"/>
        </w:rPr>
        <w:t> </w:t>
      </w:r>
      <w:r>
        <w:rPr/>
        <w:t>Aklilah</w:t>
      </w:r>
      <w:r>
        <w:rPr>
          <w:spacing w:val="-7"/>
        </w:rPr>
        <w:t> </w:t>
      </w:r>
      <w:r>
        <w:rPr/>
        <w:t>Zulkifli,</w:t>
      </w:r>
      <w:r>
        <w:rPr>
          <w:spacing w:val="-7"/>
        </w:rPr>
        <w:t> </w:t>
      </w:r>
      <w:r>
        <w:rPr/>
        <w:t>Juita</w:t>
      </w:r>
      <w:r>
        <w:rPr>
          <w:spacing w:val="-8"/>
        </w:rPr>
        <w:t> </w:t>
      </w:r>
      <w:r>
        <w:rPr/>
        <w:t>Gusniati,</w:t>
      </w:r>
      <w:r>
        <w:rPr>
          <w:spacing w:val="-9"/>
        </w:rPr>
        <w:t> </w:t>
      </w:r>
      <w:r>
        <w:rPr/>
        <w:t>Marshella</w:t>
      </w:r>
      <w:r>
        <w:rPr>
          <w:spacing w:val="-8"/>
        </w:rPr>
        <w:t> </w:t>
      </w:r>
      <w:r>
        <w:rPr/>
        <w:t>Septi</w:t>
      </w:r>
      <w:r>
        <w:rPr>
          <w:spacing w:val="-6"/>
        </w:rPr>
        <w:t> </w:t>
      </w:r>
      <w:r>
        <w:rPr/>
        <w:t>Zulefni,</w:t>
      </w:r>
      <w:r>
        <w:rPr>
          <w:spacing w:val="-7"/>
        </w:rPr>
        <w:t> </w:t>
      </w:r>
      <w:r>
        <w:rPr/>
        <w:t>Raesa</w:t>
      </w:r>
      <w:r>
        <w:rPr>
          <w:spacing w:val="-8"/>
        </w:rPr>
        <w:t> </w:t>
      </w:r>
      <w:r>
        <w:rPr/>
        <w:t>Aldania</w:t>
      </w:r>
      <w:r>
        <w:rPr>
          <w:spacing w:val="-7"/>
        </w:rPr>
        <w:t> </w:t>
      </w:r>
      <w:r>
        <w:rPr/>
        <w:t>Afendi, Wahida Asni, and others, ‘Tutorial Uji Normalitas Dan Uji Homogenitas Menggunakan Aplikasi SPSS’, </w:t>
      </w:r>
      <w:r>
        <w:rPr>
          <w:i/>
        </w:rPr>
        <w:t>Jurnal Cahaya Nusantara</w:t>
      </w:r>
      <w:r>
        <w:rPr/>
        <w:t>, 1 (2025), 55–68</w:t>
      </w:r>
    </w:p>
    <w:p>
      <w:pPr>
        <w:pStyle w:val="BodyText"/>
        <w:spacing w:before="162"/>
        <w:ind w:left="503" w:right="163" w:hanging="480"/>
        <w:jc w:val="both"/>
      </w:pPr>
      <w:r>
        <w:rPr/>
        <w:t>Nurhidayah,</w:t>
      </w:r>
      <w:r>
        <w:rPr>
          <w:spacing w:val="-5"/>
        </w:rPr>
        <w:t> </w:t>
      </w:r>
      <w:r>
        <w:rPr/>
        <w:t>Dwi,</w:t>
      </w:r>
      <w:r>
        <w:rPr>
          <w:spacing w:val="-5"/>
        </w:rPr>
        <w:t> </w:t>
      </w:r>
      <w:r>
        <w:rPr/>
        <w:t>Amalia</w:t>
      </w:r>
      <w:r>
        <w:rPr>
          <w:spacing w:val="-5"/>
        </w:rPr>
        <w:t> </w:t>
      </w:r>
      <w:r>
        <w:rPr/>
        <w:t>Nuril</w:t>
      </w:r>
      <w:r>
        <w:rPr>
          <w:spacing w:val="-5"/>
        </w:rPr>
        <w:t> </w:t>
      </w:r>
      <w:r>
        <w:rPr/>
        <w:t>Hidayati,</w:t>
      </w:r>
      <w:r>
        <w:rPr>
          <w:spacing w:val="-5"/>
        </w:rPr>
        <w:t> </w:t>
      </w:r>
      <w:r>
        <w:rPr/>
        <w:t>and</w:t>
      </w:r>
      <w:r>
        <w:rPr>
          <w:spacing w:val="-5"/>
        </w:rPr>
        <w:t> </w:t>
      </w:r>
      <w:r>
        <w:rPr/>
        <w:t>Muhammad</w:t>
      </w:r>
      <w:r>
        <w:rPr>
          <w:spacing w:val="-5"/>
        </w:rPr>
        <w:t> </w:t>
      </w:r>
      <w:r>
        <w:rPr/>
        <w:t>Alhada</w:t>
      </w:r>
      <w:r>
        <w:rPr>
          <w:spacing w:val="-6"/>
        </w:rPr>
        <w:t> </w:t>
      </w:r>
      <w:r>
        <w:rPr/>
        <w:t>Fuadilah</w:t>
      </w:r>
      <w:r>
        <w:rPr>
          <w:spacing w:val="-5"/>
        </w:rPr>
        <w:t> </w:t>
      </w:r>
      <w:r>
        <w:rPr/>
        <w:t>Habib,</w:t>
      </w:r>
      <w:r>
        <w:rPr>
          <w:spacing w:val="-5"/>
        </w:rPr>
        <w:t> </w:t>
      </w:r>
      <w:r>
        <w:rPr/>
        <w:t>‘Pengaruh Inflasi, Saham Syariah,</w:t>
      </w:r>
      <w:r>
        <w:rPr>
          <w:spacing w:val="-1"/>
        </w:rPr>
        <w:t> </w:t>
      </w:r>
      <w:r>
        <w:rPr/>
        <w:t>Sukuk</w:t>
      </w:r>
      <w:r>
        <w:rPr>
          <w:spacing w:val="-1"/>
        </w:rPr>
        <w:t> </w:t>
      </w:r>
      <w:r>
        <w:rPr/>
        <w:t>Dan</w:t>
      </w:r>
      <w:r>
        <w:rPr>
          <w:spacing w:val="-1"/>
        </w:rPr>
        <w:t> </w:t>
      </w:r>
      <w:r>
        <w:rPr/>
        <w:t>Reksadana</w:t>
      </w:r>
      <w:r>
        <w:rPr>
          <w:spacing w:val="-1"/>
        </w:rPr>
        <w:t> </w:t>
      </w:r>
      <w:r>
        <w:rPr/>
        <w:t>Syariah</w:t>
      </w:r>
      <w:r>
        <w:rPr>
          <w:spacing w:val="-1"/>
        </w:rPr>
        <w:t> </w:t>
      </w:r>
      <w:r>
        <w:rPr/>
        <w:t>Terhadap</w:t>
      </w:r>
      <w:r>
        <w:rPr>
          <w:spacing w:val="-1"/>
        </w:rPr>
        <w:t> </w:t>
      </w:r>
      <w:r>
        <w:rPr/>
        <w:t>Pertumbuhan</w:t>
      </w:r>
      <w:r>
        <w:rPr>
          <w:spacing w:val="-1"/>
        </w:rPr>
        <w:t> </w:t>
      </w:r>
      <w:r>
        <w:rPr/>
        <w:t>Ekonomi Nasional</w:t>
      </w:r>
      <w:r>
        <w:rPr>
          <w:spacing w:val="63"/>
        </w:rPr>
        <w:t>  </w:t>
      </w:r>
      <w:r>
        <w:rPr/>
        <w:t>Tahun</w:t>
      </w:r>
      <w:r>
        <w:rPr>
          <w:spacing w:val="64"/>
        </w:rPr>
        <w:t>  </w:t>
      </w:r>
      <w:r>
        <w:rPr/>
        <w:t>2013-2020’,</w:t>
      </w:r>
      <w:r>
        <w:rPr>
          <w:spacing w:val="65"/>
        </w:rPr>
        <w:t>  </w:t>
      </w:r>
      <w:r>
        <w:rPr>
          <w:i/>
        </w:rPr>
        <w:t>Jurnal</w:t>
      </w:r>
      <w:r>
        <w:rPr>
          <w:i/>
          <w:spacing w:val="66"/>
        </w:rPr>
        <w:t>  </w:t>
      </w:r>
      <w:r>
        <w:rPr>
          <w:i/>
        </w:rPr>
        <w:t>Sinar</w:t>
      </w:r>
      <w:r>
        <w:rPr>
          <w:i/>
          <w:spacing w:val="66"/>
        </w:rPr>
        <w:t>  </w:t>
      </w:r>
      <w:r>
        <w:rPr>
          <w:i/>
        </w:rPr>
        <w:t>Manajemen</w:t>
      </w:r>
      <w:r>
        <w:rPr/>
        <w:t>,</w:t>
      </w:r>
      <w:r>
        <w:rPr>
          <w:spacing w:val="65"/>
        </w:rPr>
        <w:t>  </w:t>
      </w:r>
      <w:r>
        <w:rPr/>
        <w:t>9</w:t>
      </w:r>
      <w:r>
        <w:rPr>
          <w:spacing w:val="65"/>
        </w:rPr>
        <w:t>  </w:t>
      </w:r>
      <w:r>
        <w:rPr/>
        <w:t>(2022),</w:t>
      </w:r>
      <w:r>
        <w:rPr>
          <w:spacing w:val="65"/>
        </w:rPr>
        <w:t>  </w:t>
      </w:r>
      <w:r>
        <w:rPr>
          <w:spacing w:val="-2"/>
        </w:rPr>
        <w:t>158–69</w:t>
      </w:r>
    </w:p>
    <w:p>
      <w:pPr>
        <w:pStyle w:val="BodyText"/>
        <w:ind w:left="503"/>
      </w:pPr>
      <w:r>
        <w:rPr>
          <w:spacing w:val="-2"/>
        </w:rPr>
        <w:t>&lt;https://doi.org/10.56338/jsm.v9i1.2435&gt;</w:t>
      </w:r>
    </w:p>
    <w:p>
      <w:pPr>
        <w:pStyle w:val="BodyText"/>
        <w:spacing w:before="158"/>
        <w:ind w:left="503" w:right="161" w:hanging="480"/>
        <w:jc w:val="both"/>
      </w:pPr>
      <w:r>
        <w:rPr/>
        <w:t>Nursari, Ayu, and Ahmad Dhea Pratama, ‘Bagaimanakah Kepercayaan Konsumen, Kepercayaan Bisnis Dan Konsumsi Rumah Tangga Mempengaruhi Kestabilan Perekonomian</w:t>
      </w:r>
      <w:r>
        <w:rPr>
          <w:spacing w:val="66"/>
          <w:w w:val="150"/>
        </w:rPr>
        <w:t> </w:t>
      </w:r>
      <w:r>
        <w:rPr/>
        <w:t>Indonesia?’,</w:t>
      </w:r>
      <w:r>
        <w:rPr>
          <w:spacing w:val="66"/>
          <w:w w:val="150"/>
        </w:rPr>
        <w:t> </w:t>
      </w:r>
      <w:r>
        <w:rPr>
          <w:i/>
        </w:rPr>
        <w:t>Owner:</w:t>
      </w:r>
      <w:r>
        <w:rPr>
          <w:i/>
          <w:spacing w:val="65"/>
          <w:w w:val="150"/>
        </w:rPr>
        <w:t> </w:t>
      </w:r>
      <w:r>
        <w:rPr>
          <w:i/>
        </w:rPr>
        <w:t>Riset</w:t>
      </w:r>
      <w:r>
        <w:rPr>
          <w:i/>
          <w:spacing w:val="66"/>
          <w:w w:val="150"/>
        </w:rPr>
        <w:t> </w:t>
      </w:r>
      <w:r>
        <w:rPr>
          <w:i/>
        </w:rPr>
        <w:t>&amp;</w:t>
      </w:r>
      <w:r>
        <w:rPr>
          <w:i/>
          <w:spacing w:val="66"/>
          <w:w w:val="150"/>
        </w:rPr>
        <w:t> </w:t>
      </w:r>
      <w:r>
        <w:rPr>
          <w:i/>
        </w:rPr>
        <w:t>Jurnsl</w:t>
      </w:r>
      <w:r>
        <w:rPr>
          <w:i/>
          <w:spacing w:val="66"/>
          <w:w w:val="150"/>
        </w:rPr>
        <w:t> </w:t>
      </w:r>
      <w:r>
        <w:rPr>
          <w:i/>
        </w:rPr>
        <w:t>Akuntansi</w:t>
      </w:r>
      <w:r>
        <w:rPr/>
        <w:t>,</w:t>
      </w:r>
      <w:r>
        <w:rPr>
          <w:spacing w:val="66"/>
          <w:w w:val="150"/>
        </w:rPr>
        <w:t> </w:t>
      </w:r>
      <w:r>
        <w:rPr/>
        <w:t>8</w:t>
      </w:r>
      <w:r>
        <w:rPr>
          <w:spacing w:val="66"/>
          <w:w w:val="150"/>
        </w:rPr>
        <w:t> </w:t>
      </w:r>
      <w:r>
        <w:rPr/>
        <w:t>(2024),</w:t>
      </w:r>
      <w:r>
        <w:rPr>
          <w:spacing w:val="66"/>
          <w:w w:val="150"/>
        </w:rPr>
        <w:t> </w:t>
      </w:r>
      <w:r>
        <w:rPr>
          <w:spacing w:val="-2"/>
        </w:rPr>
        <w:t>902–15</w:t>
      </w:r>
    </w:p>
    <w:p>
      <w:pPr>
        <w:pStyle w:val="BodyText"/>
        <w:ind w:left="503"/>
      </w:pPr>
      <w:r>
        <w:rPr>
          <w:spacing w:val="-2"/>
        </w:rPr>
        <w:t>&lt;https://doi.org/10.33395/owner.v8i1.1973&gt;</w:t>
      </w:r>
    </w:p>
    <w:p>
      <w:pPr>
        <w:pStyle w:val="BodyText"/>
        <w:tabs>
          <w:tab w:pos="2108" w:val="left" w:leader="none"/>
          <w:tab w:pos="3279" w:val="left" w:leader="none"/>
          <w:tab w:pos="3891" w:val="left" w:leader="none"/>
          <w:tab w:pos="5384" w:val="left" w:leader="none"/>
          <w:tab w:pos="6655" w:val="left" w:leader="none"/>
          <w:tab w:pos="7321" w:val="left" w:leader="none"/>
          <w:tab w:pos="8447" w:val="left" w:leader="none"/>
        </w:tabs>
        <w:spacing w:before="161"/>
        <w:ind w:left="503" w:right="163" w:hanging="480"/>
      </w:pPr>
      <w:r>
        <w:rPr/>
        <w:t>Pan,</w:t>
      </w:r>
      <w:r>
        <w:rPr>
          <w:spacing w:val="-3"/>
        </w:rPr>
        <w:t> </w:t>
      </w:r>
      <w:r>
        <w:rPr/>
        <w:t>Wei-Fong,</w:t>
      </w:r>
      <w:r>
        <w:rPr>
          <w:spacing w:val="-3"/>
        </w:rPr>
        <w:t> </w:t>
      </w:r>
      <w:r>
        <w:rPr/>
        <w:t>‘Does</w:t>
      </w:r>
      <w:r>
        <w:rPr>
          <w:spacing w:val="-1"/>
        </w:rPr>
        <w:t> </w:t>
      </w:r>
      <w:r>
        <w:rPr/>
        <w:t>Investor</w:t>
      </w:r>
      <w:r>
        <w:rPr>
          <w:spacing w:val="-3"/>
        </w:rPr>
        <w:t> </w:t>
      </w:r>
      <w:r>
        <w:rPr/>
        <w:t>Sentiment</w:t>
      </w:r>
      <w:r>
        <w:rPr>
          <w:spacing w:val="-3"/>
        </w:rPr>
        <w:t> </w:t>
      </w:r>
      <w:r>
        <w:rPr/>
        <w:t>Drive</w:t>
      </w:r>
      <w:r>
        <w:rPr>
          <w:spacing w:val="-2"/>
        </w:rPr>
        <w:t> </w:t>
      </w:r>
      <w:r>
        <w:rPr/>
        <w:t>Stock</w:t>
      </w:r>
      <w:r>
        <w:rPr>
          <w:spacing w:val="-3"/>
        </w:rPr>
        <w:t> </w:t>
      </w:r>
      <w:r>
        <w:rPr/>
        <w:t>Market</w:t>
      </w:r>
      <w:r>
        <w:rPr>
          <w:spacing w:val="-3"/>
        </w:rPr>
        <w:t> </w:t>
      </w:r>
      <w:r>
        <w:rPr/>
        <w:t>Bubbles?</w:t>
      </w:r>
      <w:r>
        <w:rPr>
          <w:spacing w:val="-5"/>
        </w:rPr>
        <w:t> </w:t>
      </w:r>
      <w:r>
        <w:rPr/>
        <w:t>Beware</w:t>
      </w:r>
      <w:r>
        <w:rPr>
          <w:spacing w:val="-3"/>
        </w:rPr>
        <w:t> </w:t>
      </w:r>
      <w:r>
        <w:rPr/>
        <w:t>of</w:t>
      </w:r>
      <w:r>
        <w:rPr>
          <w:spacing w:val="-3"/>
        </w:rPr>
        <w:t> </w:t>
      </w:r>
      <w:r>
        <w:rPr/>
        <w:t>Excessive </w:t>
      </w:r>
      <w:r>
        <w:rPr>
          <w:spacing w:val="-2"/>
        </w:rPr>
        <w:t>Optimism!’,</w:t>
      </w:r>
      <w:r>
        <w:rPr/>
        <w:tab/>
      </w:r>
      <w:r>
        <w:rPr>
          <w:i/>
          <w:spacing w:val="-2"/>
        </w:rPr>
        <w:t>Journal</w:t>
      </w:r>
      <w:r>
        <w:rPr>
          <w:i/>
        </w:rPr>
        <w:tab/>
      </w:r>
      <w:r>
        <w:rPr>
          <w:i/>
          <w:spacing w:val="-5"/>
        </w:rPr>
        <w:t>of</w:t>
      </w:r>
      <w:r>
        <w:rPr>
          <w:i/>
        </w:rPr>
        <w:tab/>
      </w:r>
      <w:r>
        <w:rPr>
          <w:i/>
          <w:spacing w:val="-2"/>
        </w:rPr>
        <w:t>Behavioral</w:t>
      </w:r>
      <w:r>
        <w:rPr>
          <w:i/>
        </w:rPr>
        <w:tab/>
      </w:r>
      <w:r>
        <w:rPr>
          <w:i/>
          <w:spacing w:val="-2"/>
        </w:rPr>
        <w:t>Finance</w:t>
      </w:r>
      <w:r>
        <w:rPr>
          <w:spacing w:val="-2"/>
        </w:rPr>
        <w:t>,</w:t>
      </w:r>
      <w:r>
        <w:rPr/>
        <w:tab/>
      </w:r>
      <w:r>
        <w:rPr>
          <w:spacing w:val="-5"/>
        </w:rPr>
        <w:t>21</w:t>
      </w:r>
      <w:r>
        <w:rPr/>
        <w:tab/>
      </w:r>
      <w:r>
        <w:rPr>
          <w:spacing w:val="-2"/>
        </w:rPr>
        <w:t>(2020),</w:t>
      </w:r>
      <w:r>
        <w:rPr/>
        <w:tab/>
      </w:r>
      <w:r>
        <w:rPr>
          <w:spacing w:val="-2"/>
        </w:rPr>
        <w:t>27–41</w:t>
      </w:r>
    </w:p>
    <w:p>
      <w:pPr>
        <w:pStyle w:val="BodyText"/>
        <w:ind w:left="503"/>
      </w:pPr>
      <w:r>
        <w:rPr>
          <w:spacing w:val="-2"/>
        </w:rPr>
        <w:t>&lt;https://doi.org/10.1080/15427560.2019.1587764&gt;</w:t>
      </w:r>
    </w:p>
    <w:p>
      <w:pPr>
        <w:spacing w:before="159"/>
        <w:ind w:left="503" w:right="0" w:hanging="480"/>
        <w:jc w:val="left"/>
        <w:rPr>
          <w:sz w:val="24"/>
        </w:rPr>
      </w:pPr>
      <w:r>
        <w:rPr>
          <w:sz w:val="24"/>
        </w:rPr>
        <w:t>Paramita,</w:t>
      </w:r>
      <w:r>
        <w:rPr>
          <w:spacing w:val="-15"/>
          <w:sz w:val="24"/>
        </w:rPr>
        <w:t> </w:t>
      </w:r>
      <w:r>
        <w:rPr>
          <w:sz w:val="24"/>
        </w:rPr>
        <w:t>Ratna</w:t>
      </w:r>
      <w:r>
        <w:rPr>
          <w:spacing w:val="-15"/>
          <w:sz w:val="24"/>
        </w:rPr>
        <w:t> </w:t>
      </w:r>
      <w:r>
        <w:rPr>
          <w:sz w:val="24"/>
        </w:rPr>
        <w:t>Wijayanti</w:t>
      </w:r>
      <w:r>
        <w:rPr>
          <w:spacing w:val="-15"/>
          <w:sz w:val="24"/>
        </w:rPr>
        <w:t> </w:t>
      </w:r>
      <w:r>
        <w:rPr>
          <w:sz w:val="24"/>
        </w:rPr>
        <w:t>D,</w:t>
      </w:r>
      <w:r>
        <w:rPr>
          <w:spacing w:val="-15"/>
          <w:sz w:val="24"/>
        </w:rPr>
        <w:t> </w:t>
      </w:r>
      <w:r>
        <w:rPr>
          <w:sz w:val="24"/>
        </w:rPr>
        <w:t>Noviansyah</w:t>
      </w:r>
      <w:r>
        <w:rPr>
          <w:spacing w:val="-15"/>
          <w:sz w:val="24"/>
        </w:rPr>
        <w:t> </w:t>
      </w:r>
      <w:r>
        <w:rPr>
          <w:sz w:val="24"/>
        </w:rPr>
        <w:t>Rizal,</w:t>
      </w:r>
      <w:r>
        <w:rPr>
          <w:spacing w:val="-15"/>
          <w:sz w:val="24"/>
        </w:rPr>
        <w:t> </w:t>
      </w:r>
      <w:r>
        <w:rPr>
          <w:sz w:val="24"/>
        </w:rPr>
        <w:t>and</w:t>
      </w:r>
      <w:r>
        <w:rPr>
          <w:spacing w:val="-15"/>
          <w:sz w:val="24"/>
        </w:rPr>
        <w:t> </w:t>
      </w:r>
      <w:r>
        <w:rPr>
          <w:sz w:val="24"/>
        </w:rPr>
        <w:t>Riza</w:t>
      </w:r>
      <w:r>
        <w:rPr>
          <w:spacing w:val="-16"/>
          <w:sz w:val="24"/>
        </w:rPr>
        <w:t> </w:t>
      </w:r>
      <w:r>
        <w:rPr>
          <w:sz w:val="24"/>
        </w:rPr>
        <w:t>Bahtiar</w:t>
      </w:r>
      <w:r>
        <w:rPr>
          <w:spacing w:val="-16"/>
          <w:sz w:val="24"/>
        </w:rPr>
        <w:t> </w:t>
      </w:r>
      <w:r>
        <w:rPr>
          <w:sz w:val="24"/>
        </w:rPr>
        <w:t>Sulistyan,</w:t>
      </w:r>
      <w:r>
        <w:rPr>
          <w:spacing w:val="-15"/>
          <w:sz w:val="24"/>
        </w:rPr>
        <w:t> </w:t>
      </w:r>
      <w:r>
        <w:rPr>
          <w:i/>
          <w:sz w:val="24"/>
        </w:rPr>
        <w:t>Metode</w:t>
      </w:r>
      <w:r>
        <w:rPr>
          <w:i/>
          <w:spacing w:val="-15"/>
          <w:sz w:val="24"/>
        </w:rPr>
        <w:t> </w:t>
      </w:r>
      <w:r>
        <w:rPr>
          <w:i/>
          <w:sz w:val="24"/>
        </w:rPr>
        <w:t>Penelitian Kuantitatif, Edisi 3 </w:t>
      </w:r>
      <w:r>
        <w:rPr>
          <w:sz w:val="24"/>
        </w:rPr>
        <w:t>(Lumajang: Widya Gama Press, 2021)</w:t>
      </w:r>
    </w:p>
    <w:p>
      <w:pPr>
        <w:spacing w:before="161"/>
        <w:ind w:left="503" w:right="161" w:hanging="480"/>
        <w:jc w:val="both"/>
        <w:rPr>
          <w:sz w:val="24"/>
        </w:rPr>
      </w:pPr>
      <w:r>
        <w:rPr>
          <w:sz w:val="24"/>
        </w:rPr>
        <w:t>Perdana, I Komang Rangga, and Ni Putu Wiwin Setyari, ‘Analisis Faktor-Faktor Makroekonomi Yang Mempengaruhi Indeks Harga Saham Gabungan (Ihsg)’, </w:t>
      </w:r>
      <w:r>
        <w:rPr>
          <w:i/>
          <w:sz w:val="24"/>
        </w:rPr>
        <w:t>E-Jurnal Ekonomi</w:t>
      </w:r>
      <w:r>
        <w:rPr>
          <w:i/>
          <w:spacing w:val="63"/>
          <w:w w:val="150"/>
          <w:sz w:val="24"/>
        </w:rPr>
        <w:t>   </w:t>
      </w:r>
      <w:r>
        <w:rPr>
          <w:i/>
          <w:sz w:val="24"/>
        </w:rPr>
        <w:t>Dan</w:t>
      </w:r>
      <w:r>
        <w:rPr>
          <w:i/>
          <w:spacing w:val="63"/>
          <w:w w:val="150"/>
          <w:sz w:val="24"/>
        </w:rPr>
        <w:t>   </w:t>
      </w:r>
      <w:r>
        <w:rPr>
          <w:i/>
          <w:sz w:val="24"/>
        </w:rPr>
        <w:t>Bisnis</w:t>
      </w:r>
      <w:r>
        <w:rPr>
          <w:i/>
          <w:spacing w:val="63"/>
          <w:w w:val="150"/>
          <w:sz w:val="24"/>
        </w:rPr>
        <w:t>   </w:t>
      </w:r>
      <w:r>
        <w:rPr>
          <w:i/>
          <w:sz w:val="24"/>
        </w:rPr>
        <w:t>Universitas</w:t>
      </w:r>
      <w:r>
        <w:rPr>
          <w:i/>
          <w:spacing w:val="63"/>
          <w:w w:val="150"/>
          <w:sz w:val="24"/>
        </w:rPr>
        <w:t>   </w:t>
      </w:r>
      <w:r>
        <w:rPr>
          <w:i/>
          <w:sz w:val="24"/>
        </w:rPr>
        <w:t>Udayana</w:t>
      </w:r>
      <w:r>
        <w:rPr>
          <w:sz w:val="24"/>
        </w:rPr>
        <w:t>,</w:t>
      </w:r>
      <w:r>
        <w:rPr>
          <w:spacing w:val="63"/>
          <w:w w:val="150"/>
          <w:sz w:val="24"/>
        </w:rPr>
        <w:t>   </w:t>
      </w:r>
      <w:r>
        <w:rPr>
          <w:sz w:val="24"/>
        </w:rPr>
        <w:t>12</w:t>
      </w:r>
      <w:r>
        <w:rPr>
          <w:spacing w:val="63"/>
          <w:w w:val="150"/>
          <w:sz w:val="24"/>
        </w:rPr>
        <w:t>   </w:t>
      </w:r>
      <w:r>
        <w:rPr>
          <w:sz w:val="24"/>
        </w:rPr>
        <w:t>(2023),</w:t>
      </w:r>
      <w:r>
        <w:rPr>
          <w:spacing w:val="63"/>
          <w:w w:val="150"/>
          <w:sz w:val="24"/>
        </w:rPr>
        <w:t>   </w:t>
      </w:r>
      <w:r>
        <w:rPr>
          <w:spacing w:val="-4"/>
          <w:sz w:val="24"/>
        </w:rPr>
        <w:t>1594</w:t>
      </w:r>
    </w:p>
    <w:p>
      <w:pPr>
        <w:pStyle w:val="BodyText"/>
        <w:ind w:left="503"/>
      </w:pPr>
      <w:r>
        <w:rPr>
          <w:spacing w:val="-2"/>
        </w:rPr>
        <w:t>&lt;https://doi.org/10.24843/eeb.2023.v12.i08.p12&gt;</w:t>
      </w:r>
    </w:p>
    <w:p>
      <w:pPr>
        <w:pStyle w:val="BodyText"/>
        <w:spacing w:before="161"/>
        <w:ind w:left="23"/>
        <w:rPr>
          <w:i/>
        </w:rPr>
      </w:pPr>
      <w:r>
        <w:rPr/>
        <w:t>‘Perkembangan Indeks</w:t>
      </w:r>
      <w:r>
        <w:rPr>
          <w:spacing w:val="-3"/>
        </w:rPr>
        <w:t> </w:t>
      </w:r>
      <w:r>
        <w:rPr/>
        <w:t>Produksi</w:t>
      </w:r>
      <w:r>
        <w:rPr>
          <w:spacing w:val="-2"/>
        </w:rPr>
        <w:t> </w:t>
      </w:r>
      <w:r>
        <w:rPr/>
        <w:t>Industri</w:t>
      </w:r>
      <w:r>
        <w:rPr>
          <w:spacing w:val="-1"/>
        </w:rPr>
        <w:t> </w:t>
      </w:r>
      <w:r>
        <w:rPr/>
        <w:t>Manufaktur</w:t>
      </w:r>
      <w:r>
        <w:rPr>
          <w:spacing w:val="-2"/>
        </w:rPr>
        <w:t> </w:t>
      </w:r>
      <w:r>
        <w:rPr/>
        <w:t>2011-2013’,</w:t>
      </w:r>
      <w:r>
        <w:rPr>
          <w:spacing w:val="-1"/>
        </w:rPr>
        <w:t> </w:t>
      </w:r>
      <w:r>
        <w:rPr>
          <w:i/>
          <w:spacing w:val="-2"/>
        </w:rPr>
        <w:t>Bps.Go.Id</w:t>
      </w:r>
    </w:p>
    <w:p>
      <w:pPr>
        <w:spacing w:before="158"/>
        <w:ind w:left="503" w:right="161" w:hanging="480"/>
        <w:jc w:val="both"/>
        <w:rPr>
          <w:sz w:val="24"/>
        </w:rPr>
      </w:pPr>
      <w:r>
        <w:rPr>
          <w:sz w:val="24"/>
        </w:rPr>
        <w:t>Primadona, Mhd, Isnaini Harahap, and Rahmat Daim Harahap, ‘Pengaruh Pertumbuhan Ekonomi, Inflasi, Dan Nilai Tukar Terhadap Indeks Saham Syariah Indonesia (ISSI)’, </w:t>
      </w:r>
      <w:r>
        <w:rPr>
          <w:i/>
          <w:sz w:val="24"/>
        </w:rPr>
        <w:t>Perbanas</w:t>
      </w:r>
      <w:r>
        <w:rPr>
          <w:i/>
          <w:spacing w:val="57"/>
          <w:sz w:val="24"/>
        </w:rPr>
        <w:t>  </w:t>
      </w:r>
      <w:r>
        <w:rPr>
          <w:i/>
          <w:sz w:val="24"/>
        </w:rPr>
        <w:t>Journal</w:t>
      </w:r>
      <w:r>
        <w:rPr>
          <w:i/>
          <w:spacing w:val="57"/>
          <w:sz w:val="24"/>
        </w:rPr>
        <w:t>  </w:t>
      </w:r>
      <w:r>
        <w:rPr>
          <w:i/>
          <w:sz w:val="24"/>
        </w:rPr>
        <w:t>of</w:t>
      </w:r>
      <w:r>
        <w:rPr>
          <w:i/>
          <w:spacing w:val="58"/>
          <w:sz w:val="24"/>
        </w:rPr>
        <w:t>  </w:t>
      </w:r>
      <w:r>
        <w:rPr>
          <w:i/>
          <w:sz w:val="24"/>
        </w:rPr>
        <w:t>Islamic</w:t>
      </w:r>
      <w:r>
        <w:rPr>
          <w:i/>
          <w:spacing w:val="56"/>
          <w:sz w:val="24"/>
        </w:rPr>
        <w:t>  </w:t>
      </w:r>
      <w:r>
        <w:rPr>
          <w:i/>
          <w:sz w:val="24"/>
        </w:rPr>
        <w:t>Economics</w:t>
      </w:r>
      <w:r>
        <w:rPr>
          <w:i/>
          <w:spacing w:val="59"/>
          <w:sz w:val="24"/>
        </w:rPr>
        <w:t>  </w:t>
      </w:r>
      <w:r>
        <w:rPr>
          <w:i/>
          <w:sz w:val="24"/>
        </w:rPr>
        <w:t>and</w:t>
      </w:r>
      <w:r>
        <w:rPr>
          <w:i/>
          <w:spacing w:val="57"/>
          <w:sz w:val="24"/>
        </w:rPr>
        <w:t>  </w:t>
      </w:r>
      <w:r>
        <w:rPr>
          <w:i/>
          <w:sz w:val="24"/>
        </w:rPr>
        <w:t>Business</w:t>
      </w:r>
      <w:r>
        <w:rPr>
          <w:sz w:val="24"/>
        </w:rPr>
        <w:t>,</w:t>
      </w:r>
      <w:r>
        <w:rPr>
          <w:spacing w:val="57"/>
          <w:sz w:val="24"/>
        </w:rPr>
        <w:t>  </w:t>
      </w:r>
      <w:r>
        <w:rPr>
          <w:sz w:val="24"/>
        </w:rPr>
        <w:t>2</w:t>
      </w:r>
      <w:r>
        <w:rPr>
          <w:spacing w:val="58"/>
          <w:sz w:val="24"/>
        </w:rPr>
        <w:t>  </w:t>
      </w:r>
      <w:r>
        <w:rPr>
          <w:sz w:val="24"/>
        </w:rPr>
        <w:t>(2022),</w:t>
      </w:r>
      <w:r>
        <w:rPr>
          <w:spacing w:val="57"/>
          <w:sz w:val="24"/>
        </w:rPr>
        <w:t>  </w:t>
      </w:r>
      <w:r>
        <w:rPr>
          <w:spacing w:val="-2"/>
          <w:sz w:val="24"/>
        </w:rPr>
        <w:t>128–35</w:t>
      </w:r>
    </w:p>
    <w:p>
      <w:pPr>
        <w:pStyle w:val="BodyText"/>
        <w:ind w:left="503"/>
      </w:pPr>
      <w:r>
        <w:rPr>
          <w:spacing w:val="-2"/>
        </w:rPr>
        <w:t>&lt;https://doi.org/10.56174/pjieb.v2i2.46&gt;</w:t>
      </w:r>
    </w:p>
    <w:p>
      <w:pPr>
        <w:pStyle w:val="BodyText"/>
        <w:spacing w:before="161"/>
        <w:ind w:left="503" w:right="163" w:hanging="480"/>
        <w:jc w:val="both"/>
      </w:pPr>
      <w:r>
        <w:rPr/>
        <w:t>Purba,</w:t>
      </w:r>
      <w:r>
        <w:rPr>
          <w:spacing w:val="-12"/>
        </w:rPr>
        <w:t> </w:t>
      </w:r>
      <w:r>
        <w:rPr/>
        <w:t>Djuli</w:t>
      </w:r>
      <w:r>
        <w:rPr>
          <w:spacing w:val="-11"/>
        </w:rPr>
        <w:t> </w:t>
      </w:r>
      <w:r>
        <w:rPr/>
        <w:t>Sjafei,</w:t>
      </w:r>
      <w:r>
        <w:rPr>
          <w:spacing w:val="-11"/>
        </w:rPr>
        <w:t> </w:t>
      </w:r>
      <w:r>
        <w:rPr/>
        <w:t>Wico</w:t>
      </w:r>
      <w:r>
        <w:rPr>
          <w:spacing w:val="-12"/>
        </w:rPr>
        <w:t> </w:t>
      </w:r>
      <w:r>
        <w:rPr/>
        <w:t>Jontarudi</w:t>
      </w:r>
      <w:r>
        <w:rPr>
          <w:spacing w:val="-12"/>
        </w:rPr>
        <w:t> </w:t>
      </w:r>
      <w:r>
        <w:rPr/>
        <w:t>Tarigan,</w:t>
      </w:r>
      <w:r>
        <w:rPr>
          <w:spacing w:val="-12"/>
        </w:rPr>
        <w:t> </w:t>
      </w:r>
      <w:r>
        <w:rPr/>
        <w:t>Mahaitin</w:t>
      </w:r>
      <w:r>
        <w:rPr>
          <w:spacing w:val="-11"/>
        </w:rPr>
        <w:t> </w:t>
      </w:r>
      <w:r>
        <w:rPr/>
        <w:t>Sinaga,</w:t>
      </w:r>
      <w:r>
        <w:rPr>
          <w:spacing w:val="-12"/>
        </w:rPr>
        <w:t> </w:t>
      </w:r>
      <w:r>
        <w:rPr/>
        <w:t>and</w:t>
      </w:r>
      <w:r>
        <w:rPr>
          <w:spacing w:val="-10"/>
        </w:rPr>
        <w:t> </w:t>
      </w:r>
      <w:r>
        <w:rPr/>
        <w:t>Vitryani</w:t>
      </w:r>
      <w:r>
        <w:rPr>
          <w:spacing w:val="-14"/>
        </w:rPr>
        <w:t> </w:t>
      </w:r>
      <w:r>
        <w:rPr/>
        <w:t>Tarigan,</w:t>
      </w:r>
      <w:r>
        <w:rPr>
          <w:spacing w:val="-12"/>
        </w:rPr>
        <w:t> </w:t>
      </w:r>
      <w:r>
        <w:rPr/>
        <w:t>‘Pelatihan Penggunaan Software SPSS Dalam Pengolahan Regressi Linear Berganda Untuk Mahasiswa Fakultas Ekonomi Universitas SimalungunDi Masa Pandemi Covid 19’, 5 (2021), 202–8</w:t>
      </w:r>
    </w:p>
    <w:p>
      <w:pPr>
        <w:pStyle w:val="BodyText"/>
        <w:spacing w:before="161"/>
        <w:ind w:left="503" w:right="160" w:hanging="480"/>
        <w:jc w:val="both"/>
      </w:pPr>
      <w:r>
        <w:rPr/>
        <w:t>R,</w:t>
      </w:r>
      <w:r>
        <w:rPr>
          <w:spacing w:val="-1"/>
        </w:rPr>
        <w:t> </w:t>
      </w:r>
      <w:r>
        <w:rPr/>
        <w:t>Sumantyo,</w:t>
      </w:r>
      <w:r>
        <w:rPr>
          <w:spacing w:val="-4"/>
        </w:rPr>
        <w:t> </w:t>
      </w:r>
      <w:r>
        <w:rPr/>
        <w:t>and</w:t>
      </w:r>
      <w:r>
        <w:rPr>
          <w:spacing w:val="-1"/>
        </w:rPr>
        <w:t> </w:t>
      </w:r>
      <w:r>
        <w:rPr/>
        <w:t>Savitri</w:t>
      </w:r>
      <w:r>
        <w:rPr>
          <w:spacing w:val="-4"/>
        </w:rPr>
        <w:t> </w:t>
      </w:r>
      <w:r>
        <w:rPr/>
        <w:t>D.A,</w:t>
      </w:r>
      <w:r>
        <w:rPr>
          <w:spacing w:val="-1"/>
        </w:rPr>
        <w:t> </w:t>
      </w:r>
      <w:r>
        <w:rPr/>
        <w:t>‘Macroeconomic</w:t>
      </w:r>
      <w:r>
        <w:rPr>
          <w:spacing w:val="-2"/>
        </w:rPr>
        <w:t> </w:t>
      </w:r>
      <w:r>
        <w:rPr/>
        <w:t>Variables</w:t>
      </w:r>
      <w:r>
        <w:rPr>
          <w:spacing w:val="-2"/>
        </w:rPr>
        <w:t> </w:t>
      </w:r>
      <w:r>
        <w:rPr/>
        <w:t>towards</w:t>
      </w:r>
      <w:r>
        <w:rPr>
          <w:spacing w:val="-2"/>
        </w:rPr>
        <w:t> </w:t>
      </w:r>
      <w:r>
        <w:rPr/>
        <w:t>Net</w:t>
      </w:r>
      <w:r>
        <w:rPr>
          <w:spacing w:val="-1"/>
        </w:rPr>
        <w:t> </w:t>
      </w:r>
      <w:r>
        <w:rPr/>
        <w:t>Asset</w:t>
      </w:r>
      <w:r>
        <w:rPr>
          <w:spacing w:val="-1"/>
        </w:rPr>
        <w:t> </w:t>
      </w:r>
      <w:r>
        <w:rPr/>
        <w:t>Value</w:t>
      </w:r>
      <w:r>
        <w:rPr>
          <w:spacing w:val="-2"/>
        </w:rPr>
        <w:t> </w:t>
      </w:r>
      <w:r>
        <w:rPr/>
        <w:t>of</w:t>
      </w:r>
      <w:r>
        <w:rPr>
          <w:spacing w:val="-2"/>
        </w:rPr>
        <w:t> </w:t>
      </w:r>
      <w:r>
        <w:rPr/>
        <w:t>Sharia Mutual Funds in Indonesia and Malaysia’, </w:t>
      </w:r>
      <w:r>
        <w:rPr>
          <w:i/>
        </w:rPr>
        <w:t>Jurnal Keuangan Dan Perbankan</w:t>
      </w:r>
      <w:r>
        <w:rPr/>
        <w:t>, 23 (2019), </w:t>
      </w:r>
      <w:r>
        <w:rPr>
          <w:spacing w:val="-2"/>
        </w:rPr>
        <w:t>300–307</w:t>
      </w:r>
    </w:p>
    <w:p>
      <w:pPr>
        <w:pStyle w:val="BodyText"/>
        <w:spacing w:before="159"/>
        <w:ind w:left="503" w:right="159" w:hanging="480"/>
        <w:rPr>
          <w:i/>
        </w:rPr>
      </w:pPr>
      <w:r>
        <w:rPr/>
        <w:t>Rachmawati,</w:t>
      </w:r>
      <w:r>
        <w:rPr>
          <w:spacing w:val="80"/>
        </w:rPr>
        <w:t> </w:t>
      </w:r>
      <w:r>
        <w:rPr/>
        <w:t>Yuni,</w:t>
      </w:r>
      <w:r>
        <w:rPr>
          <w:spacing w:val="80"/>
        </w:rPr>
        <w:t> </w:t>
      </w:r>
      <w:r>
        <w:rPr/>
        <w:t>‘Pengaruh</w:t>
      </w:r>
      <w:r>
        <w:rPr>
          <w:spacing w:val="80"/>
        </w:rPr>
        <w:t> </w:t>
      </w:r>
      <w:r>
        <w:rPr/>
        <w:t>Inflasi</w:t>
      </w:r>
      <w:r>
        <w:rPr>
          <w:spacing w:val="80"/>
        </w:rPr>
        <w:t> </w:t>
      </w:r>
      <w:r>
        <w:rPr/>
        <w:t>Dan</w:t>
      </w:r>
      <w:r>
        <w:rPr>
          <w:spacing w:val="80"/>
        </w:rPr>
        <w:t> </w:t>
      </w:r>
      <w:r>
        <w:rPr/>
        <w:t>Suku</w:t>
      </w:r>
      <w:r>
        <w:rPr>
          <w:spacing w:val="80"/>
        </w:rPr>
        <w:t> </w:t>
      </w:r>
      <w:r>
        <w:rPr/>
        <w:t>Bunga</w:t>
      </w:r>
      <w:r>
        <w:rPr>
          <w:spacing w:val="80"/>
        </w:rPr>
        <w:t> </w:t>
      </w:r>
      <w:r>
        <w:rPr/>
        <w:t>Terhadap</w:t>
      </w:r>
      <w:r>
        <w:rPr>
          <w:spacing w:val="80"/>
        </w:rPr>
        <w:t> </w:t>
      </w:r>
      <w:r>
        <w:rPr/>
        <w:t>Harga</w:t>
      </w:r>
      <w:r>
        <w:rPr>
          <w:spacing w:val="80"/>
        </w:rPr>
        <w:t> </w:t>
      </w:r>
      <w:r>
        <w:rPr/>
        <w:t>Saham</w:t>
      </w:r>
      <w:r>
        <w:rPr>
          <w:spacing w:val="80"/>
        </w:rPr>
        <w:t> </w:t>
      </w:r>
      <w:r>
        <w:rPr/>
        <w:t>Pada Perusahaan</w:t>
      </w:r>
      <w:r>
        <w:rPr>
          <w:spacing w:val="28"/>
        </w:rPr>
        <w:t> </w:t>
      </w:r>
      <w:r>
        <w:rPr/>
        <w:t>Perbankan</w:t>
      </w:r>
      <w:r>
        <w:rPr>
          <w:spacing w:val="31"/>
        </w:rPr>
        <w:t> </w:t>
      </w:r>
      <w:r>
        <w:rPr/>
        <w:t>Yang</w:t>
      </w:r>
      <w:r>
        <w:rPr>
          <w:spacing w:val="28"/>
        </w:rPr>
        <w:t> </w:t>
      </w:r>
      <w:r>
        <w:rPr/>
        <w:t>Terdaftar</w:t>
      </w:r>
      <w:r>
        <w:rPr>
          <w:spacing w:val="28"/>
        </w:rPr>
        <w:t> </w:t>
      </w:r>
      <w:r>
        <w:rPr/>
        <w:t>Di</w:t>
      </w:r>
      <w:r>
        <w:rPr>
          <w:spacing w:val="30"/>
        </w:rPr>
        <w:t> </w:t>
      </w:r>
      <w:r>
        <w:rPr/>
        <w:t>LQ45</w:t>
      </w:r>
      <w:r>
        <w:rPr>
          <w:spacing w:val="28"/>
        </w:rPr>
        <w:t> </w:t>
      </w:r>
      <w:r>
        <w:rPr/>
        <w:t>Bursa</w:t>
      </w:r>
      <w:r>
        <w:rPr>
          <w:spacing w:val="27"/>
        </w:rPr>
        <w:t> </w:t>
      </w:r>
      <w:r>
        <w:rPr/>
        <w:t>Efek</w:t>
      </w:r>
      <w:r>
        <w:rPr>
          <w:spacing w:val="28"/>
        </w:rPr>
        <w:t> </w:t>
      </w:r>
      <w:r>
        <w:rPr/>
        <w:t>Indonesia’,</w:t>
      </w:r>
      <w:r>
        <w:rPr>
          <w:spacing w:val="34"/>
        </w:rPr>
        <w:t> </w:t>
      </w:r>
      <w:r>
        <w:rPr>
          <w:i/>
        </w:rPr>
        <w:t>Jurnal</w:t>
      </w:r>
      <w:r>
        <w:rPr>
          <w:i/>
          <w:spacing w:val="30"/>
        </w:rPr>
        <w:t> </w:t>
      </w:r>
      <w:r>
        <w:rPr>
          <w:i/>
          <w:spacing w:val="-2"/>
        </w:rPr>
        <w:t>Media</w:t>
      </w:r>
    </w:p>
    <w:p>
      <w:pPr>
        <w:pStyle w:val="BodyText"/>
        <w:spacing w:after="0"/>
        <w:rPr>
          <w:i/>
        </w:rPr>
        <w:sectPr>
          <w:pgSz w:w="11910" w:h="16840"/>
          <w:pgMar w:header="0" w:footer="1000" w:top="1360" w:bottom="1200" w:left="1417" w:right="1275"/>
        </w:sectPr>
      </w:pPr>
    </w:p>
    <w:p>
      <w:pPr>
        <w:spacing w:before="60"/>
        <w:ind w:left="503" w:right="0" w:firstLine="0"/>
        <w:jc w:val="left"/>
        <w:rPr>
          <w:sz w:val="24"/>
        </w:rPr>
      </w:pPr>
      <w:r>
        <w:rPr>
          <w:i/>
          <w:sz w:val="24"/>
        </w:rPr>
        <w:t>Akuntansi</w:t>
      </w:r>
      <w:r>
        <w:rPr>
          <w:i/>
          <w:spacing w:val="-4"/>
          <w:sz w:val="24"/>
        </w:rPr>
        <w:t> </w:t>
      </w:r>
      <w:r>
        <w:rPr>
          <w:i/>
          <w:sz w:val="24"/>
        </w:rPr>
        <w:t>(Mediasi)</w:t>
      </w:r>
      <w:r>
        <w:rPr>
          <w:sz w:val="24"/>
        </w:rPr>
        <w:t>,</w:t>
      </w:r>
      <w:r>
        <w:rPr>
          <w:spacing w:val="-1"/>
          <w:sz w:val="24"/>
        </w:rPr>
        <w:t> </w:t>
      </w:r>
      <w:r>
        <w:rPr>
          <w:sz w:val="24"/>
        </w:rPr>
        <w:t>1</w:t>
      </w:r>
      <w:r>
        <w:rPr>
          <w:spacing w:val="-2"/>
          <w:sz w:val="24"/>
        </w:rPr>
        <w:t> </w:t>
      </w:r>
      <w:r>
        <w:rPr>
          <w:sz w:val="24"/>
        </w:rPr>
        <w:t>(2018),</w:t>
      </w:r>
      <w:r>
        <w:rPr>
          <w:spacing w:val="-2"/>
          <w:sz w:val="24"/>
        </w:rPr>
        <w:t> </w:t>
      </w:r>
      <w:r>
        <w:rPr>
          <w:sz w:val="24"/>
        </w:rPr>
        <w:t>66–79</w:t>
      </w:r>
      <w:r>
        <w:rPr>
          <w:spacing w:val="-1"/>
          <w:sz w:val="24"/>
        </w:rPr>
        <w:t> </w:t>
      </w:r>
      <w:r>
        <w:rPr>
          <w:spacing w:val="-2"/>
          <w:sz w:val="24"/>
        </w:rPr>
        <w:t>&lt;https://doi.org/10.31851/jmediasi.v1i1.2368&gt;</w:t>
      </w:r>
    </w:p>
    <w:p>
      <w:pPr>
        <w:pStyle w:val="BodyText"/>
        <w:spacing w:before="162"/>
        <w:ind w:left="503" w:right="163" w:hanging="480"/>
        <w:jc w:val="both"/>
      </w:pPr>
      <w:r>
        <w:rPr/>
        <w:t>Ratmojoyo, Yusuf Satrio, Trisiladi Supriyanto, and Siwi Nugraheni, ‘Faktor-Faktor Yang Mempengaruhi Minat Berinvestasi Saham Syariah’, </w:t>
      </w:r>
      <w:r>
        <w:rPr>
          <w:i/>
        </w:rPr>
        <w:t>Etihad: Journal of Islamic Banking and Finance</w:t>
      </w:r>
      <w:r>
        <w:rPr/>
        <w:t>, 1 (2021), 115–31 &lt;https://doi.org/10.21154/etihad.v1i2.3236&gt;</w:t>
      </w:r>
    </w:p>
    <w:p>
      <w:pPr>
        <w:pStyle w:val="BodyText"/>
        <w:spacing w:before="158"/>
        <w:ind w:left="503" w:right="170" w:hanging="480"/>
        <w:jc w:val="both"/>
      </w:pPr>
      <w:r>
        <w:rPr/>
        <w:t>Ridha, Azzahra Hasna, ‘Analisis Pengaruh Variabel Makroekonomi Terhadap Indeks Saham Syariah Indonesia’, </w:t>
      </w:r>
      <w:r>
        <w:rPr>
          <w:i/>
        </w:rPr>
        <w:t>Universitas Islam Indonesia</w:t>
      </w:r>
      <w:r>
        <w:rPr/>
        <w:t>, 2016</w:t>
      </w:r>
    </w:p>
    <w:p>
      <w:pPr>
        <w:pStyle w:val="BodyText"/>
        <w:spacing w:before="161"/>
        <w:ind w:right="166"/>
        <w:jc w:val="right"/>
      </w:pPr>
      <w:r>
        <w:rPr/>
        <w:t>Rindika,</w:t>
      </w:r>
      <w:r>
        <w:rPr>
          <w:spacing w:val="-13"/>
        </w:rPr>
        <w:t> </w:t>
      </w:r>
      <w:r>
        <w:rPr/>
        <w:t>Santika</w:t>
      </w:r>
      <w:r>
        <w:rPr>
          <w:spacing w:val="-11"/>
        </w:rPr>
        <w:t> </w:t>
      </w:r>
      <w:r>
        <w:rPr/>
        <w:t>Maya,</w:t>
      </w:r>
      <w:r>
        <w:rPr>
          <w:spacing w:val="-11"/>
        </w:rPr>
        <w:t> </w:t>
      </w:r>
      <w:r>
        <w:rPr/>
        <w:t>‘Dampak</w:t>
      </w:r>
      <w:r>
        <w:rPr>
          <w:spacing w:val="-11"/>
        </w:rPr>
        <w:t> </w:t>
      </w:r>
      <w:r>
        <w:rPr/>
        <w:t>Variabel</w:t>
      </w:r>
      <w:r>
        <w:rPr>
          <w:spacing w:val="-9"/>
        </w:rPr>
        <w:t> </w:t>
      </w:r>
      <w:r>
        <w:rPr/>
        <w:t>Makroekonomi</w:t>
      </w:r>
      <w:r>
        <w:rPr>
          <w:spacing w:val="-10"/>
        </w:rPr>
        <w:t> </w:t>
      </w:r>
      <w:r>
        <w:rPr/>
        <w:t>Terhadap</w:t>
      </w:r>
      <w:r>
        <w:rPr>
          <w:spacing w:val="-10"/>
        </w:rPr>
        <w:t> </w:t>
      </w:r>
      <w:r>
        <w:rPr/>
        <w:t>Pergerakan</w:t>
      </w:r>
      <w:r>
        <w:rPr>
          <w:spacing w:val="-8"/>
        </w:rPr>
        <w:t> </w:t>
      </w:r>
      <w:r>
        <w:rPr/>
        <w:t>Indeks</w:t>
      </w:r>
      <w:r>
        <w:rPr>
          <w:spacing w:val="-9"/>
        </w:rPr>
        <w:t> </w:t>
      </w:r>
      <w:r>
        <w:rPr>
          <w:spacing w:val="-2"/>
        </w:rPr>
        <w:t>Harga</w:t>
      </w:r>
    </w:p>
    <w:p>
      <w:pPr>
        <w:pStyle w:val="BodyText"/>
        <w:ind w:right="163"/>
        <w:jc w:val="right"/>
      </w:pPr>
      <w:r>
        <w:rPr/>
        <w:t>Saham</w:t>
      </w:r>
      <w:r>
        <w:rPr>
          <w:spacing w:val="-3"/>
        </w:rPr>
        <w:t> </w:t>
      </w:r>
      <w:r>
        <w:rPr/>
        <w:t>Gabungan</w:t>
      </w:r>
      <w:r>
        <w:rPr>
          <w:spacing w:val="-2"/>
        </w:rPr>
        <w:t> </w:t>
      </w:r>
      <w:r>
        <w:rPr/>
        <w:t>(</w:t>
      </w:r>
      <w:r>
        <w:rPr>
          <w:spacing w:val="-1"/>
        </w:rPr>
        <w:t> </w:t>
      </w:r>
      <w:r>
        <w:rPr/>
        <w:t>IHSG</w:t>
      </w:r>
      <w:r>
        <w:rPr>
          <w:spacing w:val="-3"/>
        </w:rPr>
        <w:t> </w:t>
      </w:r>
      <w:r>
        <w:rPr/>
        <w:t>)</w:t>
      </w:r>
      <w:r>
        <w:rPr>
          <w:spacing w:val="-3"/>
        </w:rPr>
        <w:t> </w:t>
      </w:r>
      <w:r>
        <w:rPr/>
        <w:t>Selama</w:t>
      </w:r>
      <w:r>
        <w:rPr>
          <w:spacing w:val="-3"/>
        </w:rPr>
        <w:t> </w:t>
      </w:r>
      <w:r>
        <w:rPr/>
        <w:t>Pandemi</w:t>
      </w:r>
      <w:r>
        <w:rPr>
          <w:spacing w:val="-3"/>
        </w:rPr>
        <w:t> </w:t>
      </w:r>
      <w:r>
        <w:rPr/>
        <w:t>COVID-19</w:t>
      </w:r>
      <w:r>
        <w:rPr>
          <w:spacing w:val="-2"/>
        </w:rPr>
        <w:t> </w:t>
      </w:r>
      <w:r>
        <w:rPr/>
        <w:t>Di Indonesia’,</w:t>
      </w:r>
      <w:r>
        <w:rPr>
          <w:spacing w:val="-2"/>
        </w:rPr>
        <w:t> </w:t>
      </w:r>
      <w:r>
        <w:rPr/>
        <w:t>9</w:t>
      </w:r>
      <w:r>
        <w:rPr>
          <w:spacing w:val="-2"/>
        </w:rPr>
        <w:t> </w:t>
      </w:r>
      <w:r>
        <w:rPr/>
        <w:t>(2024),</w:t>
      </w:r>
      <w:r>
        <w:rPr>
          <w:spacing w:val="-3"/>
        </w:rPr>
        <w:t> </w:t>
      </w:r>
      <w:r>
        <w:rPr>
          <w:spacing w:val="-2"/>
        </w:rPr>
        <w:t>220–40</w:t>
      </w:r>
    </w:p>
    <w:p>
      <w:pPr>
        <w:pStyle w:val="BodyText"/>
        <w:ind w:left="503"/>
      </w:pPr>
      <w:r>
        <w:rPr>
          <w:spacing w:val="-2"/>
        </w:rPr>
        <w:t>&lt;https://doi.org/10.20473/baki.vxix.xxxxx&gt;</w:t>
      </w:r>
    </w:p>
    <w:p>
      <w:pPr>
        <w:pStyle w:val="BodyText"/>
        <w:spacing w:before="161"/>
        <w:ind w:left="503" w:right="160" w:hanging="480"/>
        <w:jc w:val="both"/>
      </w:pPr>
      <w:r>
        <w:rPr/>
        <w:t>Safany, Ega Risti, Iwan Setiawan, and Fifi Afiyanti Tripuspitorini, ‘Analisis Pengaruh Makroekonomi Dan Kinerja Perusahaan Terhadap Harga Saham Syariah Pada Indeks Saham</w:t>
      </w:r>
      <w:r>
        <w:rPr>
          <w:spacing w:val="-6"/>
        </w:rPr>
        <w:t> </w:t>
      </w:r>
      <w:r>
        <w:rPr/>
        <w:t>Syariah</w:t>
      </w:r>
      <w:r>
        <w:rPr>
          <w:spacing w:val="-7"/>
        </w:rPr>
        <w:t> </w:t>
      </w:r>
      <w:r>
        <w:rPr/>
        <w:t>Indonesia’,</w:t>
      </w:r>
      <w:r>
        <w:rPr>
          <w:spacing w:val="-6"/>
        </w:rPr>
        <w:t> </w:t>
      </w:r>
      <w:r>
        <w:rPr>
          <w:i/>
        </w:rPr>
        <w:t>Journal</w:t>
      </w:r>
      <w:r>
        <w:rPr>
          <w:i/>
          <w:spacing w:val="-6"/>
        </w:rPr>
        <w:t> </w:t>
      </w:r>
      <w:r>
        <w:rPr>
          <w:i/>
        </w:rPr>
        <w:t>of</w:t>
      </w:r>
      <w:r>
        <w:rPr>
          <w:i/>
          <w:spacing w:val="-6"/>
        </w:rPr>
        <w:t> </w:t>
      </w:r>
      <w:r>
        <w:rPr>
          <w:i/>
        </w:rPr>
        <w:t>Applied</w:t>
      </w:r>
      <w:r>
        <w:rPr>
          <w:i/>
          <w:spacing w:val="-7"/>
        </w:rPr>
        <w:t> </w:t>
      </w:r>
      <w:r>
        <w:rPr>
          <w:i/>
        </w:rPr>
        <w:t>Islamic</w:t>
      </w:r>
      <w:r>
        <w:rPr>
          <w:i/>
          <w:spacing w:val="-8"/>
        </w:rPr>
        <w:t> </w:t>
      </w:r>
      <w:r>
        <w:rPr>
          <w:i/>
        </w:rPr>
        <w:t>Economics</w:t>
      </w:r>
      <w:r>
        <w:rPr>
          <w:i/>
          <w:spacing w:val="-7"/>
        </w:rPr>
        <w:t> </w:t>
      </w:r>
      <w:r>
        <w:rPr>
          <w:i/>
        </w:rPr>
        <w:t>and</w:t>
      </w:r>
      <w:r>
        <w:rPr>
          <w:i/>
          <w:spacing w:val="-7"/>
        </w:rPr>
        <w:t> </w:t>
      </w:r>
      <w:r>
        <w:rPr>
          <w:i/>
        </w:rPr>
        <w:t>Finance</w:t>
      </w:r>
      <w:r>
        <w:rPr/>
        <w:t>,</w:t>
      </w:r>
      <w:r>
        <w:rPr>
          <w:spacing w:val="-7"/>
        </w:rPr>
        <w:t> </w:t>
      </w:r>
      <w:r>
        <w:rPr/>
        <w:t>2</w:t>
      </w:r>
      <w:r>
        <w:rPr>
          <w:spacing w:val="-7"/>
        </w:rPr>
        <w:t> </w:t>
      </w:r>
      <w:r>
        <w:rPr/>
        <w:t>(2021), 64–74 &lt;https://doi.org/10.35313/jaief.v2i1.2829&gt;</w:t>
      </w:r>
    </w:p>
    <w:p>
      <w:pPr>
        <w:spacing w:before="159"/>
        <w:ind w:left="23" w:right="0" w:firstLine="0"/>
        <w:jc w:val="left"/>
        <w:rPr>
          <w:sz w:val="24"/>
        </w:rPr>
      </w:pPr>
      <w:r>
        <w:rPr>
          <w:sz w:val="24"/>
        </w:rPr>
        <w:t>Samsul,</w:t>
      </w:r>
      <w:r>
        <w:rPr>
          <w:spacing w:val="-2"/>
          <w:sz w:val="24"/>
        </w:rPr>
        <w:t> </w:t>
      </w:r>
      <w:r>
        <w:rPr>
          <w:sz w:val="24"/>
        </w:rPr>
        <w:t>M,</w:t>
      </w:r>
      <w:r>
        <w:rPr>
          <w:spacing w:val="-1"/>
          <w:sz w:val="24"/>
        </w:rPr>
        <w:t> </w:t>
      </w:r>
      <w:r>
        <w:rPr>
          <w:i/>
          <w:sz w:val="24"/>
        </w:rPr>
        <w:t>Pasar</w:t>
      </w:r>
      <w:r>
        <w:rPr>
          <w:i/>
          <w:spacing w:val="-2"/>
          <w:sz w:val="24"/>
        </w:rPr>
        <w:t> </w:t>
      </w:r>
      <w:r>
        <w:rPr>
          <w:i/>
          <w:sz w:val="24"/>
        </w:rPr>
        <w:t>Modal</w:t>
      </w:r>
      <w:r>
        <w:rPr>
          <w:i/>
          <w:spacing w:val="-5"/>
          <w:sz w:val="24"/>
        </w:rPr>
        <w:t> </w:t>
      </w:r>
      <w:r>
        <w:rPr>
          <w:i/>
          <w:sz w:val="24"/>
        </w:rPr>
        <w:t>Dan</w:t>
      </w:r>
      <w:r>
        <w:rPr>
          <w:i/>
          <w:spacing w:val="-1"/>
          <w:sz w:val="24"/>
        </w:rPr>
        <w:t> </w:t>
      </w:r>
      <w:r>
        <w:rPr>
          <w:i/>
          <w:sz w:val="24"/>
        </w:rPr>
        <w:t>Manajemen</w:t>
      </w:r>
      <w:r>
        <w:rPr>
          <w:i/>
          <w:spacing w:val="-1"/>
          <w:sz w:val="24"/>
        </w:rPr>
        <w:t> </w:t>
      </w:r>
      <w:r>
        <w:rPr>
          <w:i/>
          <w:sz w:val="24"/>
        </w:rPr>
        <w:t>Portofolio</w:t>
      </w:r>
      <w:r>
        <w:rPr>
          <w:i/>
          <w:spacing w:val="-1"/>
          <w:sz w:val="24"/>
        </w:rPr>
        <w:t> </w:t>
      </w:r>
      <w:r>
        <w:rPr>
          <w:sz w:val="24"/>
        </w:rPr>
        <w:t>(Surabaya:</w:t>
      </w:r>
      <w:r>
        <w:rPr>
          <w:spacing w:val="-1"/>
          <w:sz w:val="24"/>
        </w:rPr>
        <w:t> </w:t>
      </w:r>
      <w:r>
        <w:rPr>
          <w:sz w:val="24"/>
        </w:rPr>
        <w:t>Erlangga,</w:t>
      </w:r>
      <w:r>
        <w:rPr>
          <w:spacing w:val="-1"/>
          <w:sz w:val="24"/>
        </w:rPr>
        <w:t> </w:t>
      </w:r>
      <w:r>
        <w:rPr>
          <w:spacing w:val="-2"/>
          <w:sz w:val="24"/>
        </w:rPr>
        <w:t>2014)</w:t>
      </w:r>
    </w:p>
    <w:p>
      <w:pPr>
        <w:spacing w:before="161"/>
        <w:ind w:left="503" w:right="165" w:hanging="480"/>
        <w:jc w:val="both"/>
        <w:rPr>
          <w:sz w:val="24"/>
        </w:rPr>
      </w:pPr>
      <w:r>
        <w:rPr>
          <w:sz w:val="24"/>
        </w:rPr>
        <w:t>Santosa, Agus Budi, </w:t>
      </w:r>
      <w:r>
        <w:rPr>
          <w:i/>
          <w:sz w:val="24"/>
        </w:rPr>
        <w:t>Monograf Nilai Tukar Rupiah Pendekatan Purchasing Power Parity </w:t>
      </w:r>
      <w:r>
        <w:rPr>
          <w:sz w:val="24"/>
        </w:rPr>
        <w:t>(Semarang: Lembaga Penelitian dan Pengabdian Masyarakat (LP2M) Universitas Stikubank Semarang, 2018)</w:t>
      </w:r>
    </w:p>
    <w:p>
      <w:pPr>
        <w:pStyle w:val="BodyText"/>
        <w:spacing w:before="158"/>
        <w:ind w:left="23"/>
      </w:pPr>
      <w:r>
        <w:rPr/>
        <w:t>Saputra,</w:t>
      </w:r>
      <w:r>
        <w:rPr>
          <w:spacing w:val="72"/>
        </w:rPr>
        <w:t> </w:t>
      </w:r>
      <w:r>
        <w:rPr/>
        <w:t>M.</w:t>
      </w:r>
      <w:r>
        <w:rPr>
          <w:spacing w:val="73"/>
        </w:rPr>
        <w:t> </w:t>
      </w:r>
      <w:r>
        <w:rPr/>
        <w:t>Nasyah</w:t>
      </w:r>
      <w:r>
        <w:rPr>
          <w:spacing w:val="73"/>
        </w:rPr>
        <w:t> </w:t>
      </w:r>
      <w:r>
        <w:rPr/>
        <w:t>Agus,</w:t>
      </w:r>
      <w:r>
        <w:rPr>
          <w:spacing w:val="73"/>
        </w:rPr>
        <w:t> </w:t>
      </w:r>
      <w:r>
        <w:rPr/>
        <w:t>‘Pasar</w:t>
      </w:r>
      <w:r>
        <w:rPr>
          <w:spacing w:val="72"/>
        </w:rPr>
        <w:t> </w:t>
      </w:r>
      <w:r>
        <w:rPr/>
        <w:t>Modal</w:t>
      </w:r>
      <w:r>
        <w:rPr>
          <w:spacing w:val="72"/>
        </w:rPr>
        <w:t> </w:t>
      </w:r>
      <w:r>
        <w:rPr/>
        <w:t>Syariah</w:t>
      </w:r>
      <w:r>
        <w:rPr>
          <w:spacing w:val="73"/>
        </w:rPr>
        <w:t> </w:t>
      </w:r>
      <w:r>
        <w:rPr/>
        <w:t>Di</w:t>
      </w:r>
      <w:r>
        <w:rPr>
          <w:spacing w:val="73"/>
        </w:rPr>
        <w:t> </w:t>
      </w:r>
      <w:r>
        <w:rPr/>
        <w:t>Indonesia’,</w:t>
      </w:r>
      <w:r>
        <w:rPr>
          <w:spacing w:val="76"/>
        </w:rPr>
        <w:t> </w:t>
      </w:r>
      <w:r>
        <w:rPr>
          <w:i/>
        </w:rPr>
        <w:t>Al_Qanun</w:t>
      </w:r>
      <w:r>
        <w:rPr/>
        <w:t>,</w:t>
      </w:r>
      <w:r>
        <w:rPr>
          <w:spacing w:val="73"/>
        </w:rPr>
        <w:t> </w:t>
      </w:r>
      <w:r>
        <w:rPr/>
        <w:t>17</w:t>
      </w:r>
      <w:r>
        <w:rPr>
          <w:spacing w:val="73"/>
        </w:rPr>
        <w:t> </w:t>
      </w:r>
      <w:r>
        <w:rPr>
          <w:spacing w:val="-2"/>
        </w:rPr>
        <w:t>(2014)</w:t>
      </w:r>
    </w:p>
    <w:p>
      <w:pPr>
        <w:pStyle w:val="BodyText"/>
        <w:ind w:left="503"/>
      </w:pPr>
      <w:r>
        <w:rPr>
          <w:spacing w:val="-2"/>
        </w:rPr>
        <w:t>&lt;https://doi.org/10.15642/elqist.2011.1.1.15-</w:t>
      </w:r>
      <w:r>
        <w:rPr>
          <w:spacing w:val="-5"/>
        </w:rPr>
        <w:t>40&gt;</w:t>
      </w:r>
    </w:p>
    <w:p>
      <w:pPr>
        <w:pStyle w:val="BodyText"/>
        <w:spacing w:before="161"/>
        <w:ind w:left="503" w:hanging="480"/>
      </w:pPr>
      <w:r>
        <w:rPr/>
        <w:t>Sari, Linda, Imam Asngari, and Yunisvita, ‘Determinan Variabel Makroekonomi Terhadap</w:t>
      </w:r>
      <w:r>
        <w:rPr>
          <w:spacing w:val="40"/>
        </w:rPr>
        <w:t> </w:t>
      </w:r>
      <w:r>
        <w:rPr/>
        <w:t>Indeks</w:t>
      </w:r>
      <w:r>
        <w:rPr>
          <w:spacing w:val="12"/>
        </w:rPr>
        <w:t> </w:t>
      </w:r>
      <w:r>
        <w:rPr/>
        <w:t>Saham</w:t>
      </w:r>
      <w:r>
        <w:rPr>
          <w:spacing w:val="15"/>
        </w:rPr>
        <w:t> </w:t>
      </w:r>
      <w:r>
        <w:rPr/>
        <w:t>Syariah</w:t>
      </w:r>
      <w:r>
        <w:rPr>
          <w:spacing w:val="16"/>
        </w:rPr>
        <w:t> </w:t>
      </w:r>
      <w:r>
        <w:rPr/>
        <w:t>Indonesia’,</w:t>
      </w:r>
      <w:r>
        <w:rPr>
          <w:spacing w:val="16"/>
        </w:rPr>
        <w:t> </w:t>
      </w:r>
      <w:r>
        <w:rPr>
          <w:i/>
        </w:rPr>
        <w:t>Jurnal</w:t>
      </w:r>
      <w:r>
        <w:rPr>
          <w:i/>
          <w:spacing w:val="15"/>
        </w:rPr>
        <w:t> </w:t>
      </w:r>
      <w:r>
        <w:rPr>
          <w:i/>
        </w:rPr>
        <w:t>Informatika</w:t>
      </w:r>
      <w:r>
        <w:rPr>
          <w:i/>
          <w:spacing w:val="15"/>
        </w:rPr>
        <w:t> </w:t>
      </w:r>
      <w:r>
        <w:rPr>
          <w:i/>
        </w:rPr>
        <w:t>Ekonomi</w:t>
      </w:r>
      <w:r>
        <w:rPr>
          <w:i/>
          <w:spacing w:val="14"/>
        </w:rPr>
        <w:t> </w:t>
      </w:r>
      <w:r>
        <w:rPr>
          <w:i/>
        </w:rPr>
        <w:t>Bisnis</w:t>
      </w:r>
      <w:r>
        <w:rPr/>
        <w:t>,</w:t>
      </w:r>
      <w:r>
        <w:rPr>
          <w:spacing w:val="14"/>
        </w:rPr>
        <w:t> </w:t>
      </w:r>
      <w:r>
        <w:rPr/>
        <w:t>7</w:t>
      </w:r>
      <w:r>
        <w:rPr>
          <w:spacing w:val="14"/>
        </w:rPr>
        <w:t> </w:t>
      </w:r>
      <w:r>
        <w:rPr/>
        <w:t>(2025),</w:t>
      </w:r>
      <w:r>
        <w:rPr>
          <w:spacing w:val="14"/>
        </w:rPr>
        <w:t> </w:t>
      </w:r>
      <w:r>
        <w:rPr>
          <w:spacing w:val="-2"/>
        </w:rPr>
        <w:t>28–32</w:t>
      </w:r>
    </w:p>
    <w:p>
      <w:pPr>
        <w:pStyle w:val="BodyText"/>
        <w:ind w:left="503"/>
      </w:pPr>
      <w:r>
        <w:rPr>
          <w:spacing w:val="-2"/>
        </w:rPr>
        <w:t>&lt;https://doi.org/10.37034/infeb.v7i1.1079&gt;</w:t>
      </w:r>
    </w:p>
    <w:p>
      <w:pPr>
        <w:pStyle w:val="BodyText"/>
        <w:spacing w:before="161"/>
        <w:ind w:left="503" w:right="163" w:hanging="480"/>
        <w:jc w:val="both"/>
      </w:pPr>
      <w:r>
        <w:rPr/>
        <w:t>Sari,</w:t>
      </w:r>
      <w:r>
        <w:rPr>
          <w:spacing w:val="-12"/>
        </w:rPr>
        <w:t> </w:t>
      </w:r>
      <w:r>
        <w:rPr/>
        <w:t>Yeni</w:t>
      </w:r>
      <w:r>
        <w:rPr>
          <w:spacing w:val="-12"/>
        </w:rPr>
        <w:t> </w:t>
      </w:r>
      <w:r>
        <w:rPr/>
        <w:t>Putri</w:t>
      </w:r>
      <w:r>
        <w:rPr>
          <w:spacing w:val="-12"/>
        </w:rPr>
        <w:t> </w:t>
      </w:r>
      <w:r>
        <w:rPr/>
        <w:t>Nila,</w:t>
      </w:r>
      <w:r>
        <w:rPr>
          <w:spacing w:val="-13"/>
        </w:rPr>
        <w:t> </w:t>
      </w:r>
      <w:r>
        <w:rPr/>
        <w:t>‘Pengaruh</w:t>
      </w:r>
      <w:r>
        <w:rPr>
          <w:spacing w:val="-13"/>
        </w:rPr>
        <w:t> </w:t>
      </w:r>
      <w:r>
        <w:rPr/>
        <w:t>Nilai</w:t>
      </w:r>
      <w:r>
        <w:rPr>
          <w:spacing w:val="-12"/>
        </w:rPr>
        <w:t> </w:t>
      </w:r>
      <w:r>
        <w:rPr/>
        <w:t>Tukar</w:t>
      </w:r>
      <w:r>
        <w:rPr>
          <w:spacing w:val="-13"/>
        </w:rPr>
        <w:t> </w:t>
      </w:r>
      <w:r>
        <w:rPr/>
        <w:t>,</w:t>
      </w:r>
      <w:r>
        <w:rPr>
          <w:spacing w:val="-12"/>
        </w:rPr>
        <w:t> </w:t>
      </w:r>
      <w:r>
        <w:rPr/>
        <w:t>Suku</w:t>
      </w:r>
      <w:r>
        <w:rPr>
          <w:spacing w:val="-12"/>
        </w:rPr>
        <w:t> </w:t>
      </w:r>
      <w:r>
        <w:rPr/>
        <w:t>Bunga</w:t>
      </w:r>
      <w:r>
        <w:rPr>
          <w:spacing w:val="-13"/>
        </w:rPr>
        <w:t> </w:t>
      </w:r>
      <w:r>
        <w:rPr/>
        <w:t>,</w:t>
      </w:r>
      <w:r>
        <w:rPr>
          <w:spacing w:val="-10"/>
        </w:rPr>
        <w:t> </w:t>
      </w:r>
      <w:r>
        <w:rPr/>
        <w:t>Iflasi</w:t>
      </w:r>
      <w:r>
        <w:rPr>
          <w:spacing w:val="-11"/>
        </w:rPr>
        <w:t> </w:t>
      </w:r>
      <w:r>
        <w:rPr/>
        <w:t>Dan</w:t>
      </w:r>
      <w:r>
        <w:rPr>
          <w:spacing w:val="-10"/>
        </w:rPr>
        <w:t> </w:t>
      </w:r>
      <w:r>
        <w:rPr/>
        <w:t>Indeks</w:t>
      </w:r>
      <w:r>
        <w:rPr>
          <w:spacing w:val="-12"/>
        </w:rPr>
        <w:t> </w:t>
      </w:r>
      <w:r>
        <w:rPr/>
        <w:t>Produksi</w:t>
      </w:r>
      <w:r>
        <w:rPr>
          <w:spacing w:val="-11"/>
        </w:rPr>
        <w:t> </w:t>
      </w:r>
      <w:r>
        <w:rPr/>
        <w:t>Industri ( IPI ) Terhadap Nilai Perusahaan ( Studi Empiris Perusahaan Sektor Komoditas Dan Energi</w:t>
      </w:r>
      <w:r>
        <w:rPr>
          <w:spacing w:val="37"/>
        </w:rPr>
        <w:t>  </w:t>
      </w:r>
      <w:r>
        <w:rPr/>
        <w:t>Yang</w:t>
      </w:r>
      <w:r>
        <w:rPr>
          <w:spacing w:val="37"/>
        </w:rPr>
        <w:t>  </w:t>
      </w:r>
      <w:r>
        <w:rPr/>
        <w:t>Terdaftar</w:t>
      </w:r>
      <w:r>
        <w:rPr>
          <w:spacing w:val="38"/>
        </w:rPr>
        <w:t>  </w:t>
      </w:r>
      <w:r>
        <w:rPr/>
        <w:t>Pada</w:t>
      </w:r>
      <w:r>
        <w:rPr>
          <w:spacing w:val="36"/>
        </w:rPr>
        <w:t>  </w:t>
      </w:r>
      <w:r>
        <w:rPr/>
        <w:t>Indeks</w:t>
      </w:r>
      <w:r>
        <w:rPr>
          <w:spacing w:val="37"/>
        </w:rPr>
        <w:t>  </w:t>
      </w:r>
      <w:r>
        <w:rPr/>
        <w:t>SRI-KEHATI</w:t>
      </w:r>
      <w:r>
        <w:rPr>
          <w:spacing w:val="36"/>
        </w:rPr>
        <w:t>  </w:t>
      </w:r>
      <w:r>
        <w:rPr/>
        <w:t>Periode</w:t>
      </w:r>
      <w:r>
        <w:rPr>
          <w:spacing w:val="36"/>
        </w:rPr>
        <w:t>  </w:t>
      </w:r>
      <w:r>
        <w:rPr/>
        <w:t>2019-2023)’,</w:t>
      </w:r>
      <w:r>
        <w:rPr>
          <w:spacing w:val="37"/>
        </w:rPr>
        <w:t>  </w:t>
      </w:r>
      <w:r>
        <w:rPr>
          <w:spacing w:val="-4"/>
        </w:rPr>
        <w:t>2025</w:t>
      </w:r>
    </w:p>
    <w:p>
      <w:pPr>
        <w:pStyle w:val="BodyText"/>
        <w:ind w:left="503"/>
      </w:pPr>
      <w:r>
        <w:rPr>
          <w:spacing w:val="-2"/>
        </w:rPr>
        <w:t>&lt;https://doi.org/10.13140/RG.2.2.25905.29284&gt;</w:t>
      </w:r>
    </w:p>
    <w:p>
      <w:pPr>
        <w:pStyle w:val="BodyText"/>
        <w:spacing w:before="159"/>
        <w:ind w:right="166"/>
        <w:jc w:val="right"/>
      </w:pPr>
      <w:r>
        <w:rPr/>
        <w:t>Savira,</w:t>
      </w:r>
      <w:r>
        <w:rPr>
          <w:spacing w:val="36"/>
        </w:rPr>
        <w:t> </w:t>
      </w:r>
      <w:r>
        <w:rPr/>
        <w:t>Ramadya,</w:t>
      </w:r>
      <w:r>
        <w:rPr>
          <w:spacing w:val="41"/>
        </w:rPr>
        <w:t> </w:t>
      </w:r>
      <w:r>
        <w:rPr/>
        <w:t>and</w:t>
      </w:r>
      <w:r>
        <w:rPr>
          <w:spacing w:val="40"/>
        </w:rPr>
        <w:t> </w:t>
      </w:r>
      <w:r>
        <w:rPr/>
        <w:t>Dheo</w:t>
      </w:r>
      <w:r>
        <w:rPr>
          <w:spacing w:val="39"/>
        </w:rPr>
        <w:t> </w:t>
      </w:r>
      <w:r>
        <w:rPr/>
        <w:t>Rimbano,</w:t>
      </w:r>
      <w:r>
        <w:rPr>
          <w:spacing w:val="39"/>
        </w:rPr>
        <w:t> </w:t>
      </w:r>
      <w:r>
        <w:rPr/>
        <w:t>‘Pengaruh</w:t>
      </w:r>
      <w:r>
        <w:rPr>
          <w:spacing w:val="38"/>
        </w:rPr>
        <w:t> </w:t>
      </w:r>
      <w:r>
        <w:rPr/>
        <w:t>Suku</w:t>
      </w:r>
      <w:r>
        <w:rPr>
          <w:spacing w:val="39"/>
        </w:rPr>
        <w:t> </w:t>
      </w:r>
      <w:r>
        <w:rPr/>
        <w:t>Bunga</w:t>
      </w:r>
      <w:r>
        <w:rPr>
          <w:spacing w:val="38"/>
        </w:rPr>
        <w:t> </w:t>
      </w:r>
      <w:r>
        <w:rPr/>
        <w:t>Dan</w:t>
      </w:r>
      <w:r>
        <w:rPr>
          <w:spacing w:val="40"/>
        </w:rPr>
        <w:t> </w:t>
      </w:r>
      <w:r>
        <w:rPr/>
        <w:t>Kurs</w:t>
      </w:r>
      <w:r>
        <w:rPr>
          <w:spacing w:val="39"/>
        </w:rPr>
        <w:t> </w:t>
      </w:r>
      <w:r>
        <w:rPr/>
        <w:t>Terhadap</w:t>
      </w:r>
      <w:r>
        <w:rPr>
          <w:spacing w:val="39"/>
        </w:rPr>
        <w:t> </w:t>
      </w:r>
      <w:r>
        <w:rPr>
          <w:spacing w:val="-2"/>
        </w:rPr>
        <w:t>Harga</w:t>
      </w:r>
    </w:p>
    <w:p>
      <w:pPr>
        <w:pStyle w:val="BodyText"/>
        <w:ind w:right="166"/>
        <w:jc w:val="right"/>
      </w:pPr>
      <w:r>
        <w:rPr/>
        <w:t>Saham</w:t>
      </w:r>
      <w:r>
        <w:rPr>
          <w:spacing w:val="-4"/>
        </w:rPr>
        <w:t> </w:t>
      </w:r>
      <w:r>
        <w:rPr/>
        <w:t>Perusahaan</w:t>
      </w:r>
      <w:r>
        <w:rPr>
          <w:spacing w:val="-1"/>
        </w:rPr>
        <w:t> </w:t>
      </w:r>
      <w:r>
        <w:rPr/>
        <w:t>Real</w:t>
      </w:r>
      <w:r>
        <w:rPr>
          <w:spacing w:val="-2"/>
        </w:rPr>
        <w:t> </w:t>
      </w:r>
      <w:r>
        <w:rPr/>
        <w:t>Estate</w:t>
      </w:r>
      <w:r>
        <w:rPr>
          <w:spacing w:val="-1"/>
        </w:rPr>
        <w:t> </w:t>
      </w:r>
      <w:r>
        <w:rPr/>
        <w:t>Dan</w:t>
      </w:r>
      <w:r>
        <w:rPr>
          <w:spacing w:val="-2"/>
        </w:rPr>
        <w:t> </w:t>
      </w:r>
      <w:r>
        <w:rPr/>
        <w:t>Property</w:t>
      </w:r>
      <w:r>
        <w:rPr>
          <w:spacing w:val="-1"/>
        </w:rPr>
        <w:t> </w:t>
      </w:r>
      <w:r>
        <w:rPr/>
        <w:t>(Kajian</w:t>
      </w:r>
      <w:r>
        <w:rPr>
          <w:spacing w:val="-2"/>
        </w:rPr>
        <w:t> </w:t>
      </w:r>
      <w:r>
        <w:rPr/>
        <w:t>Empiris</w:t>
      </w:r>
      <w:r>
        <w:rPr>
          <w:spacing w:val="-2"/>
        </w:rPr>
        <w:t> </w:t>
      </w:r>
      <w:r>
        <w:rPr/>
        <w:t>Pada</w:t>
      </w:r>
      <w:r>
        <w:rPr>
          <w:spacing w:val="-3"/>
        </w:rPr>
        <w:t> </w:t>
      </w:r>
      <w:r>
        <w:rPr/>
        <w:t>Bursa</w:t>
      </w:r>
      <w:r>
        <w:rPr>
          <w:spacing w:val="-3"/>
        </w:rPr>
        <w:t> </w:t>
      </w:r>
      <w:r>
        <w:rPr/>
        <w:t>Efek</w:t>
      </w:r>
      <w:r>
        <w:rPr>
          <w:spacing w:val="1"/>
        </w:rPr>
        <w:t> </w:t>
      </w:r>
      <w:r>
        <w:rPr>
          <w:spacing w:val="-2"/>
        </w:rPr>
        <w:t>Indonesia</w:t>
      </w:r>
    </w:p>
    <w:p>
      <w:pPr>
        <w:spacing w:before="0"/>
        <w:ind w:left="0" w:right="161" w:firstLine="0"/>
        <w:jc w:val="right"/>
        <w:rPr>
          <w:sz w:val="24"/>
        </w:rPr>
      </w:pPr>
      <w:r>
        <w:rPr>
          <w:sz w:val="24"/>
        </w:rPr>
        <w:t>)</w:t>
      </w:r>
      <w:r>
        <w:rPr>
          <w:spacing w:val="-9"/>
          <w:sz w:val="24"/>
        </w:rPr>
        <w:t> </w:t>
      </w:r>
      <w:r>
        <w:rPr>
          <w:sz w:val="24"/>
        </w:rPr>
        <w:t>Periode</w:t>
      </w:r>
      <w:r>
        <w:rPr>
          <w:spacing w:val="-10"/>
          <w:sz w:val="24"/>
        </w:rPr>
        <w:t> </w:t>
      </w:r>
      <w:r>
        <w:rPr>
          <w:sz w:val="24"/>
        </w:rPr>
        <w:t>Bulanan</w:t>
      </w:r>
      <w:r>
        <w:rPr>
          <w:spacing w:val="-6"/>
          <w:sz w:val="24"/>
        </w:rPr>
        <w:t> </w:t>
      </w:r>
      <w:r>
        <w:rPr>
          <w:sz w:val="24"/>
        </w:rPr>
        <w:t>2013-2014’,</w:t>
      </w:r>
      <w:r>
        <w:rPr>
          <w:spacing w:val="-9"/>
          <w:sz w:val="24"/>
        </w:rPr>
        <w:t> </w:t>
      </w:r>
      <w:r>
        <w:rPr>
          <w:i/>
          <w:sz w:val="24"/>
        </w:rPr>
        <w:t>Motivasi:</w:t>
      </w:r>
      <w:r>
        <w:rPr>
          <w:i/>
          <w:spacing w:val="-7"/>
          <w:sz w:val="24"/>
        </w:rPr>
        <w:t> </w:t>
      </w:r>
      <w:r>
        <w:rPr>
          <w:i/>
          <w:sz w:val="24"/>
        </w:rPr>
        <w:t>Jurnal</w:t>
      </w:r>
      <w:r>
        <w:rPr>
          <w:i/>
          <w:spacing w:val="-5"/>
          <w:sz w:val="24"/>
        </w:rPr>
        <w:t> </w:t>
      </w:r>
      <w:r>
        <w:rPr>
          <w:i/>
          <w:sz w:val="24"/>
        </w:rPr>
        <w:t>Manajemen</w:t>
      </w:r>
      <w:r>
        <w:rPr>
          <w:i/>
          <w:spacing w:val="-6"/>
          <w:sz w:val="24"/>
        </w:rPr>
        <w:t> </w:t>
      </w:r>
      <w:r>
        <w:rPr>
          <w:i/>
          <w:sz w:val="24"/>
        </w:rPr>
        <w:t>Dan</w:t>
      </w:r>
      <w:r>
        <w:rPr>
          <w:i/>
          <w:spacing w:val="-9"/>
          <w:sz w:val="24"/>
        </w:rPr>
        <w:t> </w:t>
      </w:r>
      <w:r>
        <w:rPr>
          <w:i/>
          <w:sz w:val="24"/>
        </w:rPr>
        <w:t>Bisnis</w:t>
      </w:r>
      <w:r>
        <w:rPr>
          <w:sz w:val="24"/>
        </w:rPr>
        <w:t>,</w:t>
      </w:r>
      <w:r>
        <w:rPr>
          <w:spacing w:val="-6"/>
          <w:sz w:val="24"/>
        </w:rPr>
        <w:t> </w:t>
      </w:r>
      <w:r>
        <w:rPr>
          <w:sz w:val="24"/>
        </w:rPr>
        <w:t>1</w:t>
      </w:r>
      <w:r>
        <w:rPr>
          <w:spacing w:val="-9"/>
          <w:sz w:val="24"/>
        </w:rPr>
        <w:t> </w:t>
      </w:r>
      <w:r>
        <w:rPr>
          <w:sz w:val="24"/>
        </w:rPr>
        <w:t>(2016),</w:t>
      </w:r>
      <w:r>
        <w:rPr>
          <w:spacing w:val="-8"/>
          <w:sz w:val="24"/>
        </w:rPr>
        <w:t> </w:t>
      </w:r>
      <w:r>
        <w:rPr>
          <w:spacing w:val="-2"/>
          <w:sz w:val="24"/>
        </w:rPr>
        <w:t>25–36</w:t>
      </w:r>
    </w:p>
    <w:p>
      <w:pPr>
        <w:pStyle w:val="BodyText"/>
        <w:ind w:left="503"/>
      </w:pPr>
      <w:r>
        <w:rPr>
          <w:spacing w:val="-2"/>
        </w:rPr>
        <w:t>&lt;</w:t>
      </w:r>
      <w:hyperlink r:id="rId25">
        <w:r>
          <w:rPr>
            <w:spacing w:val="-2"/>
          </w:rPr>
          <w:t>http://jurnal.um-palembang.ac.id/motivasi/article/view/713&gt;</w:t>
        </w:r>
      </w:hyperlink>
    </w:p>
    <w:p>
      <w:pPr>
        <w:pStyle w:val="BodyText"/>
        <w:spacing w:before="161"/>
        <w:ind w:left="503" w:hanging="480"/>
        <w:rPr>
          <w:i/>
        </w:rPr>
      </w:pPr>
      <w:r>
        <w:rPr/>
        <w:t>Sholihah,</w:t>
      </w:r>
      <w:r>
        <w:rPr>
          <w:spacing w:val="36"/>
        </w:rPr>
        <w:t> </w:t>
      </w:r>
      <w:r>
        <w:rPr/>
        <w:t>Siti</w:t>
      </w:r>
      <w:r>
        <w:rPr>
          <w:spacing w:val="36"/>
        </w:rPr>
        <w:t> </w:t>
      </w:r>
      <w:r>
        <w:rPr/>
        <w:t>M,</w:t>
      </w:r>
      <w:r>
        <w:rPr>
          <w:spacing w:val="36"/>
        </w:rPr>
        <w:t> </w:t>
      </w:r>
      <w:r>
        <w:rPr/>
        <w:t>Nanda</w:t>
      </w:r>
      <w:r>
        <w:rPr>
          <w:spacing w:val="35"/>
        </w:rPr>
        <w:t> </w:t>
      </w:r>
      <w:r>
        <w:rPr/>
        <w:t>Yoga</w:t>
      </w:r>
      <w:r>
        <w:rPr>
          <w:spacing w:val="34"/>
        </w:rPr>
        <w:t> </w:t>
      </w:r>
      <w:r>
        <w:rPr/>
        <w:t>Aditiya,</w:t>
      </w:r>
      <w:r>
        <w:rPr>
          <w:spacing w:val="36"/>
        </w:rPr>
        <w:t> </w:t>
      </w:r>
      <w:r>
        <w:rPr/>
        <w:t>Elsa</w:t>
      </w:r>
      <w:r>
        <w:rPr>
          <w:spacing w:val="37"/>
        </w:rPr>
        <w:t> </w:t>
      </w:r>
      <w:r>
        <w:rPr/>
        <w:t>S</w:t>
      </w:r>
      <w:r>
        <w:rPr>
          <w:spacing w:val="39"/>
        </w:rPr>
        <w:t> </w:t>
      </w:r>
      <w:r>
        <w:rPr/>
        <w:t>Evani,</w:t>
      </w:r>
      <w:r>
        <w:rPr>
          <w:spacing w:val="36"/>
        </w:rPr>
        <w:t> </w:t>
      </w:r>
      <w:r>
        <w:rPr/>
        <w:t>and</w:t>
      </w:r>
      <w:r>
        <w:rPr>
          <w:spacing w:val="36"/>
        </w:rPr>
        <w:t> </w:t>
      </w:r>
      <w:r>
        <w:rPr/>
        <w:t>Siti</w:t>
      </w:r>
      <w:r>
        <w:rPr>
          <w:spacing w:val="36"/>
        </w:rPr>
        <w:t> </w:t>
      </w:r>
      <w:r>
        <w:rPr/>
        <w:t>Maghfiroh,</w:t>
      </w:r>
      <w:r>
        <w:rPr>
          <w:spacing w:val="36"/>
        </w:rPr>
        <w:t> </w:t>
      </w:r>
      <w:r>
        <w:rPr/>
        <w:t>‘KONSEP</w:t>
      </w:r>
      <w:r>
        <w:rPr>
          <w:spacing w:val="36"/>
        </w:rPr>
        <w:t> </w:t>
      </w:r>
      <w:r>
        <w:rPr/>
        <w:t>UJI ASUMSI</w:t>
      </w:r>
      <w:r>
        <w:rPr>
          <w:spacing w:val="31"/>
        </w:rPr>
        <w:t> </w:t>
      </w:r>
      <w:r>
        <w:rPr/>
        <w:t>KLASIK</w:t>
      </w:r>
      <w:r>
        <w:rPr>
          <w:spacing w:val="34"/>
        </w:rPr>
        <w:t> </w:t>
      </w:r>
      <w:r>
        <w:rPr/>
        <w:t>PADA</w:t>
      </w:r>
      <w:r>
        <w:rPr>
          <w:spacing w:val="34"/>
        </w:rPr>
        <w:t> </w:t>
      </w:r>
      <w:r>
        <w:rPr/>
        <w:t>REGRESI</w:t>
      </w:r>
      <w:r>
        <w:rPr>
          <w:spacing w:val="32"/>
        </w:rPr>
        <w:t> </w:t>
      </w:r>
      <w:r>
        <w:rPr/>
        <w:t>LINIER</w:t>
      </w:r>
      <w:r>
        <w:rPr>
          <w:spacing w:val="38"/>
        </w:rPr>
        <w:t> </w:t>
      </w:r>
      <w:r>
        <w:rPr/>
        <w:t>BERGANDA’,</w:t>
      </w:r>
      <w:r>
        <w:rPr>
          <w:spacing w:val="39"/>
        </w:rPr>
        <w:t> </w:t>
      </w:r>
      <w:r>
        <w:rPr>
          <w:i/>
        </w:rPr>
        <w:t>Jurnal</w:t>
      </w:r>
      <w:r>
        <w:rPr>
          <w:i/>
          <w:spacing w:val="35"/>
        </w:rPr>
        <w:t> </w:t>
      </w:r>
      <w:r>
        <w:rPr>
          <w:i/>
        </w:rPr>
        <w:t>Riset</w:t>
      </w:r>
      <w:r>
        <w:rPr>
          <w:i/>
          <w:spacing w:val="35"/>
        </w:rPr>
        <w:t> </w:t>
      </w:r>
      <w:r>
        <w:rPr>
          <w:i/>
          <w:spacing w:val="-2"/>
        </w:rPr>
        <w:t>Akuntansi</w:t>
      </w:r>
    </w:p>
    <w:p>
      <w:pPr>
        <w:pStyle w:val="BodyText"/>
        <w:ind w:left="503"/>
      </w:pPr>
      <w:r>
        <w:rPr>
          <w:i/>
        </w:rPr>
        <w:t>Soedirman</w:t>
      </w:r>
      <w:r>
        <w:rPr/>
        <w:t>, 2 (2023),</w:t>
      </w:r>
      <w:r>
        <w:rPr>
          <w:spacing w:val="-1"/>
        </w:rPr>
        <w:t> </w:t>
      </w:r>
      <w:r>
        <w:rPr/>
        <w:t>102–10 </w:t>
      </w:r>
      <w:r>
        <w:rPr>
          <w:spacing w:val="-2"/>
        </w:rPr>
        <w:t>&lt;https://doi.org/10.32424/1.jras.2023.2.2.10792&gt;</w:t>
      </w:r>
    </w:p>
    <w:p>
      <w:pPr>
        <w:pStyle w:val="BodyText"/>
        <w:spacing w:before="161"/>
        <w:ind w:left="503" w:right="161" w:hanging="480"/>
        <w:jc w:val="both"/>
      </w:pPr>
      <w:r>
        <w:rPr/>
        <w:t>Sholikah,</w:t>
      </w:r>
      <w:r>
        <w:rPr>
          <w:spacing w:val="-13"/>
        </w:rPr>
        <w:t> </w:t>
      </w:r>
      <w:r>
        <w:rPr/>
        <w:t>Fitria</w:t>
      </w:r>
      <w:r>
        <w:rPr>
          <w:spacing w:val="-14"/>
        </w:rPr>
        <w:t> </w:t>
      </w:r>
      <w:r>
        <w:rPr/>
        <w:t>Puteri,</w:t>
      </w:r>
      <w:r>
        <w:rPr>
          <w:spacing w:val="-13"/>
        </w:rPr>
        <w:t> </w:t>
      </w:r>
      <w:r>
        <w:rPr/>
        <w:t>Windi</w:t>
      </w:r>
      <w:r>
        <w:rPr>
          <w:spacing w:val="-12"/>
        </w:rPr>
        <w:t> </w:t>
      </w:r>
      <w:r>
        <w:rPr/>
        <w:t>Putri,</w:t>
      </w:r>
      <w:r>
        <w:rPr>
          <w:spacing w:val="-13"/>
        </w:rPr>
        <w:t> </w:t>
      </w:r>
      <w:r>
        <w:rPr/>
        <w:t>and</w:t>
      </w:r>
      <w:r>
        <w:rPr>
          <w:spacing w:val="-13"/>
        </w:rPr>
        <w:t> </w:t>
      </w:r>
      <w:r>
        <w:rPr/>
        <w:t>Rosalinda</w:t>
      </w:r>
      <w:r>
        <w:rPr>
          <w:spacing w:val="-15"/>
        </w:rPr>
        <w:t> </w:t>
      </w:r>
      <w:r>
        <w:rPr/>
        <w:t>Maria</w:t>
      </w:r>
      <w:r>
        <w:rPr>
          <w:spacing w:val="-14"/>
        </w:rPr>
        <w:t> </w:t>
      </w:r>
      <w:r>
        <w:rPr/>
        <w:t>Djangi,</w:t>
      </w:r>
      <w:r>
        <w:rPr>
          <w:spacing w:val="-13"/>
        </w:rPr>
        <w:t> </w:t>
      </w:r>
      <w:r>
        <w:rPr/>
        <w:t>‘Peranan</w:t>
      </w:r>
      <w:r>
        <w:rPr>
          <w:spacing w:val="-13"/>
        </w:rPr>
        <w:t> </w:t>
      </w:r>
      <w:r>
        <w:rPr/>
        <w:t>Pasar</w:t>
      </w:r>
      <w:r>
        <w:rPr>
          <w:spacing w:val="-14"/>
        </w:rPr>
        <w:t> </w:t>
      </w:r>
      <w:r>
        <w:rPr/>
        <w:t>Modal</w:t>
      </w:r>
      <w:r>
        <w:rPr>
          <w:spacing w:val="-13"/>
        </w:rPr>
        <w:t> </w:t>
      </w:r>
      <w:r>
        <w:rPr/>
        <w:t>Dalam Perekonomian</w:t>
      </w:r>
      <w:r>
        <w:rPr>
          <w:spacing w:val="-12"/>
        </w:rPr>
        <w:t> </w:t>
      </w:r>
      <w:r>
        <w:rPr/>
        <w:t>Negara</w:t>
      </w:r>
      <w:r>
        <w:rPr>
          <w:spacing w:val="-10"/>
        </w:rPr>
        <w:t> </w:t>
      </w:r>
      <w:r>
        <w:rPr/>
        <w:t>Indonesia’,</w:t>
      </w:r>
      <w:r>
        <w:rPr>
          <w:spacing w:val="-10"/>
        </w:rPr>
        <w:t> </w:t>
      </w:r>
      <w:r>
        <w:rPr>
          <w:i/>
        </w:rPr>
        <w:t>ARBITRASE:</w:t>
      </w:r>
      <w:r>
        <w:rPr>
          <w:i/>
          <w:spacing w:val="-10"/>
        </w:rPr>
        <w:t> </w:t>
      </w:r>
      <w:r>
        <w:rPr>
          <w:i/>
        </w:rPr>
        <w:t>Journal</w:t>
      </w:r>
      <w:r>
        <w:rPr>
          <w:i/>
          <w:spacing w:val="-11"/>
        </w:rPr>
        <w:t> </w:t>
      </w:r>
      <w:r>
        <w:rPr>
          <w:i/>
        </w:rPr>
        <w:t>of</w:t>
      </w:r>
      <w:r>
        <w:rPr>
          <w:i/>
          <w:spacing w:val="-11"/>
        </w:rPr>
        <w:t> </w:t>
      </w:r>
      <w:r>
        <w:rPr>
          <w:i/>
        </w:rPr>
        <w:t>Economics</w:t>
      </w:r>
      <w:r>
        <w:rPr>
          <w:i/>
          <w:spacing w:val="-11"/>
        </w:rPr>
        <w:t> </w:t>
      </w:r>
      <w:r>
        <w:rPr>
          <w:i/>
        </w:rPr>
        <w:t>and</w:t>
      </w:r>
      <w:r>
        <w:rPr>
          <w:i/>
          <w:spacing w:val="-7"/>
        </w:rPr>
        <w:t> </w:t>
      </w:r>
      <w:r>
        <w:rPr>
          <w:i/>
        </w:rPr>
        <w:t>Accounting</w:t>
      </w:r>
      <w:r>
        <w:rPr/>
        <w:t>,</w:t>
      </w:r>
      <w:r>
        <w:rPr>
          <w:spacing w:val="-12"/>
        </w:rPr>
        <w:t> </w:t>
      </w:r>
      <w:r>
        <w:rPr/>
        <w:t>3 (2022), 341–45 &lt;https://doi.org/10.47065/arbitrase.v3i2.496&gt;</w:t>
      </w:r>
    </w:p>
    <w:p>
      <w:pPr>
        <w:pStyle w:val="BodyText"/>
        <w:spacing w:before="159"/>
        <w:ind w:left="503" w:right="161" w:hanging="480"/>
        <w:jc w:val="both"/>
      </w:pPr>
      <w:r>
        <w:rPr/>
        <w:t>Sigar,</w:t>
      </w:r>
      <w:r>
        <w:rPr>
          <w:spacing w:val="-6"/>
        </w:rPr>
        <w:t> </w:t>
      </w:r>
      <w:r>
        <w:rPr/>
        <w:t>Preisia,</w:t>
      </w:r>
      <w:r>
        <w:rPr>
          <w:spacing w:val="-6"/>
        </w:rPr>
        <w:t> </w:t>
      </w:r>
      <w:r>
        <w:rPr/>
        <w:t>and</w:t>
      </w:r>
      <w:r>
        <w:rPr>
          <w:spacing w:val="-6"/>
        </w:rPr>
        <w:t> </w:t>
      </w:r>
      <w:r>
        <w:rPr/>
        <w:t>Lintje</w:t>
      </w:r>
      <w:r>
        <w:rPr>
          <w:spacing w:val="-3"/>
        </w:rPr>
        <w:t> </w:t>
      </w:r>
      <w:r>
        <w:rPr/>
        <w:t>Kalangi,</w:t>
      </w:r>
      <w:r>
        <w:rPr>
          <w:spacing w:val="-6"/>
        </w:rPr>
        <w:t> </w:t>
      </w:r>
      <w:r>
        <w:rPr/>
        <w:t>‘Pengaruh</w:t>
      </w:r>
      <w:r>
        <w:rPr>
          <w:spacing w:val="-7"/>
        </w:rPr>
        <w:t> </w:t>
      </w:r>
      <w:r>
        <w:rPr/>
        <w:t>Ukuran</w:t>
      </w:r>
      <w:r>
        <w:rPr>
          <w:spacing w:val="-6"/>
        </w:rPr>
        <w:t> </w:t>
      </w:r>
      <w:r>
        <w:rPr/>
        <w:t>Perusahaan</w:t>
      </w:r>
      <w:r>
        <w:rPr>
          <w:spacing w:val="-3"/>
        </w:rPr>
        <w:t> </w:t>
      </w:r>
      <w:r>
        <w:rPr/>
        <w:t>Dan</w:t>
      </w:r>
      <w:r>
        <w:rPr>
          <w:spacing w:val="-6"/>
        </w:rPr>
        <w:t> </w:t>
      </w:r>
      <w:r>
        <w:rPr/>
        <w:t>Pertumbuhan</w:t>
      </w:r>
      <w:r>
        <w:rPr>
          <w:spacing w:val="-6"/>
        </w:rPr>
        <w:t> </w:t>
      </w:r>
      <w:r>
        <w:rPr/>
        <w:t>Penjualan Terhadap Harga Saham Pada Perusahaan Manufaktur Sektor Industry Barang Konsumsi Yang</w:t>
      </w:r>
      <w:r>
        <w:rPr>
          <w:spacing w:val="30"/>
        </w:rPr>
        <w:t>  </w:t>
      </w:r>
      <w:r>
        <w:rPr/>
        <w:t>Terdaftar</w:t>
      </w:r>
      <w:r>
        <w:rPr>
          <w:spacing w:val="31"/>
        </w:rPr>
        <w:t>  </w:t>
      </w:r>
      <w:r>
        <w:rPr/>
        <w:t>Di</w:t>
      </w:r>
      <w:r>
        <w:rPr>
          <w:spacing w:val="30"/>
        </w:rPr>
        <w:t>  </w:t>
      </w:r>
      <w:r>
        <w:rPr/>
        <w:t>Bursa</w:t>
      </w:r>
      <w:r>
        <w:rPr>
          <w:spacing w:val="29"/>
        </w:rPr>
        <w:t>  </w:t>
      </w:r>
      <w:r>
        <w:rPr/>
        <w:t>Efek</w:t>
      </w:r>
      <w:r>
        <w:rPr>
          <w:spacing w:val="32"/>
        </w:rPr>
        <w:t>  </w:t>
      </w:r>
      <w:r>
        <w:rPr/>
        <w:t>Indonesia’,</w:t>
      </w:r>
      <w:r>
        <w:rPr>
          <w:spacing w:val="33"/>
        </w:rPr>
        <w:t>  </w:t>
      </w:r>
      <w:r>
        <w:rPr>
          <w:i/>
        </w:rPr>
        <w:t>Jurnal</w:t>
      </w:r>
      <w:r>
        <w:rPr>
          <w:i/>
          <w:spacing w:val="30"/>
        </w:rPr>
        <w:t>  </w:t>
      </w:r>
      <w:r>
        <w:rPr>
          <w:i/>
        </w:rPr>
        <w:t>EMBA</w:t>
      </w:r>
      <w:r>
        <w:rPr/>
        <w:t>,</w:t>
      </w:r>
      <w:r>
        <w:rPr>
          <w:spacing w:val="30"/>
        </w:rPr>
        <w:t>  </w:t>
      </w:r>
      <w:r>
        <w:rPr/>
        <w:t>7</w:t>
      </w:r>
      <w:r>
        <w:rPr>
          <w:spacing w:val="31"/>
        </w:rPr>
        <w:t>  </w:t>
      </w:r>
      <w:r>
        <w:rPr/>
        <w:t>(2019),</w:t>
      </w:r>
      <w:r>
        <w:rPr>
          <w:spacing w:val="30"/>
        </w:rPr>
        <w:t>  </w:t>
      </w:r>
      <w:r>
        <w:rPr>
          <w:spacing w:val="-2"/>
        </w:rPr>
        <w:t>3029–39</w:t>
      </w:r>
    </w:p>
    <w:p>
      <w:pPr>
        <w:pStyle w:val="BodyText"/>
        <w:ind w:left="503"/>
      </w:pPr>
      <w:r>
        <w:rPr>
          <w:spacing w:val="-2"/>
        </w:rPr>
        <w:t>&lt;https://ejournal.unsrat.ac.id/v3/index.php/emba/article/view/24054&gt;</w:t>
      </w:r>
    </w:p>
    <w:p>
      <w:pPr>
        <w:pStyle w:val="BodyText"/>
        <w:spacing w:before="160"/>
        <w:ind w:left="23"/>
      </w:pPr>
      <w:r>
        <w:rPr/>
        <w:t>Silalahi,</w:t>
      </w:r>
      <w:r>
        <w:rPr>
          <w:spacing w:val="36"/>
        </w:rPr>
        <w:t> </w:t>
      </w:r>
      <w:r>
        <w:rPr/>
        <w:t>Risda</w:t>
      </w:r>
      <w:r>
        <w:rPr>
          <w:spacing w:val="39"/>
        </w:rPr>
        <w:t> </w:t>
      </w:r>
      <w:r>
        <w:rPr/>
        <w:t>Astridawati,</w:t>
      </w:r>
      <w:r>
        <w:rPr>
          <w:spacing w:val="39"/>
        </w:rPr>
        <w:t> </w:t>
      </w:r>
      <w:r>
        <w:rPr/>
        <w:t>Adinda</w:t>
      </w:r>
      <w:r>
        <w:rPr>
          <w:spacing w:val="38"/>
        </w:rPr>
        <w:t> </w:t>
      </w:r>
      <w:r>
        <w:rPr/>
        <w:t>Aulia</w:t>
      </w:r>
      <w:r>
        <w:rPr>
          <w:spacing w:val="39"/>
        </w:rPr>
        <w:t> </w:t>
      </w:r>
      <w:r>
        <w:rPr/>
        <w:t>Hafsari,</w:t>
      </w:r>
      <w:r>
        <w:rPr>
          <w:spacing w:val="39"/>
        </w:rPr>
        <w:t> </w:t>
      </w:r>
      <w:r>
        <w:rPr/>
        <w:t>Dina</w:t>
      </w:r>
      <w:r>
        <w:rPr>
          <w:spacing w:val="38"/>
        </w:rPr>
        <w:t> </w:t>
      </w:r>
      <w:r>
        <w:rPr/>
        <w:t>Situmorang,</w:t>
      </w:r>
      <w:r>
        <w:rPr>
          <w:spacing w:val="39"/>
        </w:rPr>
        <w:t> </w:t>
      </w:r>
      <w:r>
        <w:rPr/>
        <w:t>Narli</w:t>
      </w:r>
      <w:r>
        <w:rPr>
          <w:spacing w:val="39"/>
        </w:rPr>
        <w:t> </w:t>
      </w:r>
      <w:r>
        <w:rPr/>
        <w:t>E</w:t>
      </w:r>
      <w:r>
        <w:rPr>
          <w:spacing w:val="39"/>
        </w:rPr>
        <w:t> </w:t>
      </w:r>
      <w:r>
        <w:rPr/>
        <w:t>Ginting,</w:t>
      </w:r>
      <w:r>
        <w:rPr>
          <w:spacing w:val="39"/>
        </w:rPr>
        <w:t> </w:t>
      </w:r>
      <w:r>
        <w:rPr>
          <w:spacing w:val="-5"/>
        </w:rPr>
        <w:t>Ari</w:t>
      </w:r>
    </w:p>
    <w:p>
      <w:pPr>
        <w:pStyle w:val="BodyText"/>
        <w:spacing w:before="1"/>
        <w:ind w:left="503"/>
      </w:pPr>
      <w:r>
        <w:rPr/>
        <w:t>Bayuma</w:t>
      </w:r>
      <w:r>
        <w:rPr>
          <w:spacing w:val="63"/>
        </w:rPr>
        <w:t> </w:t>
      </w:r>
      <w:r>
        <w:rPr/>
        <w:t>Girsang,</w:t>
      </w:r>
      <w:r>
        <w:rPr>
          <w:spacing w:val="64"/>
        </w:rPr>
        <w:t> </w:t>
      </w:r>
      <w:r>
        <w:rPr/>
        <w:t>Mikhael</w:t>
      </w:r>
      <w:r>
        <w:rPr>
          <w:spacing w:val="65"/>
        </w:rPr>
        <w:t> </w:t>
      </w:r>
      <w:r>
        <w:rPr/>
        <w:t>Martin,</w:t>
      </w:r>
      <w:r>
        <w:rPr>
          <w:spacing w:val="65"/>
        </w:rPr>
        <w:t> </w:t>
      </w:r>
      <w:r>
        <w:rPr/>
        <w:t>and</w:t>
      </w:r>
      <w:r>
        <w:rPr>
          <w:spacing w:val="66"/>
        </w:rPr>
        <w:t> </w:t>
      </w:r>
      <w:r>
        <w:rPr/>
        <w:t>others,</w:t>
      </w:r>
      <w:r>
        <w:rPr>
          <w:spacing w:val="67"/>
        </w:rPr>
        <w:t> </w:t>
      </w:r>
      <w:r>
        <w:rPr/>
        <w:t>‘HASIL</w:t>
      </w:r>
      <w:r>
        <w:rPr>
          <w:spacing w:val="64"/>
        </w:rPr>
        <w:t> </w:t>
      </w:r>
      <w:r>
        <w:rPr/>
        <w:t>PERHITUNGAN</w:t>
      </w:r>
      <w:r>
        <w:rPr>
          <w:spacing w:val="63"/>
        </w:rPr>
        <w:t> </w:t>
      </w:r>
      <w:r>
        <w:rPr>
          <w:spacing w:val="-2"/>
        </w:rPr>
        <w:t>ASUMSI</w:t>
      </w:r>
    </w:p>
    <w:p>
      <w:pPr>
        <w:pStyle w:val="BodyText"/>
        <w:spacing w:after="0"/>
        <w:sectPr>
          <w:pgSz w:w="11910" w:h="16840"/>
          <w:pgMar w:header="0" w:footer="1000" w:top="1360" w:bottom="1200" w:left="1417" w:right="1275"/>
        </w:sectPr>
      </w:pPr>
    </w:p>
    <w:p>
      <w:pPr>
        <w:pStyle w:val="BodyText"/>
        <w:tabs>
          <w:tab w:pos="1897" w:val="left" w:leader="none"/>
          <w:tab w:pos="3432" w:val="left" w:leader="none"/>
          <w:tab w:pos="4178" w:val="left" w:leader="none"/>
          <w:tab w:pos="6490" w:val="left" w:leader="none"/>
          <w:tab w:pos="8528" w:val="left" w:leader="none"/>
        </w:tabs>
        <w:spacing w:before="60"/>
        <w:ind w:left="503" w:right="165"/>
      </w:pPr>
      <w:r>
        <w:rPr/>
        <w:t>KLASIK</w:t>
      </w:r>
      <w:r>
        <w:rPr>
          <w:spacing w:val="-7"/>
        </w:rPr>
        <w:t> </w:t>
      </w:r>
      <w:r>
        <w:rPr/>
        <w:t>:</w:t>
        <w:tab/>
      </w:r>
      <w:r>
        <w:rPr>
          <w:spacing w:val="-2"/>
        </w:rPr>
        <w:t>TENTANG</w:t>
      </w:r>
      <w:r>
        <w:rPr/>
        <w:tab/>
      </w:r>
      <w:r>
        <w:rPr>
          <w:spacing w:val="-4"/>
        </w:rPr>
        <w:t>UJI</w:t>
      </w:r>
      <w:r>
        <w:rPr/>
        <w:tab/>
      </w:r>
      <w:r>
        <w:rPr>
          <w:spacing w:val="-2"/>
        </w:rPr>
        <w:t>AUTOKORELASI,</w:t>
      </w:r>
      <w:r>
        <w:rPr/>
        <w:tab/>
      </w:r>
      <w:r>
        <w:rPr>
          <w:spacing w:val="-2"/>
        </w:rPr>
        <w:t>NORMALITAS,</w:t>
      </w:r>
      <w:r>
        <w:rPr/>
        <w:tab/>
      </w:r>
      <w:r>
        <w:rPr>
          <w:spacing w:val="-4"/>
        </w:rPr>
        <w:t>DAN </w:t>
      </w:r>
      <w:r>
        <w:rPr/>
        <w:t>HETEROKEDASTISITAS’, 8 (2024), 218–25</w:t>
      </w:r>
    </w:p>
    <w:p>
      <w:pPr>
        <w:spacing w:before="162"/>
        <w:ind w:left="23" w:right="0" w:firstLine="0"/>
        <w:jc w:val="left"/>
        <w:rPr>
          <w:i/>
          <w:sz w:val="24"/>
        </w:rPr>
      </w:pPr>
      <w:r>
        <w:rPr>
          <w:sz w:val="24"/>
        </w:rPr>
        <w:t>Sudarsono,</w:t>
      </w:r>
      <w:r>
        <w:rPr>
          <w:spacing w:val="27"/>
          <w:sz w:val="24"/>
        </w:rPr>
        <w:t>  </w:t>
      </w:r>
      <w:r>
        <w:rPr>
          <w:sz w:val="24"/>
        </w:rPr>
        <w:t>Heri,</w:t>
      </w:r>
      <w:r>
        <w:rPr>
          <w:spacing w:val="29"/>
          <w:sz w:val="24"/>
        </w:rPr>
        <w:t>  </w:t>
      </w:r>
      <w:r>
        <w:rPr>
          <w:i/>
          <w:sz w:val="24"/>
        </w:rPr>
        <w:t>Bank</w:t>
      </w:r>
      <w:r>
        <w:rPr>
          <w:i/>
          <w:spacing w:val="28"/>
          <w:sz w:val="24"/>
        </w:rPr>
        <w:t>  </w:t>
      </w:r>
      <w:r>
        <w:rPr>
          <w:i/>
          <w:sz w:val="24"/>
        </w:rPr>
        <w:t>Dan</w:t>
      </w:r>
      <w:r>
        <w:rPr>
          <w:i/>
          <w:spacing w:val="28"/>
          <w:sz w:val="24"/>
        </w:rPr>
        <w:t>  </w:t>
      </w:r>
      <w:r>
        <w:rPr>
          <w:i/>
          <w:sz w:val="24"/>
        </w:rPr>
        <w:t>Lembaga</w:t>
      </w:r>
      <w:r>
        <w:rPr>
          <w:i/>
          <w:spacing w:val="28"/>
          <w:sz w:val="24"/>
        </w:rPr>
        <w:t>  </w:t>
      </w:r>
      <w:r>
        <w:rPr>
          <w:i/>
          <w:sz w:val="24"/>
        </w:rPr>
        <w:t>Keuangan</w:t>
      </w:r>
      <w:r>
        <w:rPr>
          <w:i/>
          <w:spacing w:val="28"/>
          <w:sz w:val="24"/>
        </w:rPr>
        <w:t>  </w:t>
      </w:r>
      <w:r>
        <w:rPr>
          <w:i/>
          <w:sz w:val="24"/>
        </w:rPr>
        <w:t>Syari’ah</w:t>
      </w:r>
      <w:r>
        <w:rPr>
          <w:i/>
          <w:spacing w:val="28"/>
          <w:sz w:val="24"/>
        </w:rPr>
        <w:t>  </w:t>
      </w:r>
      <w:r>
        <w:rPr>
          <w:i/>
          <w:sz w:val="24"/>
        </w:rPr>
        <w:t>Deskripsi</w:t>
      </w:r>
      <w:r>
        <w:rPr>
          <w:i/>
          <w:spacing w:val="29"/>
          <w:sz w:val="24"/>
        </w:rPr>
        <w:t>  </w:t>
      </w:r>
      <w:r>
        <w:rPr>
          <w:i/>
          <w:sz w:val="24"/>
        </w:rPr>
        <w:t>Dan</w:t>
      </w:r>
      <w:r>
        <w:rPr>
          <w:i/>
          <w:spacing w:val="28"/>
          <w:sz w:val="24"/>
        </w:rPr>
        <w:t>  </w:t>
      </w:r>
      <w:r>
        <w:rPr>
          <w:i/>
          <w:spacing w:val="-2"/>
          <w:sz w:val="24"/>
        </w:rPr>
        <w:t>Ilustraasi</w:t>
      </w:r>
    </w:p>
    <w:p>
      <w:pPr>
        <w:pStyle w:val="BodyText"/>
        <w:ind w:left="503"/>
      </w:pPr>
      <w:r>
        <w:rPr/>
        <w:t>(Yogyakarta:</w:t>
      </w:r>
      <w:r>
        <w:rPr>
          <w:spacing w:val="-6"/>
        </w:rPr>
        <w:t> </w:t>
      </w:r>
      <w:r>
        <w:rPr/>
        <w:t>EKONISIA,</w:t>
      </w:r>
      <w:r>
        <w:rPr>
          <w:spacing w:val="-3"/>
        </w:rPr>
        <w:t> </w:t>
      </w:r>
      <w:r>
        <w:rPr>
          <w:spacing w:val="-2"/>
        </w:rPr>
        <w:t>2007)</w:t>
      </w:r>
    </w:p>
    <w:p>
      <w:pPr>
        <w:spacing w:before="158"/>
        <w:ind w:left="503" w:right="164" w:hanging="480"/>
        <w:jc w:val="both"/>
        <w:rPr>
          <w:sz w:val="24"/>
        </w:rPr>
      </w:pPr>
      <w:r>
        <w:rPr>
          <w:sz w:val="24"/>
        </w:rPr>
        <w:t>Sugiyono, </w:t>
      </w:r>
      <w:r>
        <w:rPr>
          <w:i/>
          <w:sz w:val="24"/>
        </w:rPr>
        <w:t>Metode Penelitian Kuantitatif Kualitatif Dan R&amp;D </w:t>
      </w:r>
      <w:r>
        <w:rPr>
          <w:sz w:val="24"/>
        </w:rPr>
        <w:t>(Bandung: Penerbit Alfabeta, </w:t>
      </w:r>
      <w:r>
        <w:rPr>
          <w:spacing w:val="-2"/>
          <w:sz w:val="24"/>
        </w:rPr>
        <w:t>2009)</w:t>
      </w:r>
    </w:p>
    <w:p>
      <w:pPr>
        <w:pStyle w:val="BodyText"/>
        <w:spacing w:before="161"/>
        <w:ind w:left="503" w:right="167" w:hanging="480"/>
        <w:jc w:val="both"/>
      </w:pPr>
      <w:r>
        <w:rPr/>
        <w:t>Sulistyana, Desfi Dwi, and Hwihanus, ‘Pengaruh Fundamental Makro , Kinerja Keuangan , Struktur Modal , Konservatisme Akuntansi Dan Struktur Kepemilikan Terhadap Manajemen Laba Pada Perusahaan Farmasi Yang Terdaftar Di Bursa Efek Indonesia’, </w:t>
      </w:r>
      <w:r>
        <w:rPr>
          <w:i/>
        </w:rPr>
        <w:t>Jurnal Mutiara Ilmu Akuntansi</w:t>
      </w:r>
      <w:r>
        <w:rPr/>
        <w:t>, 3 (2025), 73–88</w:t>
      </w:r>
    </w:p>
    <w:p>
      <w:pPr>
        <w:spacing w:before="161"/>
        <w:ind w:left="503" w:right="162" w:hanging="480"/>
        <w:jc w:val="both"/>
        <w:rPr>
          <w:sz w:val="24"/>
        </w:rPr>
      </w:pPr>
      <w:r>
        <w:rPr>
          <w:sz w:val="24"/>
        </w:rPr>
        <w:t>Sunariyah, </w:t>
      </w:r>
      <w:r>
        <w:rPr>
          <w:i/>
          <w:sz w:val="24"/>
        </w:rPr>
        <w:t>Pengantar Pengetahuan Pasar Modal </w:t>
      </w:r>
      <w:r>
        <w:rPr>
          <w:sz w:val="24"/>
        </w:rPr>
        <w:t>(Yogyakarta: Akademi Manajemen Perusahaan YKPN, 2012)</w:t>
      </w:r>
    </w:p>
    <w:p>
      <w:pPr>
        <w:pStyle w:val="BodyText"/>
        <w:spacing w:before="159"/>
        <w:ind w:left="503" w:right="168" w:hanging="480"/>
        <w:jc w:val="both"/>
      </w:pPr>
      <w:r>
        <w:rPr/>
        <w:t>Susanto, Eko Edy, and Zuli Suryani, ‘Pengaruh Ukuran Perusahaan, Leverage, Dan Profitabilitas Terhadap Nilai Perusahaan’, </w:t>
      </w:r>
      <w:r>
        <w:rPr>
          <w:i/>
        </w:rPr>
        <w:t>Jurnal Cakrawala Ilmiah</w:t>
      </w:r>
      <w:r>
        <w:rPr/>
        <w:t>, 3 (2024), 2413–26</w:t>
      </w:r>
    </w:p>
    <w:p>
      <w:pPr>
        <w:pStyle w:val="BodyText"/>
        <w:spacing w:before="161"/>
        <w:ind w:left="503" w:right="161" w:hanging="480"/>
        <w:jc w:val="both"/>
      </w:pPr>
      <w:r>
        <w:rPr/>
        <w:t>Ulya,</w:t>
      </w:r>
      <w:r>
        <w:rPr>
          <w:spacing w:val="-11"/>
        </w:rPr>
        <w:t> </w:t>
      </w:r>
      <w:r>
        <w:rPr/>
        <w:t>Fadlilatul,</w:t>
      </w:r>
      <w:r>
        <w:rPr>
          <w:spacing w:val="-10"/>
        </w:rPr>
        <w:t> </w:t>
      </w:r>
      <w:r>
        <w:rPr/>
        <w:t>and</w:t>
      </w:r>
      <w:r>
        <w:rPr>
          <w:spacing w:val="-11"/>
        </w:rPr>
        <w:t> </w:t>
      </w:r>
      <w:r>
        <w:rPr/>
        <w:t>Via</w:t>
      </w:r>
      <w:r>
        <w:rPr>
          <w:spacing w:val="-8"/>
        </w:rPr>
        <w:t> </w:t>
      </w:r>
      <w:r>
        <w:rPr/>
        <w:t>Sukmaningati,</w:t>
      </w:r>
      <w:r>
        <w:rPr>
          <w:spacing w:val="-11"/>
        </w:rPr>
        <w:t> </w:t>
      </w:r>
      <w:r>
        <w:rPr/>
        <w:t>‘Keuntungan</w:t>
      </w:r>
      <w:r>
        <w:rPr>
          <w:spacing w:val="-9"/>
        </w:rPr>
        <w:t> </w:t>
      </w:r>
      <w:r>
        <w:rPr/>
        <w:t>Investasi</w:t>
      </w:r>
      <w:r>
        <w:rPr>
          <w:spacing w:val="-9"/>
        </w:rPr>
        <w:t> </w:t>
      </w:r>
      <w:r>
        <w:rPr/>
        <w:t>Di</w:t>
      </w:r>
      <w:r>
        <w:rPr>
          <w:spacing w:val="-11"/>
        </w:rPr>
        <w:t> </w:t>
      </w:r>
      <w:r>
        <w:rPr/>
        <w:t>Saham</w:t>
      </w:r>
      <w:r>
        <w:rPr>
          <w:spacing w:val="-10"/>
        </w:rPr>
        <w:t> </w:t>
      </w:r>
      <w:r>
        <w:rPr/>
        <w:t>Syariah’,</w:t>
      </w:r>
      <w:r>
        <w:rPr>
          <w:spacing w:val="-7"/>
        </w:rPr>
        <w:t> </w:t>
      </w:r>
      <w:r>
        <w:rPr>
          <w:i/>
        </w:rPr>
        <w:t>JII:</w:t>
      </w:r>
      <w:r>
        <w:rPr>
          <w:i/>
          <w:spacing w:val="-11"/>
        </w:rPr>
        <w:t> </w:t>
      </w:r>
      <w:r>
        <w:rPr>
          <w:i/>
        </w:rPr>
        <w:t>Jurnal Investasi Islam</w:t>
      </w:r>
      <w:r>
        <w:rPr/>
        <w:t>, 5 (2021), 59–68 &lt;https://doi.org/10.32505/jii.v5i1.1648&gt;</w:t>
      </w:r>
    </w:p>
    <w:p>
      <w:pPr>
        <w:pStyle w:val="BodyText"/>
        <w:spacing w:before="161"/>
        <w:ind w:left="503" w:right="161" w:hanging="480"/>
        <w:jc w:val="both"/>
      </w:pPr>
      <w:r>
        <w:rPr/>
        <w:t>Wahyudi, Zaenul, Ahmad Amir Aziz, and Riduan Mas’ud, ‘Pengaruh Return, Risiko Dan Harga Saham Terhadap Minat Berinvestasi Anggota Galeri Investasi Syariah (GIS) UIN Mataram</w:t>
      </w:r>
      <w:r>
        <w:rPr>
          <w:spacing w:val="-4"/>
        </w:rPr>
        <w:t> </w:t>
      </w:r>
      <w:r>
        <w:rPr/>
        <w:t>Pada</w:t>
      </w:r>
      <w:r>
        <w:rPr>
          <w:spacing w:val="-5"/>
        </w:rPr>
        <w:t> </w:t>
      </w:r>
      <w:r>
        <w:rPr/>
        <w:t>PT.</w:t>
      </w:r>
      <w:r>
        <w:rPr>
          <w:spacing w:val="-4"/>
        </w:rPr>
        <w:t> </w:t>
      </w:r>
      <w:r>
        <w:rPr/>
        <w:t>Phintraco</w:t>
      </w:r>
      <w:r>
        <w:rPr>
          <w:spacing w:val="-4"/>
        </w:rPr>
        <w:t> </w:t>
      </w:r>
      <w:r>
        <w:rPr/>
        <w:t>Securities’,</w:t>
      </w:r>
      <w:r>
        <w:rPr>
          <w:spacing w:val="-2"/>
        </w:rPr>
        <w:t> </w:t>
      </w:r>
      <w:r>
        <w:rPr>
          <w:i/>
        </w:rPr>
        <w:t>Schemata:</w:t>
      </w:r>
      <w:r>
        <w:rPr>
          <w:i/>
          <w:spacing w:val="-5"/>
        </w:rPr>
        <w:t> </w:t>
      </w:r>
      <w:r>
        <w:rPr>
          <w:i/>
        </w:rPr>
        <w:t>Jurnal</w:t>
      </w:r>
      <w:r>
        <w:rPr>
          <w:i/>
          <w:spacing w:val="-4"/>
        </w:rPr>
        <w:t> </w:t>
      </w:r>
      <w:r>
        <w:rPr>
          <w:i/>
        </w:rPr>
        <w:t>Pascasarjana</w:t>
      </w:r>
      <w:r>
        <w:rPr>
          <w:i/>
          <w:spacing w:val="-2"/>
        </w:rPr>
        <w:t> </w:t>
      </w:r>
      <w:r>
        <w:rPr>
          <w:i/>
        </w:rPr>
        <w:t>UIN</w:t>
      </w:r>
      <w:r>
        <w:rPr>
          <w:i/>
          <w:spacing w:val="-4"/>
        </w:rPr>
        <w:t> </w:t>
      </w:r>
      <w:r>
        <w:rPr>
          <w:i/>
        </w:rPr>
        <w:t>Mataram</w:t>
      </w:r>
      <w:r>
        <w:rPr/>
        <w:t>, 10 (2021), 91–106 &lt;https://kbbi.web.id/investasi.&gt;</w:t>
      </w:r>
    </w:p>
    <w:p>
      <w:pPr>
        <w:pStyle w:val="BodyText"/>
        <w:spacing w:before="158"/>
        <w:ind w:left="503" w:right="166" w:hanging="480"/>
        <w:jc w:val="both"/>
      </w:pPr>
      <w:r>
        <w:rPr/>
        <w:t>Wardhani,</w:t>
      </w:r>
      <w:r>
        <w:rPr>
          <w:spacing w:val="-9"/>
        </w:rPr>
        <w:t> </w:t>
      </w:r>
      <w:r>
        <w:rPr/>
        <w:t>Rulyanti</w:t>
      </w:r>
      <w:r>
        <w:rPr>
          <w:spacing w:val="-9"/>
        </w:rPr>
        <w:t> </w:t>
      </w:r>
      <w:r>
        <w:rPr/>
        <w:t>Susi,</w:t>
      </w:r>
      <w:r>
        <w:rPr>
          <w:spacing w:val="-9"/>
        </w:rPr>
        <w:t> </w:t>
      </w:r>
      <w:r>
        <w:rPr/>
        <w:t>Vebtasvili,</w:t>
      </w:r>
      <w:r>
        <w:rPr>
          <w:spacing w:val="-9"/>
        </w:rPr>
        <w:t> </w:t>
      </w:r>
      <w:r>
        <w:rPr/>
        <w:t>Rahil</w:t>
      </w:r>
      <w:r>
        <w:rPr>
          <w:spacing w:val="-9"/>
        </w:rPr>
        <w:t> </w:t>
      </w:r>
      <w:r>
        <w:rPr/>
        <w:t>Imainul</w:t>
      </w:r>
      <w:r>
        <w:rPr>
          <w:spacing w:val="-9"/>
        </w:rPr>
        <w:t> </w:t>
      </w:r>
      <w:r>
        <w:rPr/>
        <w:t>Aprilian,</w:t>
      </w:r>
      <w:r>
        <w:rPr>
          <w:spacing w:val="-10"/>
        </w:rPr>
        <w:t> </w:t>
      </w:r>
      <w:r>
        <w:rPr/>
        <w:t>Yanto,</w:t>
      </w:r>
      <w:r>
        <w:rPr>
          <w:spacing w:val="-9"/>
        </w:rPr>
        <w:t> </w:t>
      </w:r>
      <w:r>
        <w:rPr/>
        <w:t>Suhdi,</w:t>
      </w:r>
      <w:r>
        <w:rPr>
          <w:spacing w:val="-9"/>
        </w:rPr>
        <w:t> </w:t>
      </w:r>
      <w:r>
        <w:rPr/>
        <w:t>Anggraeni</w:t>
      </w:r>
      <w:r>
        <w:rPr>
          <w:spacing w:val="-9"/>
        </w:rPr>
        <w:t> </w:t>
      </w:r>
      <w:r>
        <w:rPr/>
        <w:t>Yunita, and others, </w:t>
      </w:r>
      <w:r>
        <w:rPr>
          <w:i/>
        </w:rPr>
        <w:t>Mengenal Saham </w:t>
      </w:r>
      <w:r>
        <w:rPr/>
        <w:t>(Yogyakarta: Penerbit K-Media, 2022)</w:t>
      </w:r>
    </w:p>
    <w:p>
      <w:pPr>
        <w:spacing w:before="161"/>
        <w:ind w:left="503" w:right="163" w:hanging="480"/>
        <w:jc w:val="both"/>
        <w:rPr>
          <w:sz w:val="24"/>
        </w:rPr>
      </w:pPr>
      <w:r>
        <w:rPr>
          <w:sz w:val="24"/>
        </w:rPr>
        <w:t>Widana, I Wayan, and Putu Lia Muliani, </w:t>
      </w:r>
      <w:r>
        <w:rPr>
          <w:i/>
          <w:sz w:val="24"/>
        </w:rPr>
        <w:t>Uji Persyaratan Analisis </w:t>
      </w:r>
      <w:r>
        <w:rPr>
          <w:sz w:val="24"/>
        </w:rPr>
        <w:t>(Lumajang: Klik Media, </w:t>
      </w:r>
      <w:r>
        <w:rPr>
          <w:spacing w:val="-2"/>
          <w:sz w:val="24"/>
        </w:rPr>
        <w:t>2020)</w:t>
      </w:r>
    </w:p>
    <w:p>
      <w:pPr>
        <w:pStyle w:val="BodyText"/>
        <w:spacing w:before="159"/>
        <w:ind w:left="23"/>
      </w:pPr>
      <w:r>
        <w:rPr/>
        <w:t>Winarti,</w:t>
      </w:r>
      <w:r>
        <w:rPr>
          <w:spacing w:val="26"/>
        </w:rPr>
        <w:t> </w:t>
      </w:r>
      <w:r>
        <w:rPr/>
        <w:t>Nabila</w:t>
      </w:r>
      <w:r>
        <w:rPr>
          <w:spacing w:val="30"/>
        </w:rPr>
        <w:t> </w:t>
      </w:r>
      <w:r>
        <w:rPr/>
        <w:t>Pundhi,</w:t>
      </w:r>
      <w:r>
        <w:rPr>
          <w:spacing w:val="30"/>
        </w:rPr>
        <w:t> </w:t>
      </w:r>
      <w:r>
        <w:rPr/>
        <w:t>‘Pengaruh</w:t>
      </w:r>
      <w:r>
        <w:rPr>
          <w:spacing w:val="28"/>
        </w:rPr>
        <w:t> </w:t>
      </w:r>
      <w:r>
        <w:rPr/>
        <w:t>Makroekonomi</w:t>
      </w:r>
      <w:r>
        <w:rPr>
          <w:spacing w:val="29"/>
        </w:rPr>
        <w:t> </w:t>
      </w:r>
      <w:r>
        <w:rPr/>
        <w:t>Dan</w:t>
      </w:r>
      <w:r>
        <w:rPr>
          <w:spacing w:val="29"/>
        </w:rPr>
        <w:t> </w:t>
      </w:r>
      <w:r>
        <w:rPr/>
        <w:t>Fundamental</w:t>
      </w:r>
      <w:r>
        <w:rPr>
          <w:spacing w:val="29"/>
        </w:rPr>
        <w:t> </w:t>
      </w:r>
      <w:r>
        <w:rPr/>
        <w:t>Perusahaan</w:t>
      </w:r>
      <w:r>
        <w:rPr>
          <w:spacing w:val="32"/>
        </w:rPr>
        <w:t> </w:t>
      </w:r>
      <w:r>
        <w:rPr>
          <w:spacing w:val="-2"/>
        </w:rPr>
        <w:t>Terhadap</w:t>
      </w:r>
    </w:p>
    <w:p>
      <w:pPr>
        <w:pStyle w:val="BodyText"/>
        <w:ind w:left="503"/>
      </w:pPr>
      <w:r>
        <w:rPr/>
        <w:t>Return</w:t>
      </w:r>
      <w:r>
        <w:rPr>
          <w:spacing w:val="-2"/>
        </w:rPr>
        <w:t> </w:t>
      </w:r>
      <w:r>
        <w:rPr/>
        <w:t>Saham</w:t>
      </w:r>
      <w:r>
        <w:rPr>
          <w:spacing w:val="-1"/>
        </w:rPr>
        <w:t> </w:t>
      </w:r>
      <w:r>
        <w:rPr/>
        <w:t>(Studi</w:t>
      </w:r>
      <w:r>
        <w:rPr>
          <w:spacing w:val="-1"/>
        </w:rPr>
        <w:t> </w:t>
      </w:r>
      <w:r>
        <w:rPr/>
        <w:t>Pada</w:t>
      </w:r>
      <w:r>
        <w:rPr>
          <w:spacing w:val="-2"/>
        </w:rPr>
        <w:t> </w:t>
      </w:r>
      <w:r>
        <w:rPr/>
        <w:t>Perusahaan</w:t>
      </w:r>
      <w:r>
        <w:rPr>
          <w:spacing w:val="-1"/>
        </w:rPr>
        <w:t> </w:t>
      </w:r>
      <w:r>
        <w:rPr/>
        <w:t>LQ45</w:t>
      </w:r>
      <w:r>
        <w:rPr>
          <w:spacing w:val="-1"/>
        </w:rPr>
        <w:t> </w:t>
      </w:r>
      <w:r>
        <w:rPr/>
        <w:t>Periode</w:t>
      </w:r>
      <w:r>
        <w:rPr>
          <w:spacing w:val="-2"/>
        </w:rPr>
        <w:t> </w:t>
      </w:r>
      <w:r>
        <w:rPr/>
        <w:t>2008-2011)’, </w:t>
      </w:r>
      <w:r>
        <w:rPr>
          <w:i/>
        </w:rPr>
        <w:t>UIN</w:t>
      </w:r>
      <w:r>
        <w:rPr>
          <w:i/>
          <w:spacing w:val="-1"/>
        </w:rPr>
        <w:t> </w:t>
      </w:r>
      <w:r>
        <w:rPr>
          <w:i/>
        </w:rPr>
        <w:t>Maliki</w:t>
      </w:r>
      <w:r>
        <w:rPr/>
        <w:t>,</w:t>
      </w:r>
      <w:r>
        <w:rPr>
          <w:spacing w:val="-1"/>
        </w:rPr>
        <w:t> </w:t>
      </w:r>
      <w:r>
        <w:rPr>
          <w:spacing w:val="-4"/>
        </w:rPr>
        <w:t>2013</w:t>
      </w:r>
    </w:p>
    <w:p>
      <w:pPr>
        <w:spacing w:before="161"/>
        <w:ind w:left="503" w:right="163" w:hanging="480"/>
        <w:jc w:val="both"/>
        <w:rPr>
          <w:sz w:val="24"/>
        </w:rPr>
      </w:pPr>
      <w:r>
        <w:rPr>
          <w:sz w:val="24"/>
        </w:rPr>
        <w:t>Yuslin,</w:t>
      </w:r>
      <w:r>
        <w:rPr>
          <w:spacing w:val="-13"/>
          <w:sz w:val="24"/>
        </w:rPr>
        <w:t> </w:t>
      </w:r>
      <w:r>
        <w:rPr>
          <w:sz w:val="24"/>
        </w:rPr>
        <w:t>Hasnidar,</w:t>
      </w:r>
      <w:r>
        <w:rPr>
          <w:spacing w:val="-13"/>
          <w:sz w:val="24"/>
        </w:rPr>
        <w:t> </w:t>
      </w:r>
      <w:r>
        <w:rPr>
          <w:sz w:val="24"/>
        </w:rPr>
        <w:t>‘Determinan</w:t>
      </w:r>
      <w:r>
        <w:rPr>
          <w:spacing w:val="-13"/>
          <w:sz w:val="24"/>
        </w:rPr>
        <w:t> </w:t>
      </w:r>
      <w:r>
        <w:rPr>
          <w:sz w:val="24"/>
        </w:rPr>
        <w:t>Indeks</w:t>
      </w:r>
      <w:r>
        <w:rPr>
          <w:spacing w:val="-12"/>
          <w:sz w:val="24"/>
        </w:rPr>
        <w:t> </w:t>
      </w:r>
      <w:r>
        <w:rPr>
          <w:sz w:val="24"/>
        </w:rPr>
        <w:t>Keyakinan</w:t>
      </w:r>
      <w:r>
        <w:rPr>
          <w:spacing w:val="-12"/>
          <w:sz w:val="24"/>
        </w:rPr>
        <w:t> </w:t>
      </w:r>
      <w:r>
        <w:rPr>
          <w:sz w:val="24"/>
        </w:rPr>
        <w:t>Konsumen</w:t>
      </w:r>
      <w:r>
        <w:rPr>
          <w:spacing w:val="-13"/>
          <w:sz w:val="24"/>
        </w:rPr>
        <w:t> </w:t>
      </w:r>
      <w:r>
        <w:rPr>
          <w:sz w:val="24"/>
        </w:rPr>
        <w:t>Terhadap</w:t>
      </w:r>
      <w:r>
        <w:rPr>
          <w:spacing w:val="-13"/>
          <w:sz w:val="24"/>
        </w:rPr>
        <w:t> </w:t>
      </w:r>
      <w:r>
        <w:rPr>
          <w:sz w:val="24"/>
        </w:rPr>
        <w:t>Kondisi</w:t>
      </w:r>
      <w:r>
        <w:rPr>
          <w:spacing w:val="-12"/>
          <w:sz w:val="24"/>
        </w:rPr>
        <w:t> </w:t>
      </w:r>
      <w:r>
        <w:rPr>
          <w:sz w:val="24"/>
        </w:rPr>
        <w:t>Perekonomian Indonesia’, </w:t>
      </w:r>
      <w:r>
        <w:rPr>
          <w:i/>
          <w:sz w:val="24"/>
        </w:rPr>
        <w:t>IEB JOURNAL Islamic Economics and Busines Journal</w:t>
      </w:r>
      <w:r>
        <w:rPr>
          <w:sz w:val="24"/>
        </w:rPr>
        <w:t>, 4 (2022), 81–95</w:t>
      </w:r>
    </w:p>
    <w:p>
      <w:pPr>
        <w:pStyle w:val="BodyText"/>
        <w:spacing w:before="160"/>
        <w:ind w:left="503" w:right="166" w:hanging="480"/>
        <w:jc w:val="both"/>
      </w:pPr>
      <w:r>
        <w:rPr/>
        <w:t>Zikriani, Hilyati, Nur Fatwa, Ramla Ilham Darise, Septiana Na’afi, and Dwi Anna Kristianti, ‘Analisis Pengaruh Tingkat Inflasi Dan Suku Bunga Terhadap Kinerja Keuangan Perusahaan Dengan Nilai Tukar Sebagai Moderasi’, 5 (2024), 5928–39</w:t>
      </w:r>
    </w:p>
    <w:p>
      <w:pPr>
        <w:pStyle w:val="BodyText"/>
        <w:spacing w:after="0"/>
        <w:jc w:val="both"/>
        <w:sectPr>
          <w:pgSz w:w="11910" w:h="16840"/>
          <w:pgMar w:header="0" w:footer="1000" w:top="1360" w:bottom="1200" w:left="1417" w:right="1275"/>
        </w:sectPr>
      </w:pPr>
    </w:p>
    <w:p>
      <w:pPr>
        <w:pStyle w:val="Heading1"/>
        <w:ind w:left="1579"/>
      </w:pPr>
      <w:bookmarkStart w:name="_bookmark178" w:id="179"/>
      <w:bookmarkEnd w:id="179"/>
      <w:r>
        <w:rPr>
          <w:b w:val="0"/>
        </w:rPr>
      </w:r>
      <w:r>
        <w:rPr>
          <w:spacing w:val="-2"/>
        </w:rPr>
        <w:t>LAMPIRAN</w:t>
      </w:r>
    </w:p>
    <w:p>
      <w:pPr>
        <w:pStyle w:val="BodyText"/>
        <w:spacing w:before="22"/>
        <w:rPr>
          <w:b/>
        </w:rPr>
      </w:pPr>
    </w:p>
    <w:p>
      <w:pPr>
        <w:pStyle w:val="Heading2"/>
        <w:ind w:left="23"/>
        <w:jc w:val="left"/>
      </w:pPr>
      <w:r>
        <w:rPr/>
        <w:t>Lampiran</w:t>
      </w:r>
      <w:r>
        <w:rPr>
          <w:spacing w:val="-4"/>
        </w:rPr>
        <w:t> </w:t>
      </w:r>
      <w:r>
        <w:rPr/>
        <w:t>1.</w:t>
      </w:r>
      <w:r>
        <w:rPr>
          <w:spacing w:val="-3"/>
        </w:rPr>
        <w:t> </w:t>
      </w:r>
      <w:r>
        <w:rPr/>
        <w:t>Sampel</w:t>
      </w:r>
      <w:r>
        <w:rPr>
          <w:spacing w:val="-3"/>
        </w:rPr>
        <w:t> </w:t>
      </w:r>
      <w:r>
        <w:rPr/>
        <w:t>Data</w:t>
      </w:r>
      <w:r>
        <w:rPr>
          <w:spacing w:val="-3"/>
        </w:rPr>
        <w:t> </w:t>
      </w:r>
      <w:r>
        <w:rPr/>
        <w:t>Variabel</w:t>
      </w:r>
      <w:r>
        <w:rPr>
          <w:spacing w:val="-2"/>
        </w:rPr>
        <w:t> Penelitian</w:t>
      </w:r>
    </w:p>
    <w:p>
      <w:pPr>
        <w:pStyle w:val="BodyText"/>
        <w:spacing w:before="1"/>
        <w:rPr>
          <w:b/>
          <w:sz w:val="14"/>
        </w:rPr>
      </w:pPr>
    </w:p>
    <w:tbl>
      <w:tblPr>
        <w:tblW w:w="0" w:type="auto"/>
        <w:jc w:val="left"/>
        <w:tblInd w:w="1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1"/>
        <w:gridCol w:w="1004"/>
        <w:gridCol w:w="996"/>
        <w:gridCol w:w="758"/>
        <w:gridCol w:w="1116"/>
        <w:gridCol w:w="780"/>
        <w:gridCol w:w="877"/>
      </w:tblGrid>
      <w:tr>
        <w:trPr>
          <w:trHeight w:val="299" w:hRule="atLeast"/>
        </w:trPr>
        <w:tc>
          <w:tcPr>
            <w:tcW w:w="511" w:type="dxa"/>
            <w:vMerge w:val="restart"/>
          </w:tcPr>
          <w:p>
            <w:pPr>
              <w:pStyle w:val="TableParagraph"/>
              <w:spacing w:line="240" w:lineRule="auto" w:before="167"/>
              <w:rPr>
                <w:b/>
                <w:sz w:val="24"/>
              </w:rPr>
            </w:pPr>
            <w:r>
              <w:rPr>
                <w:b/>
                <w:spacing w:val="-5"/>
                <w:sz w:val="24"/>
              </w:rPr>
              <w:t>No</w:t>
            </w:r>
          </w:p>
        </w:tc>
        <w:tc>
          <w:tcPr>
            <w:tcW w:w="1004" w:type="dxa"/>
            <w:vMerge w:val="restart"/>
          </w:tcPr>
          <w:p>
            <w:pPr>
              <w:pStyle w:val="TableParagraph"/>
              <w:spacing w:line="240" w:lineRule="auto" w:before="167"/>
              <w:ind w:left="105"/>
              <w:rPr>
                <w:b/>
                <w:sz w:val="24"/>
              </w:rPr>
            </w:pPr>
            <w:r>
              <w:rPr>
                <w:b/>
                <w:spacing w:val="-2"/>
                <w:sz w:val="24"/>
              </w:rPr>
              <w:t>Periode</w:t>
            </w:r>
          </w:p>
        </w:tc>
        <w:tc>
          <w:tcPr>
            <w:tcW w:w="996" w:type="dxa"/>
          </w:tcPr>
          <w:p>
            <w:pPr>
              <w:pStyle w:val="TableParagraph"/>
              <w:ind w:left="105"/>
              <w:rPr>
                <w:b/>
                <w:sz w:val="24"/>
              </w:rPr>
            </w:pPr>
            <w:r>
              <w:rPr>
                <w:b/>
                <w:spacing w:val="-4"/>
                <w:sz w:val="24"/>
              </w:rPr>
              <w:t>ISSI</w:t>
            </w:r>
          </w:p>
        </w:tc>
        <w:tc>
          <w:tcPr>
            <w:tcW w:w="758" w:type="dxa"/>
          </w:tcPr>
          <w:p>
            <w:pPr>
              <w:pStyle w:val="TableParagraph"/>
              <w:ind w:left="105"/>
              <w:rPr>
                <w:b/>
                <w:sz w:val="24"/>
              </w:rPr>
            </w:pPr>
            <w:r>
              <w:rPr>
                <w:b/>
                <w:spacing w:val="-5"/>
                <w:sz w:val="24"/>
              </w:rPr>
              <w:t>IKK</w:t>
            </w:r>
          </w:p>
        </w:tc>
        <w:tc>
          <w:tcPr>
            <w:tcW w:w="1116" w:type="dxa"/>
          </w:tcPr>
          <w:p>
            <w:pPr>
              <w:pStyle w:val="TableParagraph"/>
              <w:ind w:left="108"/>
              <w:rPr>
                <w:b/>
                <w:sz w:val="24"/>
              </w:rPr>
            </w:pPr>
            <w:r>
              <w:rPr>
                <w:b/>
                <w:spacing w:val="-5"/>
                <w:sz w:val="24"/>
              </w:rPr>
              <w:t>EXC</w:t>
            </w:r>
          </w:p>
        </w:tc>
        <w:tc>
          <w:tcPr>
            <w:tcW w:w="780" w:type="dxa"/>
          </w:tcPr>
          <w:p>
            <w:pPr>
              <w:pStyle w:val="TableParagraph"/>
              <w:ind w:left="0" w:right="137"/>
              <w:jc w:val="center"/>
              <w:rPr>
                <w:b/>
                <w:sz w:val="24"/>
              </w:rPr>
            </w:pPr>
            <w:r>
              <w:rPr>
                <w:b/>
                <w:spacing w:val="-5"/>
                <w:sz w:val="24"/>
              </w:rPr>
              <w:t>INF</w:t>
            </w:r>
          </w:p>
        </w:tc>
        <w:tc>
          <w:tcPr>
            <w:tcW w:w="877" w:type="dxa"/>
          </w:tcPr>
          <w:p>
            <w:pPr>
              <w:pStyle w:val="TableParagraph"/>
              <w:ind w:left="108"/>
              <w:rPr>
                <w:b/>
                <w:sz w:val="24"/>
              </w:rPr>
            </w:pPr>
            <w:r>
              <w:rPr>
                <w:b/>
                <w:spacing w:val="-5"/>
                <w:sz w:val="24"/>
              </w:rPr>
              <w:t>IPI</w:t>
            </w:r>
          </w:p>
        </w:tc>
      </w:tr>
      <w:tr>
        <w:trPr>
          <w:trHeight w:val="299" w:hRule="atLeast"/>
        </w:trPr>
        <w:tc>
          <w:tcPr>
            <w:tcW w:w="511" w:type="dxa"/>
            <w:vMerge/>
            <w:tcBorders>
              <w:top w:val="nil"/>
            </w:tcBorders>
          </w:tcPr>
          <w:p>
            <w:pPr>
              <w:rPr>
                <w:sz w:val="2"/>
                <w:szCs w:val="2"/>
              </w:rPr>
            </w:pPr>
          </w:p>
        </w:tc>
        <w:tc>
          <w:tcPr>
            <w:tcW w:w="1004" w:type="dxa"/>
            <w:vMerge/>
            <w:tcBorders>
              <w:top w:val="nil"/>
            </w:tcBorders>
          </w:tcPr>
          <w:p>
            <w:pPr>
              <w:rPr>
                <w:sz w:val="2"/>
                <w:szCs w:val="2"/>
              </w:rPr>
            </w:pPr>
          </w:p>
        </w:tc>
        <w:tc>
          <w:tcPr>
            <w:tcW w:w="996" w:type="dxa"/>
          </w:tcPr>
          <w:p>
            <w:pPr>
              <w:pStyle w:val="TableParagraph"/>
              <w:ind w:left="105"/>
              <w:rPr>
                <w:b/>
                <w:sz w:val="24"/>
              </w:rPr>
            </w:pPr>
            <w:r>
              <w:rPr>
                <w:b/>
                <w:spacing w:val="-10"/>
                <w:sz w:val="24"/>
              </w:rPr>
              <w:t>Y</w:t>
            </w:r>
          </w:p>
        </w:tc>
        <w:tc>
          <w:tcPr>
            <w:tcW w:w="758" w:type="dxa"/>
          </w:tcPr>
          <w:p>
            <w:pPr>
              <w:pStyle w:val="TableParagraph"/>
              <w:ind w:left="105"/>
              <w:rPr>
                <w:b/>
                <w:sz w:val="24"/>
              </w:rPr>
            </w:pPr>
            <w:r>
              <w:rPr>
                <w:b/>
                <w:spacing w:val="-5"/>
                <w:sz w:val="24"/>
              </w:rPr>
              <w:t>X1</w:t>
            </w:r>
          </w:p>
        </w:tc>
        <w:tc>
          <w:tcPr>
            <w:tcW w:w="1116" w:type="dxa"/>
          </w:tcPr>
          <w:p>
            <w:pPr>
              <w:pStyle w:val="TableParagraph"/>
              <w:ind w:left="108"/>
              <w:rPr>
                <w:b/>
                <w:sz w:val="24"/>
              </w:rPr>
            </w:pPr>
            <w:r>
              <w:rPr>
                <w:b/>
                <w:spacing w:val="-5"/>
                <w:sz w:val="24"/>
              </w:rPr>
              <w:t>X2</w:t>
            </w:r>
          </w:p>
        </w:tc>
        <w:tc>
          <w:tcPr>
            <w:tcW w:w="780" w:type="dxa"/>
          </w:tcPr>
          <w:p>
            <w:pPr>
              <w:pStyle w:val="TableParagraph"/>
              <w:ind w:left="0" w:right="258"/>
              <w:jc w:val="center"/>
              <w:rPr>
                <w:b/>
                <w:sz w:val="24"/>
              </w:rPr>
            </w:pPr>
            <w:r>
              <w:rPr>
                <w:b/>
                <w:spacing w:val="-5"/>
                <w:sz w:val="24"/>
              </w:rPr>
              <w:t>X3</w:t>
            </w:r>
          </w:p>
        </w:tc>
        <w:tc>
          <w:tcPr>
            <w:tcW w:w="877" w:type="dxa"/>
          </w:tcPr>
          <w:p>
            <w:pPr>
              <w:pStyle w:val="TableParagraph"/>
              <w:ind w:left="108"/>
              <w:rPr>
                <w:b/>
                <w:sz w:val="24"/>
              </w:rPr>
            </w:pPr>
            <w:r>
              <w:rPr>
                <w:b/>
                <w:spacing w:val="-5"/>
                <w:sz w:val="24"/>
              </w:rPr>
              <w:t>X4</w:t>
            </w:r>
          </w:p>
        </w:tc>
      </w:tr>
      <w:tr>
        <w:trPr>
          <w:trHeight w:val="299" w:hRule="atLeast"/>
        </w:trPr>
        <w:tc>
          <w:tcPr>
            <w:tcW w:w="511" w:type="dxa"/>
          </w:tcPr>
          <w:p>
            <w:pPr>
              <w:pStyle w:val="TableParagraph"/>
              <w:rPr>
                <w:sz w:val="24"/>
              </w:rPr>
            </w:pPr>
            <w:r>
              <w:rPr>
                <w:spacing w:val="-10"/>
                <w:sz w:val="24"/>
              </w:rPr>
              <w:t>1</w:t>
            </w:r>
          </w:p>
        </w:tc>
        <w:tc>
          <w:tcPr>
            <w:tcW w:w="1004" w:type="dxa"/>
          </w:tcPr>
          <w:p>
            <w:pPr>
              <w:pStyle w:val="TableParagraph"/>
              <w:ind w:left="105"/>
              <w:rPr>
                <w:sz w:val="24"/>
              </w:rPr>
            </w:pPr>
            <w:r>
              <w:rPr>
                <w:spacing w:val="-2"/>
                <w:sz w:val="24"/>
              </w:rPr>
              <w:t>Jan-</w:t>
            </w:r>
            <w:r>
              <w:rPr>
                <w:spacing w:val="-5"/>
                <w:sz w:val="24"/>
              </w:rPr>
              <w:t>20</w:t>
            </w:r>
          </w:p>
        </w:tc>
        <w:tc>
          <w:tcPr>
            <w:tcW w:w="996" w:type="dxa"/>
          </w:tcPr>
          <w:p>
            <w:pPr>
              <w:pStyle w:val="TableParagraph"/>
              <w:ind w:left="105"/>
              <w:rPr>
                <w:sz w:val="24"/>
              </w:rPr>
            </w:pPr>
            <w:r>
              <w:rPr>
                <w:spacing w:val="-2"/>
                <w:sz w:val="24"/>
              </w:rPr>
              <w:t>187.58</w:t>
            </w:r>
          </w:p>
        </w:tc>
        <w:tc>
          <w:tcPr>
            <w:tcW w:w="758" w:type="dxa"/>
          </w:tcPr>
          <w:p>
            <w:pPr>
              <w:pStyle w:val="TableParagraph"/>
              <w:ind w:left="105"/>
              <w:rPr>
                <w:sz w:val="24"/>
              </w:rPr>
            </w:pPr>
            <w:r>
              <w:rPr>
                <w:spacing w:val="-2"/>
                <w:sz w:val="24"/>
              </w:rPr>
              <w:t>121.7</w:t>
            </w:r>
          </w:p>
        </w:tc>
        <w:tc>
          <w:tcPr>
            <w:tcW w:w="1116" w:type="dxa"/>
          </w:tcPr>
          <w:p>
            <w:pPr>
              <w:pStyle w:val="TableParagraph"/>
              <w:ind w:left="108"/>
              <w:rPr>
                <w:sz w:val="24"/>
              </w:rPr>
            </w:pPr>
            <w:r>
              <w:rPr>
                <w:spacing w:val="-2"/>
                <w:sz w:val="24"/>
              </w:rPr>
              <w:t>13732.23</w:t>
            </w:r>
          </w:p>
        </w:tc>
        <w:tc>
          <w:tcPr>
            <w:tcW w:w="780" w:type="dxa"/>
          </w:tcPr>
          <w:p>
            <w:pPr>
              <w:pStyle w:val="TableParagraph"/>
              <w:ind w:left="7" w:right="137"/>
              <w:jc w:val="center"/>
              <w:rPr>
                <w:sz w:val="24"/>
              </w:rPr>
            </w:pPr>
            <w:r>
              <w:rPr>
                <w:spacing w:val="-4"/>
                <w:sz w:val="24"/>
              </w:rPr>
              <w:t>2.68</w:t>
            </w:r>
          </w:p>
        </w:tc>
        <w:tc>
          <w:tcPr>
            <w:tcW w:w="877" w:type="dxa"/>
          </w:tcPr>
          <w:p>
            <w:pPr>
              <w:pStyle w:val="TableParagraph"/>
              <w:ind w:left="108"/>
              <w:rPr>
                <w:sz w:val="24"/>
              </w:rPr>
            </w:pPr>
            <w:r>
              <w:rPr>
                <w:spacing w:val="-2"/>
                <w:sz w:val="24"/>
              </w:rPr>
              <w:t>150.52</w:t>
            </w:r>
          </w:p>
        </w:tc>
      </w:tr>
      <w:tr>
        <w:trPr>
          <w:trHeight w:val="299" w:hRule="atLeast"/>
        </w:trPr>
        <w:tc>
          <w:tcPr>
            <w:tcW w:w="511" w:type="dxa"/>
          </w:tcPr>
          <w:p>
            <w:pPr>
              <w:pStyle w:val="TableParagraph"/>
              <w:rPr>
                <w:sz w:val="24"/>
              </w:rPr>
            </w:pPr>
            <w:r>
              <w:rPr>
                <w:spacing w:val="-10"/>
                <w:sz w:val="24"/>
              </w:rPr>
              <w:t>2</w:t>
            </w:r>
          </w:p>
        </w:tc>
        <w:tc>
          <w:tcPr>
            <w:tcW w:w="1004" w:type="dxa"/>
          </w:tcPr>
          <w:p>
            <w:pPr>
              <w:pStyle w:val="TableParagraph"/>
              <w:ind w:left="105"/>
              <w:rPr>
                <w:sz w:val="24"/>
              </w:rPr>
            </w:pPr>
            <w:r>
              <w:rPr>
                <w:spacing w:val="-2"/>
                <w:sz w:val="24"/>
              </w:rPr>
              <w:t>Feb-</w:t>
            </w:r>
            <w:r>
              <w:rPr>
                <w:spacing w:val="-5"/>
                <w:sz w:val="24"/>
              </w:rPr>
              <w:t>20</w:t>
            </w:r>
          </w:p>
        </w:tc>
        <w:tc>
          <w:tcPr>
            <w:tcW w:w="996" w:type="dxa"/>
          </w:tcPr>
          <w:p>
            <w:pPr>
              <w:pStyle w:val="TableParagraph"/>
              <w:ind w:left="105"/>
              <w:rPr>
                <w:sz w:val="24"/>
              </w:rPr>
            </w:pPr>
            <w:r>
              <w:rPr>
                <w:spacing w:val="-2"/>
                <w:sz w:val="24"/>
              </w:rPr>
              <w:t>156.75</w:t>
            </w:r>
          </w:p>
        </w:tc>
        <w:tc>
          <w:tcPr>
            <w:tcW w:w="758" w:type="dxa"/>
          </w:tcPr>
          <w:p>
            <w:pPr>
              <w:pStyle w:val="TableParagraph"/>
              <w:ind w:left="105"/>
              <w:rPr>
                <w:sz w:val="24"/>
              </w:rPr>
            </w:pPr>
            <w:r>
              <w:rPr>
                <w:spacing w:val="-2"/>
                <w:sz w:val="24"/>
              </w:rPr>
              <w:t>117.7</w:t>
            </w:r>
          </w:p>
        </w:tc>
        <w:tc>
          <w:tcPr>
            <w:tcW w:w="1116" w:type="dxa"/>
          </w:tcPr>
          <w:p>
            <w:pPr>
              <w:pStyle w:val="TableParagraph"/>
              <w:ind w:left="108"/>
              <w:rPr>
                <w:sz w:val="24"/>
              </w:rPr>
            </w:pPr>
            <w:r>
              <w:rPr>
                <w:spacing w:val="-2"/>
                <w:sz w:val="24"/>
              </w:rPr>
              <w:t>13776.15</w:t>
            </w:r>
          </w:p>
        </w:tc>
        <w:tc>
          <w:tcPr>
            <w:tcW w:w="780" w:type="dxa"/>
          </w:tcPr>
          <w:p>
            <w:pPr>
              <w:pStyle w:val="TableParagraph"/>
              <w:ind w:left="7" w:right="137"/>
              <w:jc w:val="center"/>
              <w:rPr>
                <w:sz w:val="24"/>
              </w:rPr>
            </w:pPr>
            <w:r>
              <w:rPr>
                <w:spacing w:val="-4"/>
                <w:sz w:val="24"/>
              </w:rPr>
              <w:t>2.98</w:t>
            </w:r>
          </w:p>
        </w:tc>
        <w:tc>
          <w:tcPr>
            <w:tcW w:w="877" w:type="dxa"/>
          </w:tcPr>
          <w:p>
            <w:pPr>
              <w:pStyle w:val="TableParagraph"/>
              <w:ind w:left="108"/>
              <w:rPr>
                <w:sz w:val="24"/>
              </w:rPr>
            </w:pPr>
            <w:r>
              <w:rPr>
                <w:spacing w:val="-2"/>
                <w:sz w:val="24"/>
              </w:rPr>
              <w:t>145.48</w:t>
            </w:r>
          </w:p>
        </w:tc>
      </w:tr>
      <w:tr>
        <w:trPr>
          <w:trHeight w:val="301" w:hRule="atLeast"/>
        </w:trPr>
        <w:tc>
          <w:tcPr>
            <w:tcW w:w="511" w:type="dxa"/>
          </w:tcPr>
          <w:p>
            <w:pPr>
              <w:pStyle w:val="TableParagraph"/>
              <w:spacing w:before="25"/>
              <w:rPr>
                <w:sz w:val="24"/>
              </w:rPr>
            </w:pPr>
            <w:r>
              <w:rPr>
                <w:spacing w:val="-10"/>
                <w:sz w:val="24"/>
              </w:rPr>
              <w:t>3</w:t>
            </w:r>
          </w:p>
        </w:tc>
        <w:tc>
          <w:tcPr>
            <w:tcW w:w="1004" w:type="dxa"/>
          </w:tcPr>
          <w:p>
            <w:pPr>
              <w:pStyle w:val="TableParagraph"/>
              <w:spacing w:before="25"/>
              <w:ind w:left="105"/>
              <w:rPr>
                <w:sz w:val="24"/>
              </w:rPr>
            </w:pPr>
            <w:r>
              <w:rPr>
                <w:spacing w:val="-2"/>
                <w:sz w:val="24"/>
              </w:rPr>
              <w:t>Mar-</w:t>
            </w:r>
            <w:r>
              <w:rPr>
                <w:spacing w:val="-5"/>
                <w:sz w:val="24"/>
              </w:rPr>
              <w:t>20</w:t>
            </w:r>
          </w:p>
        </w:tc>
        <w:tc>
          <w:tcPr>
            <w:tcW w:w="996" w:type="dxa"/>
          </w:tcPr>
          <w:p>
            <w:pPr>
              <w:pStyle w:val="TableParagraph"/>
              <w:spacing w:before="25"/>
              <w:ind w:left="105"/>
              <w:rPr>
                <w:sz w:val="24"/>
              </w:rPr>
            </w:pPr>
            <w:r>
              <w:rPr>
                <w:spacing w:val="-2"/>
                <w:sz w:val="24"/>
              </w:rPr>
              <w:t>132.29</w:t>
            </w:r>
          </w:p>
        </w:tc>
        <w:tc>
          <w:tcPr>
            <w:tcW w:w="758" w:type="dxa"/>
          </w:tcPr>
          <w:p>
            <w:pPr>
              <w:pStyle w:val="TableParagraph"/>
              <w:spacing w:before="25"/>
              <w:ind w:left="105"/>
              <w:rPr>
                <w:sz w:val="24"/>
              </w:rPr>
            </w:pPr>
            <w:r>
              <w:rPr>
                <w:spacing w:val="-2"/>
                <w:sz w:val="24"/>
              </w:rPr>
              <w:t>113.8</w:t>
            </w:r>
          </w:p>
        </w:tc>
        <w:tc>
          <w:tcPr>
            <w:tcW w:w="1116" w:type="dxa"/>
          </w:tcPr>
          <w:p>
            <w:pPr>
              <w:pStyle w:val="TableParagraph"/>
              <w:spacing w:before="25"/>
              <w:ind w:left="108"/>
              <w:rPr>
                <w:sz w:val="24"/>
              </w:rPr>
            </w:pPr>
            <w:r>
              <w:rPr>
                <w:spacing w:val="-2"/>
                <w:sz w:val="24"/>
              </w:rPr>
              <w:t>15194.57</w:t>
            </w:r>
          </w:p>
        </w:tc>
        <w:tc>
          <w:tcPr>
            <w:tcW w:w="780" w:type="dxa"/>
          </w:tcPr>
          <w:p>
            <w:pPr>
              <w:pStyle w:val="TableParagraph"/>
              <w:spacing w:before="25"/>
              <w:ind w:left="7" w:right="137"/>
              <w:jc w:val="center"/>
              <w:rPr>
                <w:sz w:val="24"/>
              </w:rPr>
            </w:pPr>
            <w:r>
              <w:rPr>
                <w:spacing w:val="-4"/>
                <w:sz w:val="24"/>
              </w:rPr>
              <w:t>2.96</w:t>
            </w:r>
          </w:p>
        </w:tc>
        <w:tc>
          <w:tcPr>
            <w:tcW w:w="877" w:type="dxa"/>
          </w:tcPr>
          <w:p>
            <w:pPr>
              <w:pStyle w:val="TableParagraph"/>
              <w:spacing w:before="25"/>
              <w:ind w:left="108"/>
              <w:rPr>
                <w:sz w:val="24"/>
              </w:rPr>
            </w:pPr>
            <w:r>
              <w:rPr>
                <w:spacing w:val="-2"/>
                <w:sz w:val="24"/>
              </w:rPr>
              <w:t>148.44</w:t>
            </w:r>
          </w:p>
        </w:tc>
      </w:tr>
      <w:tr>
        <w:trPr>
          <w:trHeight w:val="299" w:hRule="atLeast"/>
        </w:trPr>
        <w:tc>
          <w:tcPr>
            <w:tcW w:w="511" w:type="dxa"/>
          </w:tcPr>
          <w:p>
            <w:pPr>
              <w:pStyle w:val="TableParagraph"/>
              <w:rPr>
                <w:sz w:val="24"/>
              </w:rPr>
            </w:pPr>
            <w:r>
              <w:rPr>
                <w:spacing w:val="-10"/>
                <w:sz w:val="24"/>
              </w:rPr>
              <w:t>4</w:t>
            </w:r>
          </w:p>
        </w:tc>
        <w:tc>
          <w:tcPr>
            <w:tcW w:w="1004" w:type="dxa"/>
          </w:tcPr>
          <w:p>
            <w:pPr>
              <w:pStyle w:val="TableParagraph"/>
              <w:ind w:left="105"/>
              <w:rPr>
                <w:sz w:val="24"/>
              </w:rPr>
            </w:pPr>
            <w:r>
              <w:rPr>
                <w:spacing w:val="-2"/>
                <w:sz w:val="24"/>
              </w:rPr>
              <w:t>Apr-</w:t>
            </w:r>
            <w:r>
              <w:rPr>
                <w:spacing w:val="-5"/>
                <w:sz w:val="24"/>
              </w:rPr>
              <w:t>20</w:t>
            </w:r>
          </w:p>
        </w:tc>
        <w:tc>
          <w:tcPr>
            <w:tcW w:w="996" w:type="dxa"/>
          </w:tcPr>
          <w:p>
            <w:pPr>
              <w:pStyle w:val="TableParagraph"/>
              <w:ind w:left="105"/>
              <w:rPr>
                <w:sz w:val="24"/>
              </w:rPr>
            </w:pPr>
            <w:r>
              <w:rPr>
                <w:spacing w:val="-2"/>
                <w:sz w:val="24"/>
              </w:rPr>
              <w:t>144.87</w:t>
            </w:r>
          </w:p>
        </w:tc>
        <w:tc>
          <w:tcPr>
            <w:tcW w:w="758" w:type="dxa"/>
          </w:tcPr>
          <w:p>
            <w:pPr>
              <w:pStyle w:val="TableParagraph"/>
              <w:ind w:left="105"/>
              <w:rPr>
                <w:sz w:val="24"/>
              </w:rPr>
            </w:pPr>
            <w:r>
              <w:rPr>
                <w:spacing w:val="-4"/>
                <w:sz w:val="24"/>
              </w:rPr>
              <w:t>84.8</w:t>
            </w:r>
          </w:p>
        </w:tc>
        <w:tc>
          <w:tcPr>
            <w:tcW w:w="1116" w:type="dxa"/>
          </w:tcPr>
          <w:p>
            <w:pPr>
              <w:pStyle w:val="TableParagraph"/>
              <w:ind w:left="108"/>
              <w:rPr>
                <w:sz w:val="24"/>
              </w:rPr>
            </w:pPr>
            <w:r>
              <w:rPr>
                <w:spacing w:val="-2"/>
                <w:sz w:val="24"/>
              </w:rPr>
              <w:t>15867.43</w:t>
            </w:r>
          </w:p>
        </w:tc>
        <w:tc>
          <w:tcPr>
            <w:tcW w:w="780" w:type="dxa"/>
          </w:tcPr>
          <w:p>
            <w:pPr>
              <w:pStyle w:val="TableParagraph"/>
              <w:ind w:left="7" w:right="137"/>
              <w:jc w:val="center"/>
              <w:rPr>
                <w:sz w:val="24"/>
              </w:rPr>
            </w:pPr>
            <w:r>
              <w:rPr>
                <w:spacing w:val="-4"/>
                <w:sz w:val="24"/>
              </w:rPr>
              <w:t>2.67</w:t>
            </w:r>
          </w:p>
        </w:tc>
        <w:tc>
          <w:tcPr>
            <w:tcW w:w="877" w:type="dxa"/>
          </w:tcPr>
          <w:p>
            <w:pPr>
              <w:pStyle w:val="TableParagraph"/>
              <w:ind w:left="108"/>
              <w:rPr>
                <w:sz w:val="24"/>
              </w:rPr>
            </w:pPr>
            <w:r>
              <w:rPr>
                <w:spacing w:val="-2"/>
                <w:sz w:val="24"/>
              </w:rPr>
              <w:t>122.94</w:t>
            </w:r>
          </w:p>
        </w:tc>
      </w:tr>
      <w:tr>
        <w:trPr>
          <w:trHeight w:val="299" w:hRule="atLeast"/>
        </w:trPr>
        <w:tc>
          <w:tcPr>
            <w:tcW w:w="511" w:type="dxa"/>
          </w:tcPr>
          <w:p>
            <w:pPr>
              <w:pStyle w:val="TableParagraph"/>
              <w:rPr>
                <w:sz w:val="24"/>
              </w:rPr>
            </w:pPr>
            <w:r>
              <w:rPr>
                <w:spacing w:val="-10"/>
                <w:sz w:val="24"/>
              </w:rPr>
              <w:t>5</w:t>
            </w:r>
          </w:p>
        </w:tc>
        <w:tc>
          <w:tcPr>
            <w:tcW w:w="1004" w:type="dxa"/>
          </w:tcPr>
          <w:p>
            <w:pPr>
              <w:pStyle w:val="TableParagraph"/>
              <w:ind w:left="105"/>
              <w:rPr>
                <w:sz w:val="24"/>
              </w:rPr>
            </w:pPr>
            <w:r>
              <w:rPr>
                <w:spacing w:val="-2"/>
                <w:sz w:val="24"/>
              </w:rPr>
              <w:t>May-</w:t>
            </w:r>
            <w:r>
              <w:rPr>
                <w:spacing w:val="-5"/>
                <w:sz w:val="24"/>
              </w:rPr>
              <w:t>20</w:t>
            </w:r>
          </w:p>
        </w:tc>
        <w:tc>
          <w:tcPr>
            <w:tcW w:w="996" w:type="dxa"/>
          </w:tcPr>
          <w:p>
            <w:pPr>
              <w:pStyle w:val="TableParagraph"/>
              <w:ind w:left="105"/>
              <w:rPr>
                <w:sz w:val="24"/>
              </w:rPr>
            </w:pPr>
            <w:r>
              <w:rPr>
                <w:spacing w:val="-2"/>
                <w:sz w:val="24"/>
              </w:rPr>
              <w:t>143.81</w:t>
            </w:r>
          </w:p>
        </w:tc>
        <w:tc>
          <w:tcPr>
            <w:tcW w:w="758" w:type="dxa"/>
          </w:tcPr>
          <w:p>
            <w:pPr>
              <w:pStyle w:val="TableParagraph"/>
              <w:ind w:left="105"/>
              <w:rPr>
                <w:sz w:val="24"/>
              </w:rPr>
            </w:pPr>
            <w:r>
              <w:rPr>
                <w:spacing w:val="-4"/>
                <w:sz w:val="24"/>
              </w:rPr>
              <w:t>77.8</w:t>
            </w:r>
          </w:p>
        </w:tc>
        <w:tc>
          <w:tcPr>
            <w:tcW w:w="1116" w:type="dxa"/>
          </w:tcPr>
          <w:p>
            <w:pPr>
              <w:pStyle w:val="TableParagraph"/>
              <w:ind w:left="108"/>
              <w:rPr>
                <w:sz w:val="24"/>
              </w:rPr>
            </w:pPr>
            <w:r>
              <w:rPr>
                <w:spacing w:val="-2"/>
                <w:sz w:val="24"/>
              </w:rPr>
              <w:t>14906.19</w:t>
            </w:r>
          </w:p>
        </w:tc>
        <w:tc>
          <w:tcPr>
            <w:tcW w:w="780" w:type="dxa"/>
          </w:tcPr>
          <w:p>
            <w:pPr>
              <w:pStyle w:val="TableParagraph"/>
              <w:ind w:left="7" w:right="137"/>
              <w:jc w:val="center"/>
              <w:rPr>
                <w:sz w:val="24"/>
              </w:rPr>
            </w:pPr>
            <w:r>
              <w:rPr>
                <w:spacing w:val="-4"/>
                <w:sz w:val="24"/>
              </w:rPr>
              <w:t>2.19</w:t>
            </w:r>
          </w:p>
        </w:tc>
        <w:tc>
          <w:tcPr>
            <w:tcW w:w="877" w:type="dxa"/>
          </w:tcPr>
          <w:p>
            <w:pPr>
              <w:pStyle w:val="TableParagraph"/>
              <w:ind w:left="108"/>
              <w:rPr>
                <w:sz w:val="24"/>
              </w:rPr>
            </w:pPr>
            <w:r>
              <w:rPr>
                <w:spacing w:val="-2"/>
                <w:sz w:val="24"/>
              </w:rPr>
              <w:t>104.02</w:t>
            </w:r>
          </w:p>
        </w:tc>
      </w:tr>
      <w:tr>
        <w:trPr>
          <w:trHeight w:val="299" w:hRule="atLeast"/>
        </w:trPr>
        <w:tc>
          <w:tcPr>
            <w:tcW w:w="511" w:type="dxa"/>
          </w:tcPr>
          <w:p>
            <w:pPr>
              <w:pStyle w:val="TableParagraph"/>
              <w:rPr>
                <w:sz w:val="24"/>
              </w:rPr>
            </w:pPr>
            <w:r>
              <w:rPr>
                <w:spacing w:val="-10"/>
                <w:sz w:val="24"/>
              </w:rPr>
              <w:t>6</w:t>
            </w:r>
          </w:p>
        </w:tc>
        <w:tc>
          <w:tcPr>
            <w:tcW w:w="1004" w:type="dxa"/>
          </w:tcPr>
          <w:p>
            <w:pPr>
              <w:pStyle w:val="TableParagraph"/>
              <w:ind w:left="105"/>
              <w:rPr>
                <w:sz w:val="24"/>
              </w:rPr>
            </w:pPr>
            <w:r>
              <w:rPr>
                <w:spacing w:val="-2"/>
                <w:sz w:val="24"/>
              </w:rPr>
              <w:t>Jun-</w:t>
            </w:r>
            <w:r>
              <w:rPr>
                <w:spacing w:val="-5"/>
                <w:sz w:val="24"/>
              </w:rPr>
              <w:t>20</w:t>
            </w:r>
          </w:p>
        </w:tc>
        <w:tc>
          <w:tcPr>
            <w:tcW w:w="996" w:type="dxa"/>
          </w:tcPr>
          <w:p>
            <w:pPr>
              <w:pStyle w:val="TableParagraph"/>
              <w:ind w:left="105"/>
              <w:rPr>
                <w:sz w:val="24"/>
              </w:rPr>
            </w:pPr>
            <w:r>
              <w:rPr>
                <w:spacing w:val="-2"/>
                <w:sz w:val="24"/>
              </w:rPr>
              <w:t>146.26</w:t>
            </w:r>
          </w:p>
        </w:tc>
        <w:tc>
          <w:tcPr>
            <w:tcW w:w="758" w:type="dxa"/>
          </w:tcPr>
          <w:p>
            <w:pPr>
              <w:pStyle w:val="TableParagraph"/>
              <w:ind w:left="105"/>
              <w:rPr>
                <w:sz w:val="24"/>
              </w:rPr>
            </w:pPr>
            <w:r>
              <w:rPr>
                <w:spacing w:val="-4"/>
                <w:sz w:val="24"/>
              </w:rPr>
              <w:t>83.8</w:t>
            </w:r>
          </w:p>
        </w:tc>
        <w:tc>
          <w:tcPr>
            <w:tcW w:w="1116" w:type="dxa"/>
          </w:tcPr>
          <w:p>
            <w:pPr>
              <w:pStyle w:val="TableParagraph"/>
              <w:ind w:left="108"/>
              <w:rPr>
                <w:sz w:val="24"/>
              </w:rPr>
            </w:pPr>
            <w:r>
              <w:rPr>
                <w:spacing w:val="-2"/>
                <w:sz w:val="24"/>
              </w:rPr>
              <w:t>14195.96</w:t>
            </w:r>
          </w:p>
        </w:tc>
        <w:tc>
          <w:tcPr>
            <w:tcW w:w="780" w:type="dxa"/>
          </w:tcPr>
          <w:p>
            <w:pPr>
              <w:pStyle w:val="TableParagraph"/>
              <w:ind w:left="7" w:right="137"/>
              <w:jc w:val="center"/>
              <w:rPr>
                <w:sz w:val="24"/>
              </w:rPr>
            </w:pPr>
            <w:r>
              <w:rPr>
                <w:spacing w:val="-4"/>
                <w:sz w:val="24"/>
              </w:rPr>
              <w:t>1.96</w:t>
            </w:r>
          </w:p>
        </w:tc>
        <w:tc>
          <w:tcPr>
            <w:tcW w:w="877" w:type="dxa"/>
          </w:tcPr>
          <w:p>
            <w:pPr>
              <w:pStyle w:val="TableParagraph"/>
              <w:ind w:left="108"/>
              <w:rPr>
                <w:sz w:val="24"/>
              </w:rPr>
            </w:pPr>
            <w:r>
              <w:rPr>
                <w:spacing w:val="-2"/>
                <w:sz w:val="24"/>
              </w:rPr>
              <w:t>120.30</w:t>
            </w:r>
          </w:p>
        </w:tc>
      </w:tr>
      <w:tr>
        <w:trPr>
          <w:trHeight w:val="299" w:hRule="atLeast"/>
        </w:trPr>
        <w:tc>
          <w:tcPr>
            <w:tcW w:w="511" w:type="dxa"/>
          </w:tcPr>
          <w:p>
            <w:pPr>
              <w:pStyle w:val="TableParagraph"/>
              <w:rPr>
                <w:sz w:val="24"/>
              </w:rPr>
            </w:pPr>
            <w:r>
              <w:rPr>
                <w:spacing w:val="-10"/>
                <w:sz w:val="24"/>
              </w:rPr>
              <w:t>7</w:t>
            </w:r>
          </w:p>
        </w:tc>
        <w:tc>
          <w:tcPr>
            <w:tcW w:w="1004" w:type="dxa"/>
          </w:tcPr>
          <w:p>
            <w:pPr>
              <w:pStyle w:val="TableParagraph"/>
              <w:ind w:left="105"/>
              <w:rPr>
                <w:sz w:val="24"/>
              </w:rPr>
            </w:pPr>
            <w:r>
              <w:rPr>
                <w:sz w:val="24"/>
              </w:rPr>
              <w:t>Jul-</w:t>
            </w:r>
            <w:r>
              <w:rPr>
                <w:spacing w:val="-5"/>
                <w:sz w:val="24"/>
              </w:rPr>
              <w:t>20</w:t>
            </w:r>
          </w:p>
        </w:tc>
        <w:tc>
          <w:tcPr>
            <w:tcW w:w="996" w:type="dxa"/>
          </w:tcPr>
          <w:p>
            <w:pPr>
              <w:pStyle w:val="TableParagraph"/>
              <w:ind w:left="105"/>
              <w:rPr>
                <w:sz w:val="24"/>
              </w:rPr>
            </w:pPr>
            <w:r>
              <w:rPr>
                <w:spacing w:val="-2"/>
                <w:sz w:val="24"/>
              </w:rPr>
              <w:t>150.13</w:t>
            </w:r>
          </w:p>
        </w:tc>
        <w:tc>
          <w:tcPr>
            <w:tcW w:w="758" w:type="dxa"/>
          </w:tcPr>
          <w:p>
            <w:pPr>
              <w:pStyle w:val="TableParagraph"/>
              <w:ind w:left="105"/>
              <w:rPr>
                <w:sz w:val="24"/>
              </w:rPr>
            </w:pPr>
            <w:r>
              <w:rPr>
                <w:spacing w:val="-4"/>
                <w:sz w:val="24"/>
              </w:rPr>
              <w:t>86.2</w:t>
            </w:r>
          </w:p>
        </w:tc>
        <w:tc>
          <w:tcPr>
            <w:tcW w:w="1116" w:type="dxa"/>
          </w:tcPr>
          <w:p>
            <w:pPr>
              <w:pStyle w:val="TableParagraph"/>
              <w:ind w:left="108"/>
              <w:rPr>
                <w:sz w:val="24"/>
              </w:rPr>
            </w:pPr>
            <w:r>
              <w:rPr>
                <w:spacing w:val="-2"/>
                <w:sz w:val="24"/>
              </w:rPr>
              <w:t>14582.41</w:t>
            </w:r>
          </w:p>
        </w:tc>
        <w:tc>
          <w:tcPr>
            <w:tcW w:w="780" w:type="dxa"/>
          </w:tcPr>
          <w:p>
            <w:pPr>
              <w:pStyle w:val="TableParagraph"/>
              <w:ind w:left="7" w:right="137"/>
              <w:jc w:val="center"/>
              <w:rPr>
                <w:sz w:val="24"/>
              </w:rPr>
            </w:pPr>
            <w:r>
              <w:rPr>
                <w:spacing w:val="-4"/>
                <w:sz w:val="24"/>
              </w:rPr>
              <w:t>1.54</w:t>
            </w:r>
          </w:p>
        </w:tc>
        <w:tc>
          <w:tcPr>
            <w:tcW w:w="877" w:type="dxa"/>
          </w:tcPr>
          <w:p>
            <w:pPr>
              <w:pStyle w:val="TableParagraph"/>
              <w:ind w:left="108"/>
              <w:rPr>
                <w:sz w:val="24"/>
              </w:rPr>
            </w:pPr>
            <w:r>
              <w:rPr>
                <w:spacing w:val="-2"/>
                <w:sz w:val="24"/>
              </w:rPr>
              <w:t>129.41</w:t>
            </w:r>
          </w:p>
        </w:tc>
      </w:tr>
      <w:tr>
        <w:trPr>
          <w:trHeight w:val="300" w:hRule="atLeast"/>
        </w:trPr>
        <w:tc>
          <w:tcPr>
            <w:tcW w:w="511" w:type="dxa"/>
          </w:tcPr>
          <w:p>
            <w:pPr>
              <w:pStyle w:val="TableParagraph"/>
              <w:rPr>
                <w:sz w:val="24"/>
              </w:rPr>
            </w:pPr>
            <w:r>
              <w:rPr>
                <w:spacing w:val="-10"/>
                <w:sz w:val="24"/>
              </w:rPr>
              <w:t>8</w:t>
            </w:r>
          </w:p>
        </w:tc>
        <w:tc>
          <w:tcPr>
            <w:tcW w:w="1004" w:type="dxa"/>
          </w:tcPr>
          <w:p>
            <w:pPr>
              <w:pStyle w:val="TableParagraph"/>
              <w:ind w:left="105"/>
              <w:rPr>
                <w:sz w:val="24"/>
              </w:rPr>
            </w:pPr>
            <w:r>
              <w:rPr>
                <w:spacing w:val="-2"/>
                <w:sz w:val="24"/>
              </w:rPr>
              <w:t>Aug-</w:t>
            </w:r>
            <w:r>
              <w:rPr>
                <w:spacing w:val="-5"/>
                <w:sz w:val="24"/>
              </w:rPr>
              <w:t>20</w:t>
            </w:r>
          </w:p>
        </w:tc>
        <w:tc>
          <w:tcPr>
            <w:tcW w:w="996" w:type="dxa"/>
          </w:tcPr>
          <w:p>
            <w:pPr>
              <w:pStyle w:val="TableParagraph"/>
              <w:ind w:left="105"/>
              <w:rPr>
                <w:sz w:val="24"/>
              </w:rPr>
            </w:pPr>
            <w:r>
              <w:rPr>
                <w:spacing w:val="-2"/>
                <w:sz w:val="24"/>
              </w:rPr>
              <w:t>153.21</w:t>
            </w:r>
          </w:p>
        </w:tc>
        <w:tc>
          <w:tcPr>
            <w:tcW w:w="758" w:type="dxa"/>
          </w:tcPr>
          <w:p>
            <w:pPr>
              <w:pStyle w:val="TableParagraph"/>
              <w:ind w:left="105"/>
              <w:rPr>
                <w:sz w:val="24"/>
              </w:rPr>
            </w:pPr>
            <w:r>
              <w:rPr>
                <w:spacing w:val="-4"/>
                <w:sz w:val="24"/>
              </w:rPr>
              <w:t>86.9</w:t>
            </w:r>
          </w:p>
        </w:tc>
        <w:tc>
          <w:tcPr>
            <w:tcW w:w="1116" w:type="dxa"/>
          </w:tcPr>
          <w:p>
            <w:pPr>
              <w:pStyle w:val="TableParagraph"/>
              <w:ind w:left="108"/>
              <w:rPr>
                <w:sz w:val="24"/>
              </w:rPr>
            </w:pPr>
            <w:r>
              <w:rPr>
                <w:spacing w:val="-2"/>
                <w:sz w:val="24"/>
              </w:rPr>
              <w:t>14724.50</w:t>
            </w:r>
          </w:p>
        </w:tc>
        <w:tc>
          <w:tcPr>
            <w:tcW w:w="780" w:type="dxa"/>
          </w:tcPr>
          <w:p>
            <w:pPr>
              <w:pStyle w:val="TableParagraph"/>
              <w:ind w:left="7" w:right="137"/>
              <w:jc w:val="center"/>
              <w:rPr>
                <w:sz w:val="24"/>
              </w:rPr>
            </w:pPr>
            <w:r>
              <w:rPr>
                <w:spacing w:val="-4"/>
                <w:sz w:val="24"/>
              </w:rPr>
              <w:t>1.32</w:t>
            </w:r>
          </w:p>
        </w:tc>
        <w:tc>
          <w:tcPr>
            <w:tcW w:w="877" w:type="dxa"/>
          </w:tcPr>
          <w:p>
            <w:pPr>
              <w:pStyle w:val="TableParagraph"/>
              <w:ind w:left="108"/>
              <w:rPr>
                <w:sz w:val="24"/>
              </w:rPr>
            </w:pPr>
            <w:r>
              <w:rPr>
                <w:spacing w:val="-2"/>
                <w:sz w:val="24"/>
              </w:rPr>
              <w:t>129.06</w:t>
            </w:r>
          </w:p>
        </w:tc>
      </w:tr>
      <w:tr>
        <w:trPr>
          <w:trHeight w:val="302" w:hRule="atLeast"/>
        </w:trPr>
        <w:tc>
          <w:tcPr>
            <w:tcW w:w="511" w:type="dxa"/>
          </w:tcPr>
          <w:p>
            <w:pPr>
              <w:pStyle w:val="TableParagraph"/>
              <w:spacing w:before="25"/>
              <w:rPr>
                <w:sz w:val="24"/>
              </w:rPr>
            </w:pPr>
            <w:r>
              <w:rPr>
                <w:spacing w:val="-10"/>
                <w:sz w:val="24"/>
              </w:rPr>
              <w:t>9</w:t>
            </w:r>
          </w:p>
        </w:tc>
        <w:tc>
          <w:tcPr>
            <w:tcW w:w="1004" w:type="dxa"/>
          </w:tcPr>
          <w:p>
            <w:pPr>
              <w:pStyle w:val="TableParagraph"/>
              <w:spacing w:before="25"/>
              <w:ind w:left="105"/>
              <w:rPr>
                <w:sz w:val="24"/>
              </w:rPr>
            </w:pPr>
            <w:r>
              <w:rPr>
                <w:spacing w:val="-2"/>
                <w:sz w:val="24"/>
              </w:rPr>
              <w:t>Sep-</w:t>
            </w:r>
            <w:r>
              <w:rPr>
                <w:spacing w:val="-5"/>
                <w:sz w:val="24"/>
              </w:rPr>
              <w:t>20</w:t>
            </w:r>
          </w:p>
        </w:tc>
        <w:tc>
          <w:tcPr>
            <w:tcW w:w="996" w:type="dxa"/>
          </w:tcPr>
          <w:p>
            <w:pPr>
              <w:pStyle w:val="TableParagraph"/>
              <w:spacing w:before="25"/>
              <w:ind w:left="105"/>
              <w:rPr>
                <w:sz w:val="24"/>
              </w:rPr>
            </w:pPr>
            <w:r>
              <w:rPr>
                <w:spacing w:val="-2"/>
                <w:sz w:val="24"/>
              </w:rPr>
              <w:t>144.7</w:t>
            </w:r>
          </w:p>
        </w:tc>
        <w:tc>
          <w:tcPr>
            <w:tcW w:w="758" w:type="dxa"/>
          </w:tcPr>
          <w:p>
            <w:pPr>
              <w:pStyle w:val="TableParagraph"/>
              <w:spacing w:before="25"/>
              <w:ind w:left="105"/>
              <w:rPr>
                <w:sz w:val="24"/>
              </w:rPr>
            </w:pPr>
            <w:r>
              <w:rPr>
                <w:spacing w:val="-4"/>
                <w:sz w:val="24"/>
              </w:rPr>
              <w:t>83.4</w:t>
            </w:r>
          </w:p>
        </w:tc>
        <w:tc>
          <w:tcPr>
            <w:tcW w:w="1116" w:type="dxa"/>
          </w:tcPr>
          <w:p>
            <w:pPr>
              <w:pStyle w:val="TableParagraph"/>
              <w:spacing w:before="25"/>
              <w:ind w:left="108"/>
              <w:rPr>
                <w:sz w:val="24"/>
              </w:rPr>
            </w:pPr>
            <w:r>
              <w:rPr>
                <w:spacing w:val="-2"/>
                <w:sz w:val="24"/>
              </w:rPr>
              <w:t>14847.96</w:t>
            </w:r>
          </w:p>
        </w:tc>
        <w:tc>
          <w:tcPr>
            <w:tcW w:w="780" w:type="dxa"/>
          </w:tcPr>
          <w:p>
            <w:pPr>
              <w:pStyle w:val="TableParagraph"/>
              <w:spacing w:before="25"/>
              <w:ind w:left="7" w:right="137"/>
              <w:jc w:val="center"/>
              <w:rPr>
                <w:sz w:val="24"/>
              </w:rPr>
            </w:pPr>
            <w:r>
              <w:rPr>
                <w:spacing w:val="-4"/>
                <w:sz w:val="24"/>
              </w:rPr>
              <w:t>1.42</w:t>
            </w:r>
          </w:p>
        </w:tc>
        <w:tc>
          <w:tcPr>
            <w:tcW w:w="877" w:type="dxa"/>
          </w:tcPr>
          <w:p>
            <w:pPr>
              <w:pStyle w:val="TableParagraph"/>
              <w:spacing w:before="25"/>
              <w:ind w:left="108"/>
              <w:rPr>
                <w:sz w:val="24"/>
              </w:rPr>
            </w:pPr>
            <w:r>
              <w:rPr>
                <w:spacing w:val="-2"/>
                <w:sz w:val="24"/>
              </w:rPr>
              <w:t>136.97</w:t>
            </w:r>
          </w:p>
        </w:tc>
      </w:tr>
      <w:tr>
        <w:trPr>
          <w:trHeight w:val="299" w:hRule="atLeast"/>
        </w:trPr>
        <w:tc>
          <w:tcPr>
            <w:tcW w:w="511" w:type="dxa"/>
          </w:tcPr>
          <w:p>
            <w:pPr>
              <w:pStyle w:val="TableParagraph"/>
              <w:rPr>
                <w:sz w:val="24"/>
              </w:rPr>
            </w:pPr>
            <w:r>
              <w:rPr>
                <w:spacing w:val="-5"/>
                <w:sz w:val="24"/>
              </w:rPr>
              <w:t>10</w:t>
            </w:r>
          </w:p>
        </w:tc>
        <w:tc>
          <w:tcPr>
            <w:tcW w:w="1004" w:type="dxa"/>
          </w:tcPr>
          <w:p>
            <w:pPr>
              <w:pStyle w:val="TableParagraph"/>
              <w:ind w:left="105"/>
              <w:rPr>
                <w:sz w:val="24"/>
              </w:rPr>
            </w:pPr>
            <w:r>
              <w:rPr>
                <w:spacing w:val="-2"/>
                <w:sz w:val="24"/>
              </w:rPr>
              <w:t>Oct-</w:t>
            </w:r>
            <w:r>
              <w:rPr>
                <w:spacing w:val="-5"/>
                <w:sz w:val="24"/>
              </w:rPr>
              <w:t>20</w:t>
            </w:r>
          </w:p>
        </w:tc>
        <w:tc>
          <w:tcPr>
            <w:tcW w:w="996" w:type="dxa"/>
          </w:tcPr>
          <w:p>
            <w:pPr>
              <w:pStyle w:val="TableParagraph"/>
              <w:ind w:left="105"/>
              <w:rPr>
                <w:sz w:val="24"/>
              </w:rPr>
            </w:pPr>
            <w:r>
              <w:rPr>
                <w:spacing w:val="-2"/>
                <w:sz w:val="24"/>
              </w:rPr>
              <w:t>150.47</w:t>
            </w:r>
          </w:p>
        </w:tc>
        <w:tc>
          <w:tcPr>
            <w:tcW w:w="758" w:type="dxa"/>
          </w:tcPr>
          <w:p>
            <w:pPr>
              <w:pStyle w:val="TableParagraph"/>
              <w:ind w:left="105"/>
              <w:rPr>
                <w:sz w:val="24"/>
              </w:rPr>
            </w:pPr>
            <w:r>
              <w:rPr>
                <w:spacing w:val="-4"/>
                <w:sz w:val="24"/>
              </w:rPr>
              <w:t>79.0</w:t>
            </w:r>
          </w:p>
        </w:tc>
        <w:tc>
          <w:tcPr>
            <w:tcW w:w="1116" w:type="dxa"/>
          </w:tcPr>
          <w:p>
            <w:pPr>
              <w:pStyle w:val="TableParagraph"/>
              <w:ind w:left="108"/>
              <w:rPr>
                <w:sz w:val="24"/>
              </w:rPr>
            </w:pPr>
            <w:r>
              <w:rPr>
                <w:spacing w:val="-2"/>
                <w:sz w:val="24"/>
              </w:rPr>
              <w:t>14749.14</w:t>
            </w:r>
          </w:p>
        </w:tc>
        <w:tc>
          <w:tcPr>
            <w:tcW w:w="780" w:type="dxa"/>
          </w:tcPr>
          <w:p>
            <w:pPr>
              <w:pStyle w:val="TableParagraph"/>
              <w:ind w:left="7" w:right="137"/>
              <w:jc w:val="center"/>
              <w:rPr>
                <w:sz w:val="24"/>
              </w:rPr>
            </w:pPr>
            <w:r>
              <w:rPr>
                <w:spacing w:val="-4"/>
                <w:sz w:val="24"/>
              </w:rPr>
              <w:t>1.44</w:t>
            </w:r>
          </w:p>
        </w:tc>
        <w:tc>
          <w:tcPr>
            <w:tcW w:w="877" w:type="dxa"/>
          </w:tcPr>
          <w:p>
            <w:pPr>
              <w:pStyle w:val="TableParagraph"/>
              <w:ind w:left="108"/>
              <w:rPr>
                <w:sz w:val="24"/>
              </w:rPr>
            </w:pPr>
            <w:r>
              <w:rPr>
                <w:spacing w:val="-2"/>
                <w:sz w:val="24"/>
              </w:rPr>
              <w:t>138.67</w:t>
            </w:r>
          </w:p>
        </w:tc>
      </w:tr>
      <w:tr>
        <w:trPr>
          <w:trHeight w:val="299" w:hRule="atLeast"/>
        </w:trPr>
        <w:tc>
          <w:tcPr>
            <w:tcW w:w="511" w:type="dxa"/>
          </w:tcPr>
          <w:p>
            <w:pPr>
              <w:pStyle w:val="TableParagraph"/>
              <w:rPr>
                <w:sz w:val="24"/>
              </w:rPr>
            </w:pPr>
            <w:r>
              <w:rPr>
                <w:spacing w:val="-5"/>
                <w:sz w:val="24"/>
              </w:rPr>
              <w:t>11</w:t>
            </w:r>
          </w:p>
        </w:tc>
        <w:tc>
          <w:tcPr>
            <w:tcW w:w="1004" w:type="dxa"/>
          </w:tcPr>
          <w:p>
            <w:pPr>
              <w:pStyle w:val="TableParagraph"/>
              <w:ind w:left="105"/>
              <w:rPr>
                <w:sz w:val="24"/>
              </w:rPr>
            </w:pPr>
            <w:r>
              <w:rPr>
                <w:spacing w:val="-2"/>
                <w:sz w:val="24"/>
              </w:rPr>
              <w:t>Nov-</w:t>
            </w:r>
            <w:r>
              <w:rPr>
                <w:spacing w:val="-5"/>
                <w:sz w:val="24"/>
              </w:rPr>
              <w:t>20</w:t>
            </w:r>
          </w:p>
        </w:tc>
        <w:tc>
          <w:tcPr>
            <w:tcW w:w="996" w:type="dxa"/>
          </w:tcPr>
          <w:p>
            <w:pPr>
              <w:pStyle w:val="TableParagraph"/>
              <w:ind w:left="105"/>
              <w:rPr>
                <w:sz w:val="24"/>
              </w:rPr>
            </w:pPr>
            <w:r>
              <w:rPr>
                <w:spacing w:val="-2"/>
                <w:sz w:val="24"/>
              </w:rPr>
              <w:t>169.8</w:t>
            </w:r>
          </w:p>
        </w:tc>
        <w:tc>
          <w:tcPr>
            <w:tcW w:w="758" w:type="dxa"/>
          </w:tcPr>
          <w:p>
            <w:pPr>
              <w:pStyle w:val="TableParagraph"/>
              <w:ind w:left="105"/>
              <w:rPr>
                <w:sz w:val="24"/>
              </w:rPr>
            </w:pPr>
            <w:r>
              <w:rPr>
                <w:spacing w:val="-4"/>
                <w:sz w:val="24"/>
              </w:rPr>
              <w:t>92.0</w:t>
            </w:r>
          </w:p>
        </w:tc>
        <w:tc>
          <w:tcPr>
            <w:tcW w:w="1116" w:type="dxa"/>
          </w:tcPr>
          <w:p>
            <w:pPr>
              <w:pStyle w:val="TableParagraph"/>
              <w:ind w:left="108"/>
              <w:rPr>
                <w:sz w:val="24"/>
              </w:rPr>
            </w:pPr>
            <w:r>
              <w:rPr>
                <w:spacing w:val="-2"/>
                <w:sz w:val="24"/>
              </w:rPr>
              <w:t>14236.81</w:t>
            </w:r>
          </w:p>
        </w:tc>
        <w:tc>
          <w:tcPr>
            <w:tcW w:w="780" w:type="dxa"/>
          </w:tcPr>
          <w:p>
            <w:pPr>
              <w:pStyle w:val="TableParagraph"/>
              <w:ind w:left="7" w:right="137"/>
              <w:jc w:val="center"/>
              <w:rPr>
                <w:sz w:val="24"/>
              </w:rPr>
            </w:pPr>
            <w:r>
              <w:rPr>
                <w:spacing w:val="-4"/>
                <w:sz w:val="24"/>
              </w:rPr>
              <w:t>1.59</w:t>
            </w:r>
          </w:p>
        </w:tc>
        <w:tc>
          <w:tcPr>
            <w:tcW w:w="877" w:type="dxa"/>
          </w:tcPr>
          <w:p>
            <w:pPr>
              <w:pStyle w:val="TableParagraph"/>
              <w:ind w:left="108"/>
              <w:rPr>
                <w:sz w:val="24"/>
              </w:rPr>
            </w:pPr>
            <w:r>
              <w:rPr>
                <w:spacing w:val="-2"/>
                <w:sz w:val="24"/>
              </w:rPr>
              <w:t>138.74</w:t>
            </w:r>
          </w:p>
        </w:tc>
      </w:tr>
      <w:tr>
        <w:trPr>
          <w:trHeight w:val="299" w:hRule="atLeast"/>
        </w:trPr>
        <w:tc>
          <w:tcPr>
            <w:tcW w:w="511" w:type="dxa"/>
          </w:tcPr>
          <w:p>
            <w:pPr>
              <w:pStyle w:val="TableParagraph"/>
              <w:rPr>
                <w:sz w:val="24"/>
              </w:rPr>
            </w:pPr>
            <w:r>
              <w:rPr>
                <w:spacing w:val="-5"/>
                <w:sz w:val="24"/>
              </w:rPr>
              <w:t>12</w:t>
            </w:r>
          </w:p>
        </w:tc>
        <w:tc>
          <w:tcPr>
            <w:tcW w:w="1004" w:type="dxa"/>
          </w:tcPr>
          <w:p>
            <w:pPr>
              <w:pStyle w:val="TableParagraph"/>
              <w:ind w:left="105"/>
              <w:rPr>
                <w:sz w:val="24"/>
              </w:rPr>
            </w:pPr>
            <w:r>
              <w:rPr>
                <w:spacing w:val="-2"/>
                <w:sz w:val="24"/>
              </w:rPr>
              <w:t>Dec-</w:t>
            </w:r>
            <w:r>
              <w:rPr>
                <w:spacing w:val="-5"/>
                <w:sz w:val="24"/>
              </w:rPr>
              <w:t>20</w:t>
            </w:r>
          </w:p>
        </w:tc>
        <w:tc>
          <w:tcPr>
            <w:tcW w:w="996" w:type="dxa"/>
          </w:tcPr>
          <w:p>
            <w:pPr>
              <w:pStyle w:val="TableParagraph"/>
              <w:ind w:left="105"/>
              <w:rPr>
                <w:sz w:val="24"/>
              </w:rPr>
            </w:pPr>
            <w:r>
              <w:rPr>
                <w:spacing w:val="-2"/>
                <w:sz w:val="24"/>
              </w:rPr>
              <w:t>177.48</w:t>
            </w:r>
          </w:p>
        </w:tc>
        <w:tc>
          <w:tcPr>
            <w:tcW w:w="758" w:type="dxa"/>
          </w:tcPr>
          <w:p>
            <w:pPr>
              <w:pStyle w:val="TableParagraph"/>
              <w:ind w:left="105"/>
              <w:rPr>
                <w:sz w:val="24"/>
              </w:rPr>
            </w:pPr>
            <w:r>
              <w:rPr>
                <w:spacing w:val="-4"/>
                <w:sz w:val="24"/>
              </w:rPr>
              <w:t>96.5</w:t>
            </w:r>
          </w:p>
        </w:tc>
        <w:tc>
          <w:tcPr>
            <w:tcW w:w="1116" w:type="dxa"/>
          </w:tcPr>
          <w:p>
            <w:pPr>
              <w:pStyle w:val="TableParagraph"/>
              <w:ind w:left="108"/>
              <w:rPr>
                <w:sz w:val="24"/>
              </w:rPr>
            </w:pPr>
            <w:r>
              <w:rPr>
                <w:spacing w:val="-2"/>
                <w:sz w:val="24"/>
              </w:rPr>
              <w:t>14173.09</w:t>
            </w:r>
          </w:p>
        </w:tc>
        <w:tc>
          <w:tcPr>
            <w:tcW w:w="780" w:type="dxa"/>
          </w:tcPr>
          <w:p>
            <w:pPr>
              <w:pStyle w:val="TableParagraph"/>
              <w:ind w:left="7" w:right="137"/>
              <w:jc w:val="center"/>
              <w:rPr>
                <w:sz w:val="24"/>
              </w:rPr>
            </w:pPr>
            <w:r>
              <w:rPr>
                <w:spacing w:val="-4"/>
                <w:sz w:val="24"/>
              </w:rPr>
              <w:t>1.68</w:t>
            </w:r>
          </w:p>
        </w:tc>
        <w:tc>
          <w:tcPr>
            <w:tcW w:w="877" w:type="dxa"/>
          </w:tcPr>
          <w:p>
            <w:pPr>
              <w:pStyle w:val="TableParagraph"/>
              <w:ind w:left="108"/>
              <w:rPr>
                <w:sz w:val="24"/>
              </w:rPr>
            </w:pPr>
            <w:r>
              <w:rPr>
                <w:spacing w:val="-2"/>
                <w:sz w:val="24"/>
              </w:rPr>
              <w:t>138.81</w:t>
            </w:r>
          </w:p>
        </w:tc>
      </w:tr>
      <w:tr>
        <w:trPr>
          <w:trHeight w:val="299" w:hRule="atLeast"/>
        </w:trPr>
        <w:tc>
          <w:tcPr>
            <w:tcW w:w="511" w:type="dxa"/>
          </w:tcPr>
          <w:p>
            <w:pPr>
              <w:pStyle w:val="TableParagraph"/>
              <w:rPr>
                <w:sz w:val="24"/>
              </w:rPr>
            </w:pPr>
            <w:r>
              <w:rPr>
                <w:spacing w:val="-5"/>
                <w:sz w:val="24"/>
              </w:rPr>
              <w:t>13</w:t>
            </w:r>
          </w:p>
        </w:tc>
        <w:tc>
          <w:tcPr>
            <w:tcW w:w="1004" w:type="dxa"/>
          </w:tcPr>
          <w:p>
            <w:pPr>
              <w:pStyle w:val="TableParagraph"/>
              <w:ind w:left="105"/>
              <w:rPr>
                <w:sz w:val="24"/>
              </w:rPr>
            </w:pPr>
            <w:r>
              <w:rPr>
                <w:spacing w:val="-2"/>
                <w:sz w:val="24"/>
              </w:rPr>
              <w:t>Jan-</w:t>
            </w:r>
            <w:r>
              <w:rPr>
                <w:spacing w:val="-5"/>
                <w:sz w:val="24"/>
              </w:rPr>
              <w:t>21</w:t>
            </w:r>
          </w:p>
        </w:tc>
        <w:tc>
          <w:tcPr>
            <w:tcW w:w="996" w:type="dxa"/>
          </w:tcPr>
          <w:p>
            <w:pPr>
              <w:pStyle w:val="TableParagraph"/>
              <w:ind w:left="105"/>
              <w:rPr>
                <w:sz w:val="24"/>
              </w:rPr>
            </w:pPr>
            <w:r>
              <w:rPr>
                <w:spacing w:val="-2"/>
                <w:sz w:val="24"/>
              </w:rPr>
              <w:t>172.23</w:t>
            </w:r>
          </w:p>
        </w:tc>
        <w:tc>
          <w:tcPr>
            <w:tcW w:w="758" w:type="dxa"/>
          </w:tcPr>
          <w:p>
            <w:pPr>
              <w:pStyle w:val="TableParagraph"/>
              <w:ind w:left="105"/>
              <w:rPr>
                <w:sz w:val="24"/>
              </w:rPr>
            </w:pPr>
            <w:r>
              <w:rPr>
                <w:spacing w:val="-4"/>
                <w:sz w:val="24"/>
              </w:rPr>
              <w:t>84.9</w:t>
            </w:r>
          </w:p>
        </w:tc>
        <w:tc>
          <w:tcPr>
            <w:tcW w:w="1116" w:type="dxa"/>
          </w:tcPr>
          <w:p>
            <w:pPr>
              <w:pStyle w:val="TableParagraph"/>
              <w:ind w:left="108"/>
              <w:rPr>
                <w:sz w:val="24"/>
              </w:rPr>
            </w:pPr>
            <w:r>
              <w:rPr>
                <w:spacing w:val="-2"/>
                <w:sz w:val="24"/>
              </w:rPr>
              <w:t>14061.90</w:t>
            </w:r>
          </w:p>
        </w:tc>
        <w:tc>
          <w:tcPr>
            <w:tcW w:w="780" w:type="dxa"/>
          </w:tcPr>
          <w:p>
            <w:pPr>
              <w:pStyle w:val="TableParagraph"/>
              <w:ind w:left="7" w:right="137"/>
              <w:jc w:val="center"/>
              <w:rPr>
                <w:sz w:val="24"/>
              </w:rPr>
            </w:pPr>
            <w:r>
              <w:rPr>
                <w:spacing w:val="-4"/>
                <w:sz w:val="24"/>
              </w:rPr>
              <w:t>1.55</w:t>
            </w:r>
          </w:p>
        </w:tc>
        <w:tc>
          <w:tcPr>
            <w:tcW w:w="877" w:type="dxa"/>
          </w:tcPr>
          <w:p>
            <w:pPr>
              <w:pStyle w:val="TableParagraph"/>
              <w:ind w:left="108"/>
              <w:rPr>
                <w:sz w:val="24"/>
              </w:rPr>
            </w:pPr>
            <w:r>
              <w:rPr>
                <w:spacing w:val="-2"/>
                <w:sz w:val="24"/>
              </w:rPr>
              <w:t>138.60</w:t>
            </w:r>
          </w:p>
        </w:tc>
      </w:tr>
      <w:tr>
        <w:trPr>
          <w:trHeight w:val="299" w:hRule="atLeast"/>
        </w:trPr>
        <w:tc>
          <w:tcPr>
            <w:tcW w:w="511" w:type="dxa"/>
          </w:tcPr>
          <w:p>
            <w:pPr>
              <w:pStyle w:val="TableParagraph"/>
              <w:rPr>
                <w:sz w:val="24"/>
              </w:rPr>
            </w:pPr>
            <w:r>
              <w:rPr>
                <w:spacing w:val="-5"/>
                <w:sz w:val="24"/>
              </w:rPr>
              <w:t>14</w:t>
            </w:r>
          </w:p>
        </w:tc>
        <w:tc>
          <w:tcPr>
            <w:tcW w:w="1004" w:type="dxa"/>
          </w:tcPr>
          <w:p>
            <w:pPr>
              <w:pStyle w:val="TableParagraph"/>
              <w:ind w:left="105"/>
              <w:rPr>
                <w:sz w:val="24"/>
              </w:rPr>
            </w:pPr>
            <w:r>
              <w:rPr>
                <w:spacing w:val="-2"/>
                <w:sz w:val="24"/>
              </w:rPr>
              <w:t>Feb-</w:t>
            </w:r>
            <w:r>
              <w:rPr>
                <w:spacing w:val="-5"/>
                <w:sz w:val="24"/>
              </w:rPr>
              <w:t>21</w:t>
            </w:r>
          </w:p>
        </w:tc>
        <w:tc>
          <w:tcPr>
            <w:tcW w:w="996" w:type="dxa"/>
          </w:tcPr>
          <w:p>
            <w:pPr>
              <w:pStyle w:val="TableParagraph"/>
              <w:ind w:left="105"/>
              <w:rPr>
                <w:sz w:val="24"/>
              </w:rPr>
            </w:pPr>
            <w:r>
              <w:rPr>
                <w:spacing w:val="-2"/>
                <w:sz w:val="24"/>
              </w:rPr>
              <w:t>183.36</w:t>
            </w:r>
          </w:p>
        </w:tc>
        <w:tc>
          <w:tcPr>
            <w:tcW w:w="758" w:type="dxa"/>
          </w:tcPr>
          <w:p>
            <w:pPr>
              <w:pStyle w:val="TableParagraph"/>
              <w:ind w:left="105"/>
              <w:rPr>
                <w:sz w:val="24"/>
              </w:rPr>
            </w:pPr>
            <w:r>
              <w:rPr>
                <w:spacing w:val="-4"/>
                <w:sz w:val="24"/>
              </w:rPr>
              <w:t>85.8</w:t>
            </w:r>
          </w:p>
        </w:tc>
        <w:tc>
          <w:tcPr>
            <w:tcW w:w="1116" w:type="dxa"/>
          </w:tcPr>
          <w:p>
            <w:pPr>
              <w:pStyle w:val="TableParagraph"/>
              <w:ind w:left="108"/>
              <w:rPr>
                <w:sz w:val="24"/>
              </w:rPr>
            </w:pPr>
            <w:r>
              <w:rPr>
                <w:spacing w:val="-2"/>
                <w:sz w:val="24"/>
              </w:rPr>
              <w:t>14042.10</w:t>
            </w:r>
          </w:p>
        </w:tc>
        <w:tc>
          <w:tcPr>
            <w:tcW w:w="780" w:type="dxa"/>
          </w:tcPr>
          <w:p>
            <w:pPr>
              <w:pStyle w:val="TableParagraph"/>
              <w:ind w:left="7" w:right="137"/>
              <w:jc w:val="center"/>
              <w:rPr>
                <w:sz w:val="24"/>
              </w:rPr>
            </w:pPr>
            <w:r>
              <w:rPr>
                <w:spacing w:val="-4"/>
                <w:sz w:val="24"/>
              </w:rPr>
              <w:t>1.38</w:t>
            </w:r>
          </w:p>
        </w:tc>
        <w:tc>
          <w:tcPr>
            <w:tcW w:w="877" w:type="dxa"/>
          </w:tcPr>
          <w:p>
            <w:pPr>
              <w:pStyle w:val="TableParagraph"/>
              <w:ind w:left="108"/>
              <w:rPr>
                <w:sz w:val="24"/>
              </w:rPr>
            </w:pPr>
            <w:r>
              <w:rPr>
                <w:spacing w:val="-2"/>
                <w:sz w:val="24"/>
              </w:rPr>
              <w:t>134.87</w:t>
            </w:r>
          </w:p>
        </w:tc>
      </w:tr>
      <w:tr>
        <w:trPr>
          <w:trHeight w:val="302" w:hRule="atLeast"/>
        </w:trPr>
        <w:tc>
          <w:tcPr>
            <w:tcW w:w="511" w:type="dxa"/>
          </w:tcPr>
          <w:p>
            <w:pPr>
              <w:pStyle w:val="TableParagraph"/>
              <w:spacing w:before="25"/>
              <w:rPr>
                <w:sz w:val="24"/>
              </w:rPr>
            </w:pPr>
            <w:r>
              <w:rPr>
                <w:spacing w:val="-5"/>
                <w:sz w:val="24"/>
              </w:rPr>
              <w:t>15</w:t>
            </w:r>
          </w:p>
        </w:tc>
        <w:tc>
          <w:tcPr>
            <w:tcW w:w="1004" w:type="dxa"/>
          </w:tcPr>
          <w:p>
            <w:pPr>
              <w:pStyle w:val="TableParagraph"/>
              <w:spacing w:before="25"/>
              <w:ind w:left="105"/>
              <w:rPr>
                <w:sz w:val="24"/>
              </w:rPr>
            </w:pPr>
            <w:r>
              <w:rPr>
                <w:spacing w:val="-2"/>
                <w:sz w:val="24"/>
              </w:rPr>
              <w:t>Mar-</w:t>
            </w:r>
            <w:r>
              <w:rPr>
                <w:spacing w:val="-5"/>
                <w:sz w:val="24"/>
              </w:rPr>
              <w:t>21</w:t>
            </w:r>
          </w:p>
        </w:tc>
        <w:tc>
          <w:tcPr>
            <w:tcW w:w="996" w:type="dxa"/>
          </w:tcPr>
          <w:p>
            <w:pPr>
              <w:pStyle w:val="TableParagraph"/>
              <w:spacing w:before="25"/>
              <w:ind w:left="105"/>
              <w:rPr>
                <w:sz w:val="24"/>
              </w:rPr>
            </w:pPr>
            <w:r>
              <w:rPr>
                <w:spacing w:val="-2"/>
                <w:sz w:val="24"/>
              </w:rPr>
              <w:t>176.89</w:t>
            </w:r>
          </w:p>
        </w:tc>
        <w:tc>
          <w:tcPr>
            <w:tcW w:w="758" w:type="dxa"/>
          </w:tcPr>
          <w:p>
            <w:pPr>
              <w:pStyle w:val="TableParagraph"/>
              <w:spacing w:before="25"/>
              <w:ind w:left="105"/>
              <w:rPr>
                <w:sz w:val="24"/>
              </w:rPr>
            </w:pPr>
            <w:r>
              <w:rPr>
                <w:spacing w:val="-4"/>
                <w:sz w:val="24"/>
              </w:rPr>
              <w:t>93.4</w:t>
            </w:r>
          </w:p>
        </w:tc>
        <w:tc>
          <w:tcPr>
            <w:tcW w:w="1116" w:type="dxa"/>
          </w:tcPr>
          <w:p>
            <w:pPr>
              <w:pStyle w:val="TableParagraph"/>
              <w:spacing w:before="25"/>
              <w:ind w:left="108"/>
              <w:rPr>
                <w:sz w:val="24"/>
              </w:rPr>
            </w:pPr>
            <w:r>
              <w:rPr>
                <w:spacing w:val="-2"/>
                <w:sz w:val="24"/>
              </w:rPr>
              <w:t>14417.39</w:t>
            </w:r>
          </w:p>
        </w:tc>
        <w:tc>
          <w:tcPr>
            <w:tcW w:w="780" w:type="dxa"/>
          </w:tcPr>
          <w:p>
            <w:pPr>
              <w:pStyle w:val="TableParagraph"/>
              <w:spacing w:before="25"/>
              <w:ind w:left="7" w:right="137"/>
              <w:jc w:val="center"/>
              <w:rPr>
                <w:sz w:val="24"/>
              </w:rPr>
            </w:pPr>
            <w:r>
              <w:rPr>
                <w:spacing w:val="-4"/>
                <w:sz w:val="24"/>
              </w:rPr>
              <w:t>1.37</w:t>
            </w:r>
          </w:p>
        </w:tc>
        <w:tc>
          <w:tcPr>
            <w:tcW w:w="877" w:type="dxa"/>
          </w:tcPr>
          <w:p>
            <w:pPr>
              <w:pStyle w:val="TableParagraph"/>
              <w:spacing w:before="25"/>
              <w:ind w:left="108"/>
              <w:rPr>
                <w:sz w:val="24"/>
              </w:rPr>
            </w:pPr>
            <w:r>
              <w:rPr>
                <w:spacing w:val="-2"/>
                <w:sz w:val="24"/>
              </w:rPr>
              <w:t>149.29</w:t>
            </w:r>
          </w:p>
        </w:tc>
      </w:tr>
      <w:tr>
        <w:trPr>
          <w:trHeight w:val="299" w:hRule="atLeast"/>
        </w:trPr>
        <w:tc>
          <w:tcPr>
            <w:tcW w:w="511" w:type="dxa"/>
          </w:tcPr>
          <w:p>
            <w:pPr>
              <w:pStyle w:val="TableParagraph"/>
              <w:rPr>
                <w:sz w:val="24"/>
              </w:rPr>
            </w:pPr>
            <w:r>
              <w:rPr>
                <w:spacing w:val="-5"/>
                <w:sz w:val="24"/>
              </w:rPr>
              <w:t>16</w:t>
            </w:r>
          </w:p>
        </w:tc>
        <w:tc>
          <w:tcPr>
            <w:tcW w:w="1004" w:type="dxa"/>
          </w:tcPr>
          <w:p>
            <w:pPr>
              <w:pStyle w:val="TableParagraph"/>
              <w:ind w:left="105"/>
              <w:rPr>
                <w:sz w:val="24"/>
              </w:rPr>
            </w:pPr>
            <w:r>
              <w:rPr>
                <w:spacing w:val="-2"/>
                <w:sz w:val="24"/>
              </w:rPr>
              <w:t>Apr-</w:t>
            </w:r>
            <w:r>
              <w:rPr>
                <w:spacing w:val="-5"/>
                <w:sz w:val="24"/>
              </w:rPr>
              <w:t>21</w:t>
            </w:r>
          </w:p>
        </w:tc>
        <w:tc>
          <w:tcPr>
            <w:tcW w:w="996" w:type="dxa"/>
          </w:tcPr>
          <w:p>
            <w:pPr>
              <w:pStyle w:val="TableParagraph"/>
              <w:ind w:left="105"/>
              <w:rPr>
                <w:sz w:val="24"/>
              </w:rPr>
            </w:pPr>
            <w:r>
              <w:rPr>
                <w:spacing w:val="-2"/>
                <w:sz w:val="24"/>
              </w:rPr>
              <w:t>177.118</w:t>
            </w:r>
          </w:p>
        </w:tc>
        <w:tc>
          <w:tcPr>
            <w:tcW w:w="758" w:type="dxa"/>
          </w:tcPr>
          <w:p>
            <w:pPr>
              <w:pStyle w:val="TableParagraph"/>
              <w:ind w:left="105"/>
              <w:rPr>
                <w:sz w:val="24"/>
              </w:rPr>
            </w:pPr>
            <w:r>
              <w:rPr>
                <w:spacing w:val="-2"/>
                <w:sz w:val="24"/>
              </w:rPr>
              <w:t>101.5</w:t>
            </w:r>
          </w:p>
        </w:tc>
        <w:tc>
          <w:tcPr>
            <w:tcW w:w="1116" w:type="dxa"/>
          </w:tcPr>
          <w:p>
            <w:pPr>
              <w:pStyle w:val="TableParagraph"/>
              <w:ind w:left="108"/>
              <w:rPr>
                <w:sz w:val="24"/>
              </w:rPr>
            </w:pPr>
            <w:r>
              <w:rPr>
                <w:spacing w:val="-2"/>
                <w:sz w:val="24"/>
              </w:rPr>
              <w:t>14558.18</w:t>
            </w:r>
          </w:p>
        </w:tc>
        <w:tc>
          <w:tcPr>
            <w:tcW w:w="780" w:type="dxa"/>
          </w:tcPr>
          <w:p>
            <w:pPr>
              <w:pStyle w:val="TableParagraph"/>
              <w:ind w:left="7" w:right="137"/>
              <w:jc w:val="center"/>
              <w:rPr>
                <w:sz w:val="24"/>
              </w:rPr>
            </w:pPr>
            <w:r>
              <w:rPr>
                <w:spacing w:val="-4"/>
                <w:sz w:val="24"/>
              </w:rPr>
              <w:t>1.42</w:t>
            </w:r>
          </w:p>
        </w:tc>
        <w:tc>
          <w:tcPr>
            <w:tcW w:w="877" w:type="dxa"/>
          </w:tcPr>
          <w:p>
            <w:pPr>
              <w:pStyle w:val="TableParagraph"/>
              <w:ind w:left="108"/>
              <w:rPr>
                <w:sz w:val="24"/>
              </w:rPr>
            </w:pPr>
            <w:r>
              <w:rPr>
                <w:spacing w:val="-2"/>
                <w:sz w:val="24"/>
              </w:rPr>
              <w:t>146.74</w:t>
            </w:r>
          </w:p>
        </w:tc>
      </w:tr>
      <w:tr>
        <w:trPr>
          <w:trHeight w:val="299" w:hRule="atLeast"/>
        </w:trPr>
        <w:tc>
          <w:tcPr>
            <w:tcW w:w="511" w:type="dxa"/>
          </w:tcPr>
          <w:p>
            <w:pPr>
              <w:pStyle w:val="TableParagraph"/>
              <w:rPr>
                <w:sz w:val="24"/>
              </w:rPr>
            </w:pPr>
            <w:r>
              <w:rPr>
                <w:spacing w:val="-5"/>
                <w:sz w:val="24"/>
              </w:rPr>
              <w:t>17</w:t>
            </w:r>
          </w:p>
        </w:tc>
        <w:tc>
          <w:tcPr>
            <w:tcW w:w="1004" w:type="dxa"/>
          </w:tcPr>
          <w:p>
            <w:pPr>
              <w:pStyle w:val="TableParagraph"/>
              <w:ind w:left="105"/>
              <w:rPr>
                <w:sz w:val="24"/>
              </w:rPr>
            </w:pPr>
            <w:r>
              <w:rPr>
                <w:spacing w:val="-2"/>
                <w:sz w:val="24"/>
              </w:rPr>
              <w:t>May-</w:t>
            </w:r>
            <w:r>
              <w:rPr>
                <w:spacing w:val="-5"/>
                <w:sz w:val="24"/>
              </w:rPr>
              <w:t>21</w:t>
            </w:r>
          </w:p>
        </w:tc>
        <w:tc>
          <w:tcPr>
            <w:tcW w:w="996" w:type="dxa"/>
          </w:tcPr>
          <w:p>
            <w:pPr>
              <w:pStyle w:val="TableParagraph"/>
              <w:ind w:left="105"/>
              <w:rPr>
                <w:sz w:val="24"/>
              </w:rPr>
            </w:pPr>
            <w:r>
              <w:rPr>
                <w:spacing w:val="-2"/>
                <w:sz w:val="24"/>
              </w:rPr>
              <w:t>174.511</w:t>
            </w:r>
          </w:p>
        </w:tc>
        <w:tc>
          <w:tcPr>
            <w:tcW w:w="758" w:type="dxa"/>
          </w:tcPr>
          <w:p>
            <w:pPr>
              <w:pStyle w:val="TableParagraph"/>
              <w:ind w:left="105"/>
              <w:rPr>
                <w:sz w:val="24"/>
              </w:rPr>
            </w:pPr>
            <w:r>
              <w:rPr>
                <w:spacing w:val="-2"/>
                <w:sz w:val="24"/>
              </w:rPr>
              <w:t>104.4</w:t>
            </w:r>
          </w:p>
        </w:tc>
        <w:tc>
          <w:tcPr>
            <w:tcW w:w="1116" w:type="dxa"/>
          </w:tcPr>
          <w:p>
            <w:pPr>
              <w:pStyle w:val="TableParagraph"/>
              <w:ind w:left="108"/>
              <w:rPr>
                <w:sz w:val="24"/>
              </w:rPr>
            </w:pPr>
            <w:r>
              <w:rPr>
                <w:spacing w:val="-2"/>
                <w:sz w:val="24"/>
              </w:rPr>
              <w:t>14323.19</w:t>
            </w:r>
          </w:p>
        </w:tc>
        <w:tc>
          <w:tcPr>
            <w:tcW w:w="780" w:type="dxa"/>
          </w:tcPr>
          <w:p>
            <w:pPr>
              <w:pStyle w:val="TableParagraph"/>
              <w:ind w:left="7" w:right="137"/>
              <w:jc w:val="center"/>
              <w:rPr>
                <w:sz w:val="24"/>
              </w:rPr>
            </w:pPr>
            <w:r>
              <w:rPr>
                <w:spacing w:val="-4"/>
                <w:sz w:val="24"/>
              </w:rPr>
              <w:t>1.68</w:t>
            </w:r>
          </w:p>
        </w:tc>
        <w:tc>
          <w:tcPr>
            <w:tcW w:w="877" w:type="dxa"/>
          </w:tcPr>
          <w:p>
            <w:pPr>
              <w:pStyle w:val="TableParagraph"/>
              <w:ind w:left="108"/>
              <w:rPr>
                <w:sz w:val="24"/>
              </w:rPr>
            </w:pPr>
            <w:r>
              <w:rPr>
                <w:spacing w:val="-2"/>
                <w:sz w:val="24"/>
              </w:rPr>
              <w:t>130.09</w:t>
            </w:r>
          </w:p>
        </w:tc>
      </w:tr>
      <w:tr>
        <w:trPr>
          <w:trHeight w:val="299" w:hRule="atLeast"/>
        </w:trPr>
        <w:tc>
          <w:tcPr>
            <w:tcW w:w="511" w:type="dxa"/>
          </w:tcPr>
          <w:p>
            <w:pPr>
              <w:pStyle w:val="TableParagraph"/>
              <w:rPr>
                <w:sz w:val="24"/>
              </w:rPr>
            </w:pPr>
            <w:r>
              <w:rPr>
                <w:spacing w:val="-5"/>
                <w:sz w:val="24"/>
              </w:rPr>
              <w:t>18</w:t>
            </w:r>
          </w:p>
        </w:tc>
        <w:tc>
          <w:tcPr>
            <w:tcW w:w="1004" w:type="dxa"/>
          </w:tcPr>
          <w:p>
            <w:pPr>
              <w:pStyle w:val="TableParagraph"/>
              <w:ind w:left="105"/>
              <w:rPr>
                <w:sz w:val="24"/>
              </w:rPr>
            </w:pPr>
            <w:r>
              <w:rPr>
                <w:spacing w:val="-2"/>
                <w:sz w:val="24"/>
              </w:rPr>
              <w:t>Jun-</w:t>
            </w:r>
            <w:r>
              <w:rPr>
                <w:spacing w:val="-5"/>
                <w:sz w:val="24"/>
              </w:rPr>
              <w:t>21</w:t>
            </w:r>
          </w:p>
        </w:tc>
        <w:tc>
          <w:tcPr>
            <w:tcW w:w="996" w:type="dxa"/>
          </w:tcPr>
          <w:p>
            <w:pPr>
              <w:pStyle w:val="TableParagraph"/>
              <w:ind w:left="105"/>
              <w:rPr>
                <w:sz w:val="24"/>
              </w:rPr>
            </w:pPr>
            <w:r>
              <w:rPr>
                <w:spacing w:val="-2"/>
                <w:sz w:val="24"/>
              </w:rPr>
              <w:t>171.947</w:t>
            </w:r>
          </w:p>
        </w:tc>
        <w:tc>
          <w:tcPr>
            <w:tcW w:w="758" w:type="dxa"/>
          </w:tcPr>
          <w:p>
            <w:pPr>
              <w:pStyle w:val="TableParagraph"/>
              <w:ind w:left="105"/>
              <w:rPr>
                <w:sz w:val="24"/>
              </w:rPr>
            </w:pPr>
            <w:r>
              <w:rPr>
                <w:spacing w:val="-2"/>
                <w:sz w:val="24"/>
              </w:rPr>
              <w:t>107.4</w:t>
            </w:r>
          </w:p>
        </w:tc>
        <w:tc>
          <w:tcPr>
            <w:tcW w:w="1116" w:type="dxa"/>
          </w:tcPr>
          <w:p>
            <w:pPr>
              <w:pStyle w:val="TableParagraph"/>
              <w:ind w:left="108"/>
              <w:rPr>
                <w:sz w:val="24"/>
              </w:rPr>
            </w:pPr>
            <w:r>
              <w:rPr>
                <w:spacing w:val="-2"/>
                <w:sz w:val="24"/>
              </w:rPr>
              <w:t>14338.23</w:t>
            </w:r>
          </w:p>
        </w:tc>
        <w:tc>
          <w:tcPr>
            <w:tcW w:w="780" w:type="dxa"/>
          </w:tcPr>
          <w:p>
            <w:pPr>
              <w:pStyle w:val="TableParagraph"/>
              <w:ind w:left="7" w:right="137"/>
              <w:jc w:val="center"/>
              <w:rPr>
                <w:sz w:val="24"/>
              </w:rPr>
            </w:pPr>
            <w:r>
              <w:rPr>
                <w:spacing w:val="-4"/>
                <w:sz w:val="24"/>
              </w:rPr>
              <w:t>1.33</w:t>
            </w:r>
          </w:p>
        </w:tc>
        <w:tc>
          <w:tcPr>
            <w:tcW w:w="877" w:type="dxa"/>
          </w:tcPr>
          <w:p>
            <w:pPr>
              <w:pStyle w:val="TableParagraph"/>
              <w:ind w:left="108"/>
              <w:rPr>
                <w:sz w:val="24"/>
              </w:rPr>
            </w:pPr>
            <w:r>
              <w:rPr>
                <w:spacing w:val="-2"/>
                <w:sz w:val="24"/>
              </w:rPr>
              <w:t>147.46</w:t>
            </w:r>
          </w:p>
        </w:tc>
      </w:tr>
      <w:tr>
        <w:trPr>
          <w:trHeight w:val="300" w:hRule="atLeast"/>
        </w:trPr>
        <w:tc>
          <w:tcPr>
            <w:tcW w:w="511" w:type="dxa"/>
          </w:tcPr>
          <w:p>
            <w:pPr>
              <w:pStyle w:val="TableParagraph"/>
              <w:rPr>
                <w:sz w:val="24"/>
              </w:rPr>
            </w:pPr>
            <w:r>
              <w:rPr>
                <w:spacing w:val="-5"/>
                <w:sz w:val="24"/>
              </w:rPr>
              <w:t>19</w:t>
            </w:r>
          </w:p>
        </w:tc>
        <w:tc>
          <w:tcPr>
            <w:tcW w:w="1004" w:type="dxa"/>
          </w:tcPr>
          <w:p>
            <w:pPr>
              <w:pStyle w:val="TableParagraph"/>
              <w:ind w:left="105"/>
              <w:rPr>
                <w:sz w:val="24"/>
              </w:rPr>
            </w:pPr>
            <w:r>
              <w:rPr>
                <w:sz w:val="24"/>
              </w:rPr>
              <w:t>Jul-</w:t>
            </w:r>
            <w:r>
              <w:rPr>
                <w:spacing w:val="-5"/>
                <w:sz w:val="24"/>
              </w:rPr>
              <w:t>21</w:t>
            </w:r>
          </w:p>
        </w:tc>
        <w:tc>
          <w:tcPr>
            <w:tcW w:w="996" w:type="dxa"/>
          </w:tcPr>
          <w:p>
            <w:pPr>
              <w:pStyle w:val="TableParagraph"/>
              <w:ind w:left="105"/>
              <w:rPr>
                <w:sz w:val="24"/>
              </w:rPr>
            </w:pPr>
            <w:r>
              <w:rPr>
                <w:spacing w:val="-2"/>
                <w:sz w:val="24"/>
              </w:rPr>
              <w:t>175.443</w:t>
            </w:r>
          </w:p>
        </w:tc>
        <w:tc>
          <w:tcPr>
            <w:tcW w:w="758" w:type="dxa"/>
          </w:tcPr>
          <w:p>
            <w:pPr>
              <w:pStyle w:val="TableParagraph"/>
              <w:ind w:left="105"/>
              <w:rPr>
                <w:sz w:val="24"/>
              </w:rPr>
            </w:pPr>
            <w:r>
              <w:rPr>
                <w:spacing w:val="-4"/>
                <w:sz w:val="24"/>
              </w:rPr>
              <w:t>80.2</w:t>
            </w:r>
          </w:p>
        </w:tc>
        <w:tc>
          <w:tcPr>
            <w:tcW w:w="1116" w:type="dxa"/>
          </w:tcPr>
          <w:p>
            <w:pPr>
              <w:pStyle w:val="TableParagraph"/>
              <w:ind w:left="108"/>
              <w:rPr>
                <w:sz w:val="24"/>
              </w:rPr>
            </w:pPr>
            <w:r>
              <w:rPr>
                <w:spacing w:val="-2"/>
                <w:sz w:val="24"/>
              </w:rPr>
              <w:t>14511.19</w:t>
            </w:r>
          </w:p>
        </w:tc>
        <w:tc>
          <w:tcPr>
            <w:tcW w:w="780" w:type="dxa"/>
          </w:tcPr>
          <w:p>
            <w:pPr>
              <w:pStyle w:val="TableParagraph"/>
              <w:ind w:left="7" w:right="137"/>
              <w:jc w:val="center"/>
              <w:rPr>
                <w:sz w:val="24"/>
              </w:rPr>
            </w:pPr>
            <w:r>
              <w:rPr>
                <w:spacing w:val="-4"/>
                <w:sz w:val="24"/>
              </w:rPr>
              <w:t>1.52</w:t>
            </w:r>
          </w:p>
        </w:tc>
        <w:tc>
          <w:tcPr>
            <w:tcW w:w="877" w:type="dxa"/>
          </w:tcPr>
          <w:p>
            <w:pPr>
              <w:pStyle w:val="TableParagraph"/>
              <w:ind w:left="108"/>
              <w:rPr>
                <w:sz w:val="24"/>
              </w:rPr>
            </w:pPr>
            <w:r>
              <w:rPr>
                <w:spacing w:val="-2"/>
                <w:sz w:val="24"/>
              </w:rPr>
              <w:t>142.21</w:t>
            </w:r>
          </w:p>
        </w:tc>
      </w:tr>
      <w:tr>
        <w:trPr>
          <w:trHeight w:val="299" w:hRule="atLeast"/>
        </w:trPr>
        <w:tc>
          <w:tcPr>
            <w:tcW w:w="511" w:type="dxa"/>
          </w:tcPr>
          <w:p>
            <w:pPr>
              <w:pStyle w:val="TableParagraph"/>
              <w:rPr>
                <w:sz w:val="24"/>
              </w:rPr>
            </w:pPr>
            <w:r>
              <w:rPr>
                <w:spacing w:val="-5"/>
                <w:sz w:val="24"/>
              </w:rPr>
              <w:t>20</w:t>
            </w:r>
          </w:p>
        </w:tc>
        <w:tc>
          <w:tcPr>
            <w:tcW w:w="1004" w:type="dxa"/>
          </w:tcPr>
          <w:p>
            <w:pPr>
              <w:pStyle w:val="TableParagraph"/>
              <w:ind w:left="105"/>
              <w:rPr>
                <w:sz w:val="24"/>
              </w:rPr>
            </w:pPr>
            <w:r>
              <w:rPr>
                <w:spacing w:val="-2"/>
                <w:sz w:val="24"/>
              </w:rPr>
              <w:t>Aug-</w:t>
            </w:r>
            <w:r>
              <w:rPr>
                <w:spacing w:val="-5"/>
                <w:sz w:val="24"/>
              </w:rPr>
              <w:t>21</w:t>
            </w:r>
          </w:p>
        </w:tc>
        <w:tc>
          <w:tcPr>
            <w:tcW w:w="996" w:type="dxa"/>
          </w:tcPr>
          <w:p>
            <w:pPr>
              <w:pStyle w:val="TableParagraph"/>
              <w:ind w:left="105"/>
              <w:rPr>
                <w:sz w:val="24"/>
              </w:rPr>
            </w:pPr>
            <w:r>
              <w:rPr>
                <w:spacing w:val="-2"/>
                <w:sz w:val="24"/>
              </w:rPr>
              <w:t>175.752</w:t>
            </w:r>
          </w:p>
        </w:tc>
        <w:tc>
          <w:tcPr>
            <w:tcW w:w="758" w:type="dxa"/>
          </w:tcPr>
          <w:p>
            <w:pPr>
              <w:pStyle w:val="TableParagraph"/>
              <w:ind w:left="105"/>
              <w:rPr>
                <w:sz w:val="24"/>
              </w:rPr>
            </w:pPr>
            <w:r>
              <w:rPr>
                <w:spacing w:val="-4"/>
                <w:sz w:val="24"/>
              </w:rPr>
              <w:t>77.3</w:t>
            </w:r>
          </w:p>
        </w:tc>
        <w:tc>
          <w:tcPr>
            <w:tcW w:w="1116" w:type="dxa"/>
          </w:tcPr>
          <w:p>
            <w:pPr>
              <w:pStyle w:val="TableParagraph"/>
              <w:ind w:left="108"/>
              <w:rPr>
                <w:sz w:val="24"/>
              </w:rPr>
            </w:pPr>
            <w:r>
              <w:rPr>
                <w:spacing w:val="-2"/>
                <w:sz w:val="24"/>
              </w:rPr>
              <w:t>14397.70</w:t>
            </w:r>
          </w:p>
        </w:tc>
        <w:tc>
          <w:tcPr>
            <w:tcW w:w="780" w:type="dxa"/>
          </w:tcPr>
          <w:p>
            <w:pPr>
              <w:pStyle w:val="TableParagraph"/>
              <w:ind w:left="7" w:right="137"/>
              <w:jc w:val="center"/>
              <w:rPr>
                <w:sz w:val="24"/>
              </w:rPr>
            </w:pPr>
            <w:r>
              <w:rPr>
                <w:spacing w:val="-4"/>
                <w:sz w:val="24"/>
              </w:rPr>
              <w:t>1.59</w:t>
            </w:r>
          </w:p>
        </w:tc>
        <w:tc>
          <w:tcPr>
            <w:tcW w:w="877" w:type="dxa"/>
          </w:tcPr>
          <w:p>
            <w:pPr>
              <w:pStyle w:val="TableParagraph"/>
              <w:ind w:left="108"/>
              <w:rPr>
                <w:sz w:val="24"/>
              </w:rPr>
            </w:pPr>
            <w:r>
              <w:rPr>
                <w:spacing w:val="-2"/>
                <w:sz w:val="24"/>
              </w:rPr>
              <w:t>146.18</w:t>
            </w:r>
          </w:p>
        </w:tc>
      </w:tr>
      <w:tr>
        <w:trPr>
          <w:trHeight w:val="302" w:hRule="atLeast"/>
        </w:trPr>
        <w:tc>
          <w:tcPr>
            <w:tcW w:w="511" w:type="dxa"/>
          </w:tcPr>
          <w:p>
            <w:pPr>
              <w:pStyle w:val="TableParagraph"/>
              <w:spacing w:before="25"/>
              <w:rPr>
                <w:sz w:val="24"/>
              </w:rPr>
            </w:pPr>
            <w:r>
              <w:rPr>
                <w:spacing w:val="-5"/>
                <w:sz w:val="24"/>
              </w:rPr>
              <w:t>21</w:t>
            </w:r>
          </w:p>
        </w:tc>
        <w:tc>
          <w:tcPr>
            <w:tcW w:w="1004" w:type="dxa"/>
          </w:tcPr>
          <w:p>
            <w:pPr>
              <w:pStyle w:val="TableParagraph"/>
              <w:spacing w:before="25"/>
              <w:ind w:left="105"/>
              <w:rPr>
                <w:sz w:val="24"/>
              </w:rPr>
            </w:pPr>
            <w:r>
              <w:rPr>
                <w:spacing w:val="-2"/>
                <w:sz w:val="24"/>
              </w:rPr>
              <w:t>Sep-</w:t>
            </w:r>
            <w:r>
              <w:rPr>
                <w:spacing w:val="-5"/>
                <w:sz w:val="24"/>
              </w:rPr>
              <w:t>21</w:t>
            </w:r>
          </w:p>
        </w:tc>
        <w:tc>
          <w:tcPr>
            <w:tcW w:w="996" w:type="dxa"/>
          </w:tcPr>
          <w:p>
            <w:pPr>
              <w:pStyle w:val="TableParagraph"/>
              <w:spacing w:before="25"/>
              <w:ind w:left="105"/>
              <w:rPr>
                <w:sz w:val="24"/>
              </w:rPr>
            </w:pPr>
            <w:r>
              <w:rPr>
                <w:spacing w:val="-2"/>
                <w:sz w:val="24"/>
              </w:rPr>
              <w:t>181.541</w:t>
            </w:r>
          </w:p>
        </w:tc>
        <w:tc>
          <w:tcPr>
            <w:tcW w:w="758" w:type="dxa"/>
          </w:tcPr>
          <w:p>
            <w:pPr>
              <w:pStyle w:val="TableParagraph"/>
              <w:spacing w:before="25"/>
              <w:ind w:left="105"/>
              <w:rPr>
                <w:sz w:val="24"/>
              </w:rPr>
            </w:pPr>
            <w:r>
              <w:rPr>
                <w:spacing w:val="-4"/>
                <w:sz w:val="24"/>
              </w:rPr>
              <w:t>95.5</w:t>
            </w:r>
          </w:p>
        </w:tc>
        <w:tc>
          <w:tcPr>
            <w:tcW w:w="1116" w:type="dxa"/>
          </w:tcPr>
          <w:p>
            <w:pPr>
              <w:pStyle w:val="TableParagraph"/>
              <w:spacing w:before="25"/>
              <w:ind w:left="108"/>
              <w:rPr>
                <w:sz w:val="24"/>
              </w:rPr>
            </w:pPr>
            <w:r>
              <w:rPr>
                <w:spacing w:val="-2"/>
                <w:sz w:val="24"/>
              </w:rPr>
              <w:t>14256.96</w:t>
            </w:r>
          </w:p>
        </w:tc>
        <w:tc>
          <w:tcPr>
            <w:tcW w:w="780" w:type="dxa"/>
          </w:tcPr>
          <w:p>
            <w:pPr>
              <w:pStyle w:val="TableParagraph"/>
              <w:spacing w:before="25"/>
              <w:ind w:left="8" w:right="258"/>
              <w:jc w:val="center"/>
              <w:rPr>
                <w:sz w:val="24"/>
              </w:rPr>
            </w:pPr>
            <w:r>
              <w:rPr>
                <w:spacing w:val="-5"/>
                <w:sz w:val="24"/>
              </w:rPr>
              <w:t>1.6</w:t>
            </w:r>
          </w:p>
        </w:tc>
        <w:tc>
          <w:tcPr>
            <w:tcW w:w="877" w:type="dxa"/>
          </w:tcPr>
          <w:p>
            <w:pPr>
              <w:pStyle w:val="TableParagraph"/>
              <w:spacing w:before="25"/>
              <w:ind w:left="108"/>
              <w:rPr>
                <w:sz w:val="24"/>
              </w:rPr>
            </w:pPr>
            <w:r>
              <w:rPr>
                <w:spacing w:val="-2"/>
                <w:sz w:val="24"/>
              </w:rPr>
              <w:t>147.14</w:t>
            </w:r>
          </w:p>
        </w:tc>
      </w:tr>
      <w:tr>
        <w:trPr>
          <w:trHeight w:val="299" w:hRule="atLeast"/>
        </w:trPr>
        <w:tc>
          <w:tcPr>
            <w:tcW w:w="511" w:type="dxa"/>
          </w:tcPr>
          <w:p>
            <w:pPr>
              <w:pStyle w:val="TableParagraph"/>
              <w:rPr>
                <w:sz w:val="24"/>
              </w:rPr>
            </w:pPr>
            <w:r>
              <w:rPr>
                <w:spacing w:val="-5"/>
                <w:sz w:val="24"/>
              </w:rPr>
              <w:t>22</w:t>
            </w:r>
          </w:p>
        </w:tc>
        <w:tc>
          <w:tcPr>
            <w:tcW w:w="1004" w:type="dxa"/>
          </w:tcPr>
          <w:p>
            <w:pPr>
              <w:pStyle w:val="TableParagraph"/>
              <w:ind w:left="105"/>
              <w:rPr>
                <w:sz w:val="24"/>
              </w:rPr>
            </w:pPr>
            <w:r>
              <w:rPr>
                <w:spacing w:val="-2"/>
                <w:sz w:val="24"/>
              </w:rPr>
              <w:t>Oct-</w:t>
            </w:r>
            <w:r>
              <w:rPr>
                <w:spacing w:val="-5"/>
                <w:sz w:val="24"/>
              </w:rPr>
              <w:t>21</w:t>
            </w:r>
          </w:p>
        </w:tc>
        <w:tc>
          <w:tcPr>
            <w:tcW w:w="996" w:type="dxa"/>
          </w:tcPr>
          <w:p>
            <w:pPr>
              <w:pStyle w:val="TableParagraph"/>
              <w:ind w:left="105"/>
              <w:rPr>
                <w:sz w:val="24"/>
              </w:rPr>
            </w:pPr>
            <w:r>
              <w:rPr>
                <w:spacing w:val="-2"/>
                <w:sz w:val="24"/>
              </w:rPr>
              <w:t>185.788</w:t>
            </w:r>
          </w:p>
        </w:tc>
        <w:tc>
          <w:tcPr>
            <w:tcW w:w="758" w:type="dxa"/>
          </w:tcPr>
          <w:p>
            <w:pPr>
              <w:pStyle w:val="TableParagraph"/>
              <w:ind w:left="105"/>
              <w:rPr>
                <w:sz w:val="24"/>
              </w:rPr>
            </w:pPr>
            <w:r>
              <w:rPr>
                <w:spacing w:val="-2"/>
                <w:sz w:val="24"/>
              </w:rPr>
              <w:t>113.4</w:t>
            </w:r>
          </w:p>
        </w:tc>
        <w:tc>
          <w:tcPr>
            <w:tcW w:w="1116" w:type="dxa"/>
          </w:tcPr>
          <w:p>
            <w:pPr>
              <w:pStyle w:val="TableParagraph"/>
              <w:ind w:left="108"/>
              <w:rPr>
                <w:sz w:val="24"/>
              </w:rPr>
            </w:pPr>
            <w:r>
              <w:rPr>
                <w:spacing w:val="-2"/>
                <w:sz w:val="24"/>
              </w:rPr>
              <w:t>14198.45</w:t>
            </w:r>
          </w:p>
        </w:tc>
        <w:tc>
          <w:tcPr>
            <w:tcW w:w="780" w:type="dxa"/>
          </w:tcPr>
          <w:p>
            <w:pPr>
              <w:pStyle w:val="TableParagraph"/>
              <w:ind w:left="7" w:right="137"/>
              <w:jc w:val="center"/>
              <w:rPr>
                <w:sz w:val="24"/>
              </w:rPr>
            </w:pPr>
            <w:r>
              <w:rPr>
                <w:spacing w:val="-4"/>
                <w:sz w:val="24"/>
              </w:rPr>
              <w:t>1.66</w:t>
            </w:r>
          </w:p>
        </w:tc>
        <w:tc>
          <w:tcPr>
            <w:tcW w:w="877" w:type="dxa"/>
          </w:tcPr>
          <w:p>
            <w:pPr>
              <w:pStyle w:val="TableParagraph"/>
              <w:ind w:left="108"/>
              <w:rPr>
                <w:sz w:val="24"/>
              </w:rPr>
            </w:pPr>
            <w:r>
              <w:rPr>
                <w:spacing w:val="-2"/>
                <w:sz w:val="24"/>
              </w:rPr>
              <w:t>145.81</w:t>
            </w:r>
          </w:p>
        </w:tc>
      </w:tr>
      <w:tr>
        <w:trPr>
          <w:trHeight w:val="299" w:hRule="atLeast"/>
        </w:trPr>
        <w:tc>
          <w:tcPr>
            <w:tcW w:w="511" w:type="dxa"/>
          </w:tcPr>
          <w:p>
            <w:pPr>
              <w:pStyle w:val="TableParagraph"/>
              <w:rPr>
                <w:sz w:val="24"/>
              </w:rPr>
            </w:pPr>
            <w:r>
              <w:rPr>
                <w:spacing w:val="-5"/>
                <w:sz w:val="24"/>
              </w:rPr>
              <w:t>23</w:t>
            </w:r>
          </w:p>
        </w:tc>
        <w:tc>
          <w:tcPr>
            <w:tcW w:w="1004" w:type="dxa"/>
          </w:tcPr>
          <w:p>
            <w:pPr>
              <w:pStyle w:val="TableParagraph"/>
              <w:ind w:left="105"/>
              <w:rPr>
                <w:sz w:val="24"/>
              </w:rPr>
            </w:pPr>
            <w:r>
              <w:rPr>
                <w:spacing w:val="-2"/>
                <w:sz w:val="24"/>
              </w:rPr>
              <w:t>Nov-</w:t>
            </w:r>
            <w:r>
              <w:rPr>
                <w:spacing w:val="-5"/>
                <w:sz w:val="24"/>
              </w:rPr>
              <w:t>21</w:t>
            </w:r>
          </w:p>
        </w:tc>
        <w:tc>
          <w:tcPr>
            <w:tcW w:w="996" w:type="dxa"/>
          </w:tcPr>
          <w:p>
            <w:pPr>
              <w:pStyle w:val="TableParagraph"/>
              <w:ind w:left="105"/>
              <w:rPr>
                <w:sz w:val="24"/>
              </w:rPr>
            </w:pPr>
            <w:r>
              <w:rPr>
                <w:spacing w:val="-2"/>
                <w:sz w:val="24"/>
              </w:rPr>
              <w:t>186.522</w:t>
            </w:r>
          </w:p>
        </w:tc>
        <w:tc>
          <w:tcPr>
            <w:tcW w:w="758" w:type="dxa"/>
          </w:tcPr>
          <w:p>
            <w:pPr>
              <w:pStyle w:val="TableParagraph"/>
              <w:ind w:left="105"/>
              <w:rPr>
                <w:sz w:val="24"/>
              </w:rPr>
            </w:pPr>
            <w:r>
              <w:rPr>
                <w:spacing w:val="-2"/>
                <w:sz w:val="24"/>
              </w:rPr>
              <w:t>118.5</w:t>
            </w:r>
          </w:p>
        </w:tc>
        <w:tc>
          <w:tcPr>
            <w:tcW w:w="1116" w:type="dxa"/>
          </w:tcPr>
          <w:p>
            <w:pPr>
              <w:pStyle w:val="TableParagraph"/>
              <w:ind w:left="108"/>
              <w:rPr>
                <w:sz w:val="24"/>
              </w:rPr>
            </w:pPr>
            <w:r>
              <w:rPr>
                <w:spacing w:val="-2"/>
                <w:sz w:val="24"/>
              </w:rPr>
              <w:t>14263.50</w:t>
            </w:r>
          </w:p>
        </w:tc>
        <w:tc>
          <w:tcPr>
            <w:tcW w:w="780" w:type="dxa"/>
          </w:tcPr>
          <w:p>
            <w:pPr>
              <w:pStyle w:val="TableParagraph"/>
              <w:ind w:left="7" w:right="137"/>
              <w:jc w:val="center"/>
              <w:rPr>
                <w:sz w:val="24"/>
              </w:rPr>
            </w:pPr>
            <w:r>
              <w:rPr>
                <w:spacing w:val="-4"/>
                <w:sz w:val="24"/>
              </w:rPr>
              <w:t>1.75</w:t>
            </w:r>
          </w:p>
        </w:tc>
        <w:tc>
          <w:tcPr>
            <w:tcW w:w="877" w:type="dxa"/>
          </w:tcPr>
          <w:p>
            <w:pPr>
              <w:pStyle w:val="TableParagraph"/>
              <w:ind w:left="108"/>
              <w:rPr>
                <w:sz w:val="24"/>
              </w:rPr>
            </w:pPr>
            <w:r>
              <w:rPr>
                <w:spacing w:val="-2"/>
                <w:sz w:val="24"/>
              </w:rPr>
              <w:t>149.28</w:t>
            </w:r>
          </w:p>
        </w:tc>
      </w:tr>
      <w:tr>
        <w:trPr>
          <w:trHeight w:val="299" w:hRule="atLeast"/>
        </w:trPr>
        <w:tc>
          <w:tcPr>
            <w:tcW w:w="511" w:type="dxa"/>
          </w:tcPr>
          <w:p>
            <w:pPr>
              <w:pStyle w:val="TableParagraph"/>
              <w:rPr>
                <w:sz w:val="24"/>
              </w:rPr>
            </w:pPr>
            <w:r>
              <w:rPr>
                <w:spacing w:val="-5"/>
                <w:sz w:val="24"/>
              </w:rPr>
              <w:t>24</w:t>
            </w:r>
          </w:p>
        </w:tc>
        <w:tc>
          <w:tcPr>
            <w:tcW w:w="1004" w:type="dxa"/>
          </w:tcPr>
          <w:p>
            <w:pPr>
              <w:pStyle w:val="TableParagraph"/>
              <w:ind w:left="105"/>
              <w:rPr>
                <w:sz w:val="24"/>
              </w:rPr>
            </w:pPr>
            <w:r>
              <w:rPr>
                <w:spacing w:val="-2"/>
                <w:sz w:val="24"/>
              </w:rPr>
              <w:t>Dec-</w:t>
            </w:r>
            <w:r>
              <w:rPr>
                <w:spacing w:val="-5"/>
                <w:sz w:val="24"/>
              </w:rPr>
              <w:t>21</w:t>
            </w:r>
          </w:p>
        </w:tc>
        <w:tc>
          <w:tcPr>
            <w:tcW w:w="996" w:type="dxa"/>
          </w:tcPr>
          <w:p>
            <w:pPr>
              <w:pStyle w:val="TableParagraph"/>
              <w:ind w:left="105"/>
              <w:rPr>
                <w:sz w:val="24"/>
              </w:rPr>
            </w:pPr>
            <w:r>
              <w:rPr>
                <w:spacing w:val="-2"/>
                <w:sz w:val="24"/>
              </w:rPr>
              <w:t>189.019</w:t>
            </w:r>
          </w:p>
        </w:tc>
        <w:tc>
          <w:tcPr>
            <w:tcW w:w="758" w:type="dxa"/>
          </w:tcPr>
          <w:p>
            <w:pPr>
              <w:pStyle w:val="TableParagraph"/>
              <w:ind w:left="105"/>
              <w:rPr>
                <w:sz w:val="24"/>
              </w:rPr>
            </w:pPr>
            <w:r>
              <w:rPr>
                <w:spacing w:val="-2"/>
                <w:sz w:val="24"/>
              </w:rPr>
              <w:t>118.3</w:t>
            </w:r>
          </w:p>
        </w:tc>
        <w:tc>
          <w:tcPr>
            <w:tcW w:w="1116" w:type="dxa"/>
          </w:tcPr>
          <w:p>
            <w:pPr>
              <w:pStyle w:val="TableParagraph"/>
              <w:ind w:left="108"/>
              <w:rPr>
                <w:sz w:val="24"/>
              </w:rPr>
            </w:pPr>
            <w:r>
              <w:rPr>
                <w:spacing w:val="-2"/>
                <w:sz w:val="24"/>
              </w:rPr>
              <w:t>14328.92</w:t>
            </w:r>
          </w:p>
        </w:tc>
        <w:tc>
          <w:tcPr>
            <w:tcW w:w="780" w:type="dxa"/>
          </w:tcPr>
          <w:p>
            <w:pPr>
              <w:pStyle w:val="TableParagraph"/>
              <w:ind w:left="7" w:right="137"/>
              <w:jc w:val="center"/>
              <w:rPr>
                <w:sz w:val="24"/>
              </w:rPr>
            </w:pPr>
            <w:r>
              <w:rPr>
                <w:spacing w:val="-4"/>
                <w:sz w:val="24"/>
              </w:rPr>
              <w:t>1.87</w:t>
            </w:r>
          </w:p>
        </w:tc>
        <w:tc>
          <w:tcPr>
            <w:tcW w:w="877" w:type="dxa"/>
          </w:tcPr>
          <w:p>
            <w:pPr>
              <w:pStyle w:val="TableParagraph"/>
              <w:ind w:left="108"/>
              <w:rPr>
                <w:sz w:val="24"/>
              </w:rPr>
            </w:pPr>
            <w:r>
              <w:rPr>
                <w:spacing w:val="-2"/>
                <w:sz w:val="24"/>
              </w:rPr>
              <w:t>146.25</w:t>
            </w:r>
          </w:p>
        </w:tc>
      </w:tr>
      <w:tr>
        <w:trPr>
          <w:trHeight w:val="299" w:hRule="atLeast"/>
        </w:trPr>
        <w:tc>
          <w:tcPr>
            <w:tcW w:w="511" w:type="dxa"/>
          </w:tcPr>
          <w:p>
            <w:pPr>
              <w:pStyle w:val="TableParagraph"/>
              <w:rPr>
                <w:sz w:val="24"/>
              </w:rPr>
            </w:pPr>
            <w:r>
              <w:rPr>
                <w:spacing w:val="-5"/>
                <w:sz w:val="24"/>
              </w:rPr>
              <w:t>25</w:t>
            </w:r>
          </w:p>
        </w:tc>
        <w:tc>
          <w:tcPr>
            <w:tcW w:w="1004" w:type="dxa"/>
          </w:tcPr>
          <w:p>
            <w:pPr>
              <w:pStyle w:val="TableParagraph"/>
              <w:ind w:left="105"/>
              <w:rPr>
                <w:sz w:val="24"/>
              </w:rPr>
            </w:pPr>
            <w:r>
              <w:rPr>
                <w:spacing w:val="-2"/>
                <w:sz w:val="24"/>
              </w:rPr>
              <w:t>Jan-</w:t>
            </w:r>
            <w:r>
              <w:rPr>
                <w:spacing w:val="-5"/>
                <w:sz w:val="24"/>
              </w:rPr>
              <w:t>22</w:t>
            </w:r>
          </w:p>
        </w:tc>
        <w:tc>
          <w:tcPr>
            <w:tcW w:w="996" w:type="dxa"/>
          </w:tcPr>
          <w:p>
            <w:pPr>
              <w:pStyle w:val="TableParagraph"/>
              <w:ind w:left="105"/>
              <w:rPr>
                <w:sz w:val="24"/>
              </w:rPr>
            </w:pPr>
            <w:r>
              <w:rPr>
                <w:spacing w:val="-2"/>
                <w:sz w:val="24"/>
              </w:rPr>
              <w:t>189.124</w:t>
            </w:r>
          </w:p>
        </w:tc>
        <w:tc>
          <w:tcPr>
            <w:tcW w:w="758" w:type="dxa"/>
          </w:tcPr>
          <w:p>
            <w:pPr>
              <w:pStyle w:val="TableParagraph"/>
              <w:ind w:left="105"/>
              <w:rPr>
                <w:sz w:val="24"/>
              </w:rPr>
            </w:pPr>
            <w:r>
              <w:rPr>
                <w:spacing w:val="-2"/>
                <w:sz w:val="24"/>
              </w:rPr>
              <w:t>119.6</w:t>
            </w:r>
          </w:p>
        </w:tc>
        <w:tc>
          <w:tcPr>
            <w:tcW w:w="1116" w:type="dxa"/>
          </w:tcPr>
          <w:p>
            <w:pPr>
              <w:pStyle w:val="TableParagraph"/>
              <w:ind w:left="108"/>
              <w:rPr>
                <w:sz w:val="24"/>
              </w:rPr>
            </w:pPr>
            <w:r>
              <w:rPr>
                <w:spacing w:val="-2"/>
                <w:sz w:val="24"/>
              </w:rPr>
              <w:t>14335.24</w:t>
            </w:r>
          </w:p>
        </w:tc>
        <w:tc>
          <w:tcPr>
            <w:tcW w:w="780" w:type="dxa"/>
          </w:tcPr>
          <w:p>
            <w:pPr>
              <w:pStyle w:val="TableParagraph"/>
              <w:ind w:left="7" w:right="137"/>
              <w:jc w:val="center"/>
              <w:rPr>
                <w:sz w:val="24"/>
              </w:rPr>
            </w:pPr>
            <w:r>
              <w:rPr>
                <w:spacing w:val="-4"/>
                <w:sz w:val="24"/>
              </w:rPr>
              <w:t>2.18</w:t>
            </w:r>
          </w:p>
        </w:tc>
        <w:tc>
          <w:tcPr>
            <w:tcW w:w="877" w:type="dxa"/>
          </w:tcPr>
          <w:p>
            <w:pPr>
              <w:pStyle w:val="TableParagraph"/>
              <w:ind w:left="108"/>
              <w:rPr>
                <w:sz w:val="24"/>
              </w:rPr>
            </w:pPr>
            <w:r>
              <w:rPr>
                <w:spacing w:val="-2"/>
                <w:sz w:val="24"/>
              </w:rPr>
              <w:t>142.88</w:t>
            </w:r>
          </w:p>
        </w:tc>
      </w:tr>
      <w:tr>
        <w:trPr>
          <w:trHeight w:val="299" w:hRule="atLeast"/>
        </w:trPr>
        <w:tc>
          <w:tcPr>
            <w:tcW w:w="511" w:type="dxa"/>
          </w:tcPr>
          <w:p>
            <w:pPr>
              <w:pStyle w:val="TableParagraph"/>
              <w:rPr>
                <w:sz w:val="24"/>
              </w:rPr>
            </w:pPr>
            <w:r>
              <w:rPr>
                <w:spacing w:val="-5"/>
                <w:sz w:val="24"/>
              </w:rPr>
              <w:t>26</w:t>
            </w:r>
          </w:p>
        </w:tc>
        <w:tc>
          <w:tcPr>
            <w:tcW w:w="1004" w:type="dxa"/>
          </w:tcPr>
          <w:p>
            <w:pPr>
              <w:pStyle w:val="TableParagraph"/>
              <w:ind w:left="105"/>
              <w:rPr>
                <w:sz w:val="24"/>
              </w:rPr>
            </w:pPr>
            <w:r>
              <w:rPr>
                <w:spacing w:val="-2"/>
                <w:sz w:val="24"/>
              </w:rPr>
              <w:t>Feb-</w:t>
            </w:r>
            <w:r>
              <w:rPr>
                <w:spacing w:val="-5"/>
                <w:sz w:val="24"/>
              </w:rPr>
              <w:t>22</w:t>
            </w:r>
          </w:p>
        </w:tc>
        <w:tc>
          <w:tcPr>
            <w:tcW w:w="996" w:type="dxa"/>
          </w:tcPr>
          <w:p>
            <w:pPr>
              <w:pStyle w:val="TableParagraph"/>
              <w:ind w:left="105"/>
              <w:rPr>
                <w:sz w:val="24"/>
              </w:rPr>
            </w:pPr>
            <w:r>
              <w:rPr>
                <w:spacing w:val="-2"/>
                <w:sz w:val="24"/>
              </w:rPr>
              <w:t>192.318</w:t>
            </w:r>
          </w:p>
        </w:tc>
        <w:tc>
          <w:tcPr>
            <w:tcW w:w="758" w:type="dxa"/>
          </w:tcPr>
          <w:p>
            <w:pPr>
              <w:pStyle w:val="TableParagraph"/>
              <w:ind w:left="105"/>
              <w:rPr>
                <w:sz w:val="24"/>
              </w:rPr>
            </w:pPr>
            <w:r>
              <w:rPr>
                <w:spacing w:val="-2"/>
                <w:sz w:val="24"/>
              </w:rPr>
              <w:t>113.1</w:t>
            </w:r>
          </w:p>
        </w:tc>
        <w:tc>
          <w:tcPr>
            <w:tcW w:w="1116" w:type="dxa"/>
          </w:tcPr>
          <w:p>
            <w:pPr>
              <w:pStyle w:val="TableParagraph"/>
              <w:ind w:left="108"/>
              <w:rPr>
                <w:sz w:val="24"/>
              </w:rPr>
            </w:pPr>
            <w:r>
              <w:rPr>
                <w:spacing w:val="-2"/>
                <w:sz w:val="24"/>
              </w:rPr>
              <w:t>14351.06</w:t>
            </w:r>
          </w:p>
        </w:tc>
        <w:tc>
          <w:tcPr>
            <w:tcW w:w="780" w:type="dxa"/>
          </w:tcPr>
          <w:p>
            <w:pPr>
              <w:pStyle w:val="TableParagraph"/>
              <w:ind w:left="7" w:right="137"/>
              <w:jc w:val="center"/>
              <w:rPr>
                <w:sz w:val="24"/>
              </w:rPr>
            </w:pPr>
            <w:r>
              <w:rPr>
                <w:spacing w:val="-4"/>
                <w:sz w:val="24"/>
              </w:rPr>
              <w:t>2.06</w:t>
            </w:r>
          </w:p>
        </w:tc>
        <w:tc>
          <w:tcPr>
            <w:tcW w:w="877" w:type="dxa"/>
          </w:tcPr>
          <w:p>
            <w:pPr>
              <w:pStyle w:val="TableParagraph"/>
              <w:ind w:left="108"/>
              <w:rPr>
                <w:sz w:val="24"/>
              </w:rPr>
            </w:pPr>
            <w:r>
              <w:rPr>
                <w:spacing w:val="-2"/>
                <w:sz w:val="24"/>
              </w:rPr>
              <w:t>134.36</w:t>
            </w:r>
          </w:p>
        </w:tc>
      </w:tr>
      <w:tr>
        <w:trPr>
          <w:trHeight w:val="302" w:hRule="atLeast"/>
        </w:trPr>
        <w:tc>
          <w:tcPr>
            <w:tcW w:w="511" w:type="dxa"/>
          </w:tcPr>
          <w:p>
            <w:pPr>
              <w:pStyle w:val="TableParagraph"/>
              <w:spacing w:before="25"/>
              <w:rPr>
                <w:sz w:val="24"/>
              </w:rPr>
            </w:pPr>
            <w:r>
              <w:rPr>
                <w:spacing w:val="-5"/>
                <w:sz w:val="24"/>
              </w:rPr>
              <w:t>27</w:t>
            </w:r>
          </w:p>
        </w:tc>
        <w:tc>
          <w:tcPr>
            <w:tcW w:w="1004" w:type="dxa"/>
          </w:tcPr>
          <w:p>
            <w:pPr>
              <w:pStyle w:val="TableParagraph"/>
              <w:spacing w:before="25"/>
              <w:ind w:left="105"/>
              <w:rPr>
                <w:sz w:val="24"/>
              </w:rPr>
            </w:pPr>
            <w:r>
              <w:rPr>
                <w:spacing w:val="-2"/>
                <w:sz w:val="24"/>
              </w:rPr>
              <w:t>Mar-</w:t>
            </w:r>
            <w:r>
              <w:rPr>
                <w:spacing w:val="-5"/>
                <w:sz w:val="24"/>
              </w:rPr>
              <w:t>22</w:t>
            </w:r>
          </w:p>
        </w:tc>
        <w:tc>
          <w:tcPr>
            <w:tcW w:w="996" w:type="dxa"/>
          </w:tcPr>
          <w:p>
            <w:pPr>
              <w:pStyle w:val="TableParagraph"/>
              <w:spacing w:before="25"/>
              <w:ind w:left="105"/>
              <w:rPr>
                <w:sz w:val="24"/>
              </w:rPr>
            </w:pPr>
            <w:r>
              <w:rPr>
                <w:spacing w:val="-2"/>
                <w:sz w:val="24"/>
              </w:rPr>
              <w:t>199.91</w:t>
            </w:r>
          </w:p>
        </w:tc>
        <w:tc>
          <w:tcPr>
            <w:tcW w:w="758" w:type="dxa"/>
          </w:tcPr>
          <w:p>
            <w:pPr>
              <w:pStyle w:val="TableParagraph"/>
              <w:spacing w:before="25"/>
              <w:ind w:left="105"/>
              <w:rPr>
                <w:sz w:val="24"/>
              </w:rPr>
            </w:pPr>
            <w:r>
              <w:rPr>
                <w:spacing w:val="-2"/>
                <w:sz w:val="24"/>
              </w:rPr>
              <w:t>111.0</w:t>
            </w:r>
          </w:p>
        </w:tc>
        <w:tc>
          <w:tcPr>
            <w:tcW w:w="1116" w:type="dxa"/>
          </w:tcPr>
          <w:p>
            <w:pPr>
              <w:pStyle w:val="TableParagraph"/>
              <w:spacing w:before="25"/>
              <w:ind w:left="108"/>
              <w:rPr>
                <w:sz w:val="24"/>
              </w:rPr>
            </w:pPr>
            <w:r>
              <w:rPr>
                <w:spacing w:val="-2"/>
                <w:sz w:val="24"/>
              </w:rPr>
              <w:t>14348.64</w:t>
            </w:r>
          </w:p>
        </w:tc>
        <w:tc>
          <w:tcPr>
            <w:tcW w:w="780" w:type="dxa"/>
          </w:tcPr>
          <w:p>
            <w:pPr>
              <w:pStyle w:val="TableParagraph"/>
              <w:spacing w:before="25"/>
              <w:ind w:left="7" w:right="137"/>
              <w:jc w:val="center"/>
              <w:rPr>
                <w:sz w:val="24"/>
              </w:rPr>
            </w:pPr>
            <w:r>
              <w:rPr>
                <w:spacing w:val="-4"/>
                <w:sz w:val="24"/>
              </w:rPr>
              <w:t>2.64</w:t>
            </w:r>
          </w:p>
        </w:tc>
        <w:tc>
          <w:tcPr>
            <w:tcW w:w="877" w:type="dxa"/>
          </w:tcPr>
          <w:p>
            <w:pPr>
              <w:pStyle w:val="TableParagraph"/>
              <w:spacing w:before="25"/>
              <w:ind w:left="108"/>
              <w:rPr>
                <w:sz w:val="24"/>
              </w:rPr>
            </w:pPr>
            <w:r>
              <w:rPr>
                <w:spacing w:val="-2"/>
                <w:sz w:val="24"/>
              </w:rPr>
              <w:t>153.32</w:t>
            </w:r>
          </w:p>
        </w:tc>
      </w:tr>
      <w:tr>
        <w:trPr>
          <w:trHeight w:val="299" w:hRule="atLeast"/>
        </w:trPr>
        <w:tc>
          <w:tcPr>
            <w:tcW w:w="511" w:type="dxa"/>
          </w:tcPr>
          <w:p>
            <w:pPr>
              <w:pStyle w:val="TableParagraph"/>
              <w:rPr>
                <w:sz w:val="24"/>
              </w:rPr>
            </w:pPr>
            <w:r>
              <w:rPr>
                <w:spacing w:val="-5"/>
                <w:sz w:val="24"/>
              </w:rPr>
              <w:t>28</w:t>
            </w:r>
          </w:p>
        </w:tc>
        <w:tc>
          <w:tcPr>
            <w:tcW w:w="1004" w:type="dxa"/>
          </w:tcPr>
          <w:p>
            <w:pPr>
              <w:pStyle w:val="TableParagraph"/>
              <w:ind w:left="105"/>
              <w:rPr>
                <w:sz w:val="24"/>
              </w:rPr>
            </w:pPr>
            <w:r>
              <w:rPr>
                <w:spacing w:val="-2"/>
                <w:sz w:val="24"/>
              </w:rPr>
              <w:t>Apr-</w:t>
            </w:r>
            <w:r>
              <w:rPr>
                <w:spacing w:val="-5"/>
                <w:sz w:val="24"/>
              </w:rPr>
              <w:t>22</w:t>
            </w:r>
          </w:p>
        </w:tc>
        <w:tc>
          <w:tcPr>
            <w:tcW w:w="996" w:type="dxa"/>
          </w:tcPr>
          <w:p>
            <w:pPr>
              <w:pStyle w:val="TableParagraph"/>
              <w:ind w:left="105"/>
              <w:rPr>
                <w:sz w:val="24"/>
              </w:rPr>
            </w:pPr>
            <w:r>
              <w:rPr>
                <w:spacing w:val="-2"/>
                <w:sz w:val="24"/>
              </w:rPr>
              <w:t>208.184</w:t>
            </w:r>
          </w:p>
        </w:tc>
        <w:tc>
          <w:tcPr>
            <w:tcW w:w="758" w:type="dxa"/>
          </w:tcPr>
          <w:p>
            <w:pPr>
              <w:pStyle w:val="TableParagraph"/>
              <w:ind w:left="105"/>
              <w:rPr>
                <w:sz w:val="24"/>
              </w:rPr>
            </w:pPr>
            <w:r>
              <w:rPr>
                <w:spacing w:val="-2"/>
                <w:sz w:val="24"/>
              </w:rPr>
              <w:t>113.1</w:t>
            </w:r>
          </w:p>
        </w:tc>
        <w:tc>
          <w:tcPr>
            <w:tcW w:w="1116" w:type="dxa"/>
          </w:tcPr>
          <w:p>
            <w:pPr>
              <w:pStyle w:val="TableParagraph"/>
              <w:ind w:left="108"/>
              <w:rPr>
                <w:sz w:val="24"/>
              </w:rPr>
            </w:pPr>
            <w:r>
              <w:rPr>
                <w:spacing w:val="-2"/>
                <w:sz w:val="24"/>
              </w:rPr>
              <w:t>14368.74</w:t>
            </w:r>
          </w:p>
        </w:tc>
        <w:tc>
          <w:tcPr>
            <w:tcW w:w="780" w:type="dxa"/>
          </w:tcPr>
          <w:p>
            <w:pPr>
              <w:pStyle w:val="TableParagraph"/>
              <w:ind w:left="7" w:right="137"/>
              <w:jc w:val="center"/>
              <w:rPr>
                <w:sz w:val="24"/>
              </w:rPr>
            </w:pPr>
            <w:r>
              <w:rPr>
                <w:spacing w:val="-4"/>
                <w:sz w:val="24"/>
              </w:rPr>
              <w:t>3.47</w:t>
            </w:r>
          </w:p>
        </w:tc>
        <w:tc>
          <w:tcPr>
            <w:tcW w:w="877" w:type="dxa"/>
          </w:tcPr>
          <w:p>
            <w:pPr>
              <w:pStyle w:val="TableParagraph"/>
              <w:ind w:left="108"/>
              <w:rPr>
                <w:sz w:val="24"/>
              </w:rPr>
            </w:pPr>
            <w:r>
              <w:rPr>
                <w:spacing w:val="-2"/>
                <w:sz w:val="24"/>
              </w:rPr>
              <w:t>149.14</w:t>
            </w:r>
          </w:p>
        </w:tc>
      </w:tr>
      <w:tr>
        <w:trPr>
          <w:trHeight w:val="299" w:hRule="atLeast"/>
        </w:trPr>
        <w:tc>
          <w:tcPr>
            <w:tcW w:w="511" w:type="dxa"/>
          </w:tcPr>
          <w:p>
            <w:pPr>
              <w:pStyle w:val="TableParagraph"/>
              <w:rPr>
                <w:sz w:val="24"/>
              </w:rPr>
            </w:pPr>
            <w:r>
              <w:rPr>
                <w:spacing w:val="-5"/>
                <w:sz w:val="24"/>
              </w:rPr>
              <w:t>29</w:t>
            </w:r>
          </w:p>
        </w:tc>
        <w:tc>
          <w:tcPr>
            <w:tcW w:w="1004" w:type="dxa"/>
          </w:tcPr>
          <w:p>
            <w:pPr>
              <w:pStyle w:val="TableParagraph"/>
              <w:ind w:left="105"/>
              <w:rPr>
                <w:sz w:val="24"/>
              </w:rPr>
            </w:pPr>
            <w:r>
              <w:rPr>
                <w:spacing w:val="-2"/>
                <w:sz w:val="24"/>
              </w:rPr>
              <w:t>May-</w:t>
            </w:r>
            <w:r>
              <w:rPr>
                <w:spacing w:val="-5"/>
                <w:sz w:val="24"/>
              </w:rPr>
              <w:t>22</w:t>
            </w:r>
          </w:p>
        </w:tc>
        <w:tc>
          <w:tcPr>
            <w:tcW w:w="996" w:type="dxa"/>
          </w:tcPr>
          <w:p>
            <w:pPr>
              <w:pStyle w:val="TableParagraph"/>
              <w:ind w:left="105"/>
              <w:rPr>
                <w:sz w:val="24"/>
              </w:rPr>
            </w:pPr>
            <w:r>
              <w:rPr>
                <w:spacing w:val="-2"/>
                <w:sz w:val="24"/>
              </w:rPr>
              <w:t>209.067</w:t>
            </w:r>
          </w:p>
        </w:tc>
        <w:tc>
          <w:tcPr>
            <w:tcW w:w="758" w:type="dxa"/>
          </w:tcPr>
          <w:p>
            <w:pPr>
              <w:pStyle w:val="TableParagraph"/>
              <w:ind w:left="105"/>
              <w:rPr>
                <w:sz w:val="24"/>
              </w:rPr>
            </w:pPr>
            <w:r>
              <w:rPr>
                <w:spacing w:val="-2"/>
                <w:sz w:val="24"/>
              </w:rPr>
              <w:t>128.9</w:t>
            </w:r>
          </w:p>
        </w:tc>
        <w:tc>
          <w:tcPr>
            <w:tcW w:w="1116" w:type="dxa"/>
          </w:tcPr>
          <w:p>
            <w:pPr>
              <w:pStyle w:val="TableParagraph"/>
              <w:ind w:left="108"/>
              <w:rPr>
                <w:sz w:val="24"/>
              </w:rPr>
            </w:pPr>
            <w:r>
              <w:rPr>
                <w:spacing w:val="-2"/>
                <w:sz w:val="24"/>
              </w:rPr>
              <w:t>14608.00</w:t>
            </w:r>
          </w:p>
        </w:tc>
        <w:tc>
          <w:tcPr>
            <w:tcW w:w="780" w:type="dxa"/>
          </w:tcPr>
          <w:p>
            <w:pPr>
              <w:pStyle w:val="TableParagraph"/>
              <w:ind w:left="7" w:right="137"/>
              <w:jc w:val="center"/>
              <w:rPr>
                <w:sz w:val="24"/>
              </w:rPr>
            </w:pPr>
            <w:r>
              <w:rPr>
                <w:spacing w:val="-4"/>
                <w:sz w:val="24"/>
              </w:rPr>
              <w:t>3.55</w:t>
            </w:r>
          </w:p>
        </w:tc>
        <w:tc>
          <w:tcPr>
            <w:tcW w:w="877" w:type="dxa"/>
          </w:tcPr>
          <w:p>
            <w:pPr>
              <w:pStyle w:val="TableParagraph"/>
              <w:ind w:left="108"/>
              <w:rPr>
                <w:sz w:val="24"/>
              </w:rPr>
            </w:pPr>
            <w:r>
              <w:rPr>
                <w:spacing w:val="-2"/>
                <w:sz w:val="24"/>
              </w:rPr>
              <w:t>132.50</w:t>
            </w:r>
          </w:p>
        </w:tc>
      </w:tr>
      <w:tr>
        <w:trPr>
          <w:trHeight w:val="299" w:hRule="atLeast"/>
        </w:trPr>
        <w:tc>
          <w:tcPr>
            <w:tcW w:w="511" w:type="dxa"/>
          </w:tcPr>
          <w:p>
            <w:pPr>
              <w:pStyle w:val="TableParagraph"/>
              <w:rPr>
                <w:sz w:val="24"/>
              </w:rPr>
            </w:pPr>
            <w:r>
              <w:rPr>
                <w:spacing w:val="-5"/>
                <w:sz w:val="24"/>
              </w:rPr>
              <w:t>30</w:t>
            </w:r>
          </w:p>
        </w:tc>
        <w:tc>
          <w:tcPr>
            <w:tcW w:w="1004" w:type="dxa"/>
          </w:tcPr>
          <w:p>
            <w:pPr>
              <w:pStyle w:val="TableParagraph"/>
              <w:ind w:left="105"/>
              <w:rPr>
                <w:sz w:val="24"/>
              </w:rPr>
            </w:pPr>
            <w:r>
              <w:rPr>
                <w:spacing w:val="-2"/>
                <w:sz w:val="24"/>
              </w:rPr>
              <w:t>Jun-</w:t>
            </w:r>
            <w:r>
              <w:rPr>
                <w:spacing w:val="-5"/>
                <w:sz w:val="24"/>
              </w:rPr>
              <w:t>22</w:t>
            </w:r>
          </w:p>
        </w:tc>
        <w:tc>
          <w:tcPr>
            <w:tcW w:w="996" w:type="dxa"/>
          </w:tcPr>
          <w:p>
            <w:pPr>
              <w:pStyle w:val="TableParagraph"/>
              <w:ind w:left="105"/>
              <w:rPr>
                <w:sz w:val="24"/>
              </w:rPr>
            </w:pPr>
            <w:r>
              <w:rPr>
                <w:spacing w:val="-2"/>
                <w:sz w:val="24"/>
              </w:rPr>
              <w:t>200.391</w:t>
            </w:r>
          </w:p>
        </w:tc>
        <w:tc>
          <w:tcPr>
            <w:tcW w:w="758" w:type="dxa"/>
          </w:tcPr>
          <w:p>
            <w:pPr>
              <w:pStyle w:val="TableParagraph"/>
              <w:ind w:left="105"/>
              <w:rPr>
                <w:sz w:val="24"/>
              </w:rPr>
            </w:pPr>
            <w:r>
              <w:rPr>
                <w:spacing w:val="-2"/>
                <w:sz w:val="24"/>
              </w:rPr>
              <w:t>128.2</w:t>
            </w:r>
          </w:p>
        </w:tc>
        <w:tc>
          <w:tcPr>
            <w:tcW w:w="1116" w:type="dxa"/>
          </w:tcPr>
          <w:p>
            <w:pPr>
              <w:pStyle w:val="TableParagraph"/>
              <w:ind w:left="108"/>
              <w:rPr>
                <w:sz w:val="24"/>
              </w:rPr>
            </w:pPr>
            <w:r>
              <w:rPr>
                <w:spacing w:val="-2"/>
                <w:sz w:val="24"/>
              </w:rPr>
              <w:t>14688.57</w:t>
            </w:r>
          </w:p>
        </w:tc>
        <w:tc>
          <w:tcPr>
            <w:tcW w:w="780" w:type="dxa"/>
          </w:tcPr>
          <w:p>
            <w:pPr>
              <w:pStyle w:val="TableParagraph"/>
              <w:ind w:left="7" w:right="137"/>
              <w:jc w:val="center"/>
              <w:rPr>
                <w:sz w:val="24"/>
              </w:rPr>
            </w:pPr>
            <w:r>
              <w:rPr>
                <w:spacing w:val="-4"/>
                <w:sz w:val="24"/>
              </w:rPr>
              <w:t>4.35</w:t>
            </w:r>
          </w:p>
        </w:tc>
        <w:tc>
          <w:tcPr>
            <w:tcW w:w="877" w:type="dxa"/>
          </w:tcPr>
          <w:p>
            <w:pPr>
              <w:pStyle w:val="TableParagraph"/>
              <w:ind w:left="108"/>
              <w:rPr>
                <w:sz w:val="24"/>
              </w:rPr>
            </w:pPr>
            <w:r>
              <w:rPr>
                <w:spacing w:val="-2"/>
                <w:sz w:val="24"/>
              </w:rPr>
              <w:t>151.18</w:t>
            </w:r>
          </w:p>
        </w:tc>
      </w:tr>
      <w:tr>
        <w:trPr>
          <w:trHeight w:val="300" w:hRule="atLeast"/>
        </w:trPr>
        <w:tc>
          <w:tcPr>
            <w:tcW w:w="511" w:type="dxa"/>
          </w:tcPr>
          <w:p>
            <w:pPr>
              <w:pStyle w:val="TableParagraph"/>
              <w:rPr>
                <w:sz w:val="24"/>
              </w:rPr>
            </w:pPr>
            <w:r>
              <w:rPr>
                <w:spacing w:val="-5"/>
                <w:sz w:val="24"/>
              </w:rPr>
              <w:t>31</w:t>
            </w:r>
          </w:p>
        </w:tc>
        <w:tc>
          <w:tcPr>
            <w:tcW w:w="1004" w:type="dxa"/>
          </w:tcPr>
          <w:p>
            <w:pPr>
              <w:pStyle w:val="TableParagraph"/>
              <w:ind w:left="105"/>
              <w:rPr>
                <w:sz w:val="24"/>
              </w:rPr>
            </w:pPr>
            <w:r>
              <w:rPr>
                <w:sz w:val="24"/>
              </w:rPr>
              <w:t>Jul-</w:t>
            </w:r>
            <w:r>
              <w:rPr>
                <w:spacing w:val="-5"/>
                <w:sz w:val="24"/>
              </w:rPr>
              <w:t>22</w:t>
            </w:r>
          </w:p>
        </w:tc>
        <w:tc>
          <w:tcPr>
            <w:tcW w:w="996" w:type="dxa"/>
          </w:tcPr>
          <w:p>
            <w:pPr>
              <w:pStyle w:val="TableParagraph"/>
              <w:ind w:left="105"/>
              <w:rPr>
                <w:sz w:val="24"/>
              </w:rPr>
            </w:pPr>
            <w:r>
              <w:rPr>
                <w:spacing w:val="-2"/>
                <w:sz w:val="24"/>
              </w:rPr>
              <w:t>205.837</w:t>
            </w:r>
          </w:p>
        </w:tc>
        <w:tc>
          <w:tcPr>
            <w:tcW w:w="758" w:type="dxa"/>
          </w:tcPr>
          <w:p>
            <w:pPr>
              <w:pStyle w:val="TableParagraph"/>
              <w:ind w:left="105"/>
              <w:rPr>
                <w:sz w:val="24"/>
              </w:rPr>
            </w:pPr>
            <w:r>
              <w:rPr>
                <w:spacing w:val="-2"/>
                <w:sz w:val="24"/>
              </w:rPr>
              <w:t>123.2</w:t>
            </w:r>
          </w:p>
        </w:tc>
        <w:tc>
          <w:tcPr>
            <w:tcW w:w="1116" w:type="dxa"/>
          </w:tcPr>
          <w:p>
            <w:pPr>
              <w:pStyle w:val="TableParagraph"/>
              <w:ind w:left="108"/>
              <w:rPr>
                <w:sz w:val="24"/>
              </w:rPr>
            </w:pPr>
            <w:r>
              <w:rPr>
                <w:spacing w:val="-2"/>
                <w:sz w:val="24"/>
              </w:rPr>
              <w:t>14984.38</w:t>
            </w:r>
          </w:p>
        </w:tc>
        <w:tc>
          <w:tcPr>
            <w:tcW w:w="780" w:type="dxa"/>
          </w:tcPr>
          <w:p>
            <w:pPr>
              <w:pStyle w:val="TableParagraph"/>
              <w:ind w:left="7" w:right="137"/>
              <w:jc w:val="center"/>
              <w:rPr>
                <w:sz w:val="24"/>
              </w:rPr>
            </w:pPr>
            <w:r>
              <w:rPr>
                <w:spacing w:val="-4"/>
                <w:sz w:val="24"/>
              </w:rPr>
              <w:t>4.94</w:t>
            </w:r>
          </w:p>
        </w:tc>
        <w:tc>
          <w:tcPr>
            <w:tcW w:w="877" w:type="dxa"/>
          </w:tcPr>
          <w:p>
            <w:pPr>
              <w:pStyle w:val="TableParagraph"/>
              <w:ind w:left="108"/>
              <w:rPr>
                <w:sz w:val="24"/>
              </w:rPr>
            </w:pPr>
            <w:r>
              <w:rPr>
                <w:spacing w:val="-2"/>
                <w:sz w:val="24"/>
              </w:rPr>
              <w:t>151.04</w:t>
            </w:r>
          </w:p>
        </w:tc>
      </w:tr>
      <w:tr>
        <w:trPr>
          <w:trHeight w:val="299" w:hRule="atLeast"/>
        </w:trPr>
        <w:tc>
          <w:tcPr>
            <w:tcW w:w="511" w:type="dxa"/>
          </w:tcPr>
          <w:p>
            <w:pPr>
              <w:pStyle w:val="TableParagraph"/>
              <w:rPr>
                <w:sz w:val="24"/>
              </w:rPr>
            </w:pPr>
            <w:r>
              <w:rPr>
                <w:spacing w:val="-5"/>
                <w:sz w:val="24"/>
              </w:rPr>
              <w:t>32</w:t>
            </w:r>
          </w:p>
        </w:tc>
        <w:tc>
          <w:tcPr>
            <w:tcW w:w="1004" w:type="dxa"/>
          </w:tcPr>
          <w:p>
            <w:pPr>
              <w:pStyle w:val="TableParagraph"/>
              <w:ind w:left="105"/>
              <w:rPr>
                <w:sz w:val="24"/>
              </w:rPr>
            </w:pPr>
            <w:r>
              <w:rPr>
                <w:spacing w:val="-2"/>
                <w:sz w:val="24"/>
              </w:rPr>
              <w:t>Aug-</w:t>
            </w:r>
            <w:r>
              <w:rPr>
                <w:spacing w:val="-5"/>
                <w:sz w:val="24"/>
              </w:rPr>
              <w:t>22</w:t>
            </w:r>
          </w:p>
        </w:tc>
        <w:tc>
          <w:tcPr>
            <w:tcW w:w="996" w:type="dxa"/>
          </w:tcPr>
          <w:p>
            <w:pPr>
              <w:pStyle w:val="TableParagraph"/>
              <w:ind w:left="105"/>
              <w:rPr>
                <w:sz w:val="24"/>
              </w:rPr>
            </w:pPr>
            <w:r>
              <w:rPr>
                <w:spacing w:val="-2"/>
                <w:sz w:val="24"/>
              </w:rPr>
              <w:t>208.629</w:t>
            </w:r>
          </w:p>
        </w:tc>
        <w:tc>
          <w:tcPr>
            <w:tcW w:w="758" w:type="dxa"/>
          </w:tcPr>
          <w:p>
            <w:pPr>
              <w:pStyle w:val="TableParagraph"/>
              <w:ind w:left="105"/>
              <w:rPr>
                <w:sz w:val="24"/>
              </w:rPr>
            </w:pPr>
            <w:r>
              <w:rPr>
                <w:spacing w:val="-2"/>
                <w:sz w:val="24"/>
              </w:rPr>
              <w:t>124.7</w:t>
            </w:r>
          </w:p>
        </w:tc>
        <w:tc>
          <w:tcPr>
            <w:tcW w:w="1116" w:type="dxa"/>
          </w:tcPr>
          <w:p>
            <w:pPr>
              <w:pStyle w:val="TableParagraph"/>
              <w:ind w:left="108"/>
              <w:rPr>
                <w:sz w:val="24"/>
              </w:rPr>
            </w:pPr>
            <w:r>
              <w:rPr>
                <w:spacing w:val="-2"/>
                <w:sz w:val="24"/>
              </w:rPr>
              <w:t>14850.64</w:t>
            </w:r>
          </w:p>
        </w:tc>
        <w:tc>
          <w:tcPr>
            <w:tcW w:w="780" w:type="dxa"/>
          </w:tcPr>
          <w:p>
            <w:pPr>
              <w:pStyle w:val="TableParagraph"/>
              <w:ind w:left="7" w:right="137"/>
              <w:jc w:val="center"/>
              <w:rPr>
                <w:sz w:val="24"/>
              </w:rPr>
            </w:pPr>
            <w:r>
              <w:rPr>
                <w:spacing w:val="-4"/>
                <w:sz w:val="24"/>
              </w:rPr>
              <w:t>4.69</w:t>
            </w:r>
          </w:p>
        </w:tc>
        <w:tc>
          <w:tcPr>
            <w:tcW w:w="877" w:type="dxa"/>
          </w:tcPr>
          <w:p>
            <w:pPr>
              <w:pStyle w:val="TableParagraph"/>
              <w:ind w:left="108"/>
              <w:rPr>
                <w:sz w:val="24"/>
              </w:rPr>
            </w:pPr>
            <w:r>
              <w:rPr>
                <w:spacing w:val="-2"/>
                <w:sz w:val="24"/>
              </w:rPr>
              <w:t>158.82</w:t>
            </w:r>
          </w:p>
        </w:tc>
      </w:tr>
      <w:tr>
        <w:trPr>
          <w:trHeight w:val="301" w:hRule="atLeast"/>
        </w:trPr>
        <w:tc>
          <w:tcPr>
            <w:tcW w:w="511" w:type="dxa"/>
          </w:tcPr>
          <w:p>
            <w:pPr>
              <w:pStyle w:val="TableParagraph"/>
              <w:spacing w:before="25"/>
              <w:rPr>
                <w:sz w:val="24"/>
              </w:rPr>
            </w:pPr>
            <w:r>
              <w:rPr>
                <w:spacing w:val="-5"/>
                <w:sz w:val="24"/>
              </w:rPr>
              <w:t>33</w:t>
            </w:r>
          </w:p>
        </w:tc>
        <w:tc>
          <w:tcPr>
            <w:tcW w:w="1004" w:type="dxa"/>
          </w:tcPr>
          <w:p>
            <w:pPr>
              <w:pStyle w:val="TableParagraph"/>
              <w:spacing w:before="25"/>
              <w:ind w:left="105"/>
              <w:rPr>
                <w:sz w:val="24"/>
              </w:rPr>
            </w:pPr>
            <w:r>
              <w:rPr>
                <w:spacing w:val="-2"/>
                <w:sz w:val="24"/>
              </w:rPr>
              <w:t>Sep-</w:t>
            </w:r>
            <w:r>
              <w:rPr>
                <w:spacing w:val="-5"/>
                <w:sz w:val="24"/>
              </w:rPr>
              <w:t>22</w:t>
            </w:r>
          </w:p>
        </w:tc>
        <w:tc>
          <w:tcPr>
            <w:tcW w:w="996" w:type="dxa"/>
          </w:tcPr>
          <w:p>
            <w:pPr>
              <w:pStyle w:val="TableParagraph"/>
              <w:spacing w:before="25"/>
              <w:ind w:left="105"/>
              <w:rPr>
                <w:sz w:val="24"/>
              </w:rPr>
            </w:pPr>
            <w:r>
              <w:rPr>
                <w:spacing w:val="-2"/>
                <w:sz w:val="24"/>
              </w:rPr>
              <w:t>204.096</w:t>
            </w:r>
          </w:p>
        </w:tc>
        <w:tc>
          <w:tcPr>
            <w:tcW w:w="758" w:type="dxa"/>
          </w:tcPr>
          <w:p>
            <w:pPr>
              <w:pStyle w:val="TableParagraph"/>
              <w:spacing w:before="25"/>
              <w:ind w:left="105"/>
              <w:rPr>
                <w:sz w:val="24"/>
              </w:rPr>
            </w:pPr>
            <w:r>
              <w:rPr>
                <w:spacing w:val="-2"/>
                <w:sz w:val="24"/>
              </w:rPr>
              <w:t>117.2</w:t>
            </w:r>
          </w:p>
        </w:tc>
        <w:tc>
          <w:tcPr>
            <w:tcW w:w="1116" w:type="dxa"/>
          </w:tcPr>
          <w:p>
            <w:pPr>
              <w:pStyle w:val="TableParagraph"/>
              <w:spacing w:before="25"/>
              <w:ind w:left="108"/>
              <w:rPr>
                <w:sz w:val="24"/>
              </w:rPr>
            </w:pPr>
            <w:r>
              <w:rPr>
                <w:spacing w:val="-2"/>
                <w:sz w:val="24"/>
              </w:rPr>
              <w:t>14971.77</w:t>
            </w:r>
          </w:p>
        </w:tc>
        <w:tc>
          <w:tcPr>
            <w:tcW w:w="780" w:type="dxa"/>
          </w:tcPr>
          <w:p>
            <w:pPr>
              <w:pStyle w:val="TableParagraph"/>
              <w:spacing w:before="25"/>
              <w:ind w:left="7" w:right="137"/>
              <w:jc w:val="center"/>
              <w:rPr>
                <w:sz w:val="24"/>
              </w:rPr>
            </w:pPr>
            <w:r>
              <w:rPr>
                <w:spacing w:val="-4"/>
                <w:sz w:val="24"/>
              </w:rPr>
              <w:t>5.95</w:t>
            </w:r>
          </w:p>
        </w:tc>
        <w:tc>
          <w:tcPr>
            <w:tcW w:w="877" w:type="dxa"/>
          </w:tcPr>
          <w:p>
            <w:pPr>
              <w:pStyle w:val="TableParagraph"/>
              <w:spacing w:before="25"/>
              <w:ind w:left="108"/>
              <w:rPr>
                <w:sz w:val="24"/>
              </w:rPr>
            </w:pPr>
            <w:r>
              <w:rPr>
                <w:spacing w:val="-2"/>
                <w:sz w:val="24"/>
              </w:rPr>
              <w:t>156.98</w:t>
            </w:r>
          </w:p>
        </w:tc>
      </w:tr>
      <w:tr>
        <w:trPr>
          <w:trHeight w:val="299" w:hRule="atLeast"/>
        </w:trPr>
        <w:tc>
          <w:tcPr>
            <w:tcW w:w="511" w:type="dxa"/>
          </w:tcPr>
          <w:p>
            <w:pPr>
              <w:pStyle w:val="TableParagraph"/>
              <w:rPr>
                <w:sz w:val="24"/>
              </w:rPr>
            </w:pPr>
            <w:r>
              <w:rPr>
                <w:spacing w:val="-5"/>
                <w:sz w:val="24"/>
              </w:rPr>
              <w:t>34</w:t>
            </w:r>
          </w:p>
        </w:tc>
        <w:tc>
          <w:tcPr>
            <w:tcW w:w="1004" w:type="dxa"/>
          </w:tcPr>
          <w:p>
            <w:pPr>
              <w:pStyle w:val="TableParagraph"/>
              <w:ind w:left="105"/>
              <w:rPr>
                <w:sz w:val="24"/>
              </w:rPr>
            </w:pPr>
            <w:r>
              <w:rPr>
                <w:spacing w:val="-2"/>
                <w:sz w:val="24"/>
              </w:rPr>
              <w:t>Oct-</w:t>
            </w:r>
            <w:r>
              <w:rPr>
                <w:spacing w:val="-5"/>
                <w:sz w:val="24"/>
              </w:rPr>
              <w:t>22</w:t>
            </w:r>
          </w:p>
        </w:tc>
        <w:tc>
          <w:tcPr>
            <w:tcW w:w="996" w:type="dxa"/>
          </w:tcPr>
          <w:p>
            <w:pPr>
              <w:pStyle w:val="TableParagraph"/>
              <w:ind w:left="105"/>
              <w:rPr>
                <w:sz w:val="24"/>
              </w:rPr>
            </w:pPr>
            <w:r>
              <w:rPr>
                <w:spacing w:val="-2"/>
                <w:sz w:val="24"/>
              </w:rPr>
              <w:t>207.731</w:t>
            </w:r>
          </w:p>
        </w:tc>
        <w:tc>
          <w:tcPr>
            <w:tcW w:w="758" w:type="dxa"/>
          </w:tcPr>
          <w:p>
            <w:pPr>
              <w:pStyle w:val="TableParagraph"/>
              <w:ind w:left="105"/>
              <w:rPr>
                <w:sz w:val="24"/>
              </w:rPr>
            </w:pPr>
            <w:r>
              <w:rPr>
                <w:spacing w:val="-2"/>
                <w:sz w:val="24"/>
              </w:rPr>
              <w:t>120.3</w:t>
            </w:r>
          </w:p>
        </w:tc>
        <w:tc>
          <w:tcPr>
            <w:tcW w:w="1116" w:type="dxa"/>
          </w:tcPr>
          <w:p>
            <w:pPr>
              <w:pStyle w:val="TableParagraph"/>
              <w:ind w:left="108"/>
              <w:rPr>
                <w:sz w:val="24"/>
              </w:rPr>
            </w:pPr>
            <w:r>
              <w:rPr>
                <w:spacing w:val="-2"/>
                <w:sz w:val="24"/>
              </w:rPr>
              <w:t>15417.48</w:t>
            </w:r>
          </w:p>
        </w:tc>
        <w:tc>
          <w:tcPr>
            <w:tcW w:w="780" w:type="dxa"/>
          </w:tcPr>
          <w:p>
            <w:pPr>
              <w:pStyle w:val="TableParagraph"/>
              <w:ind w:left="7" w:right="137"/>
              <w:jc w:val="center"/>
              <w:rPr>
                <w:sz w:val="24"/>
              </w:rPr>
            </w:pPr>
            <w:r>
              <w:rPr>
                <w:spacing w:val="-4"/>
                <w:sz w:val="24"/>
              </w:rPr>
              <w:t>5.71</w:t>
            </w:r>
          </w:p>
        </w:tc>
        <w:tc>
          <w:tcPr>
            <w:tcW w:w="877" w:type="dxa"/>
          </w:tcPr>
          <w:p>
            <w:pPr>
              <w:pStyle w:val="TableParagraph"/>
              <w:ind w:left="108"/>
              <w:rPr>
                <w:sz w:val="24"/>
              </w:rPr>
            </w:pPr>
            <w:r>
              <w:rPr>
                <w:spacing w:val="-2"/>
                <w:sz w:val="24"/>
              </w:rPr>
              <w:t>157.18</w:t>
            </w:r>
          </w:p>
        </w:tc>
      </w:tr>
      <w:tr>
        <w:trPr>
          <w:trHeight w:val="299" w:hRule="atLeast"/>
        </w:trPr>
        <w:tc>
          <w:tcPr>
            <w:tcW w:w="511" w:type="dxa"/>
          </w:tcPr>
          <w:p>
            <w:pPr>
              <w:pStyle w:val="TableParagraph"/>
              <w:rPr>
                <w:sz w:val="24"/>
              </w:rPr>
            </w:pPr>
            <w:r>
              <w:rPr>
                <w:spacing w:val="-5"/>
                <w:sz w:val="24"/>
              </w:rPr>
              <w:t>35</w:t>
            </w:r>
          </w:p>
        </w:tc>
        <w:tc>
          <w:tcPr>
            <w:tcW w:w="1004" w:type="dxa"/>
          </w:tcPr>
          <w:p>
            <w:pPr>
              <w:pStyle w:val="TableParagraph"/>
              <w:ind w:left="105"/>
              <w:rPr>
                <w:sz w:val="24"/>
              </w:rPr>
            </w:pPr>
            <w:r>
              <w:rPr>
                <w:spacing w:val="-2"/>
                <w:sz w:val="24"/>
              </w:rPr>
              <w:t>Nov-</w:t>
            </w:r>
            <w:r>
              <w:rPr>
                <w:spacing w:val="-5"/>
                <w:sz w:val="24"/>
              </w:rPr>
              <w:t>22</w:t>
            </w:r>
          </w:p>
        </w:tc>
        <w:tc>
          <w:tcPr>
            <w:tcW w:w="996" w:type="dxa"/>
          </w:tcPr>
          <w:p>
            <w:pPr>
              <w:pStyle w:val="TableParagraph"/>
              <w:ind w:left="105"/>
              <w:rPr>
                <w:sz w:val="24"/>
              </w:rPr>
            </w:pPr>
            <w:r>
              <w:rPr>
                <w:spacing w:val="-2"/>
                <w:sz w:val="24"/>
              </w:rPr>
              <w:t>209.01</w:t>
            </w:r>
          </w:p>
        </w:tc>
        <w:tc>
          <w:tcPr>
            <w:tcW w:w="758" w:type="dxa"/>
          </w:tcPr>
          <w:p>
            <w:pPr>
              <w:pStyle w:val="TableParagraph"/>
              <w:ind w:left="105"/>
              <w:rPr>
                <w:sz w:val="24"/>
              </w:rPr>
            </w:pPr>
            <w:r>
              <w:rPr>
                <w:spacing w:val="-2"/>
                <w:sz w:val="24"/>
              </w:rPr>
              <w:t>119.1</w:t>
            </w:r>
          </w:p>
        </w:tc>
        <w:tc>
          <w:tcPr>
            <w:tcW w:w="1116" w:type="dxa"/>
          </w:tcPr>
          <w:p>
            <w:pPr>
              <w:pStyle w:val="TableParagraph"/>
              <w:ind w:left="108"/>
              <w:rPr>
                <w:sz w:val="24"/>
              </w:rPr>
            </w:pPr>
            <w:r>
              <w:rPr>
                <w:spacing w:val="-2"/>
                <w:sz w:val="24"/>
              </w:rPr>
              <w:t>15658.73</w:t>
            </w:r>
          </w:p>
        </w:tc>
        <w:tc>
          <w:tcPr>
            <w:tcW w:w="780" w:type="dxa"/>
          </w:tcPr>
          <w:p>
            <w:pPr>
              <w:pStyle w:val="TableParagraph"/>
              <w:ind w:left="7" w:right="137"/>
              <w:jc w:val="center"/>
              <w:rPr>
                <w:sz w:val="24"/>
              </w:rPr>
            </w:pPr>
            <w:r>
              <w:rPr>
                <w:spacing w:val="-4"/>
                <w:sz w:val="24"/>
              </w:rPr>
              <w:t>5.42</w:t>
            </w:r>
          </w:p>
        </w:tc>
        <w:tc>
          <w:tcPr>
            <w:tcW w:w="877" w:type="dxa"/>
          </w:tcPr>
          <w:p>
            <w:pPr>
              <w:pStyle w:val="TableParagraph"/>
              <w:ind w:left="108"/>
              <w:rPr>
                <w:sz w:val="24"/>
              </w:rPr>
            </w:pPr>
            <w:r>
              <w:rPr>
                <w:spacing w:val="-2"/>
                <w:sz w:val="24"/>
              </w:rPr>
              <w:t>154.55</w:t>
            </w:r>
          </w:p>
        </w:tc>
      </w:tr>
      <w:tr>
        <w:trPr>
          <w:trHeight w:val="299" w:hRule="atLeast"/>
        </w:trPr>
        <w:tc>
          <w:tcPr>
            <w:tcW w:w="511" w:type="dxa"/>
          </w:tcPr>
          <w:p>
            <w:pPr>
              <w:pStyle w:val="TableParagraph"/>
              <w:rPr>
                <w:sz w:val="24"/>
              </w:rPr>
            </w:pPr>
            <w:r>
              <w:rPr>
                <w:spacing w:val="-5"/>
                <w:sz w:val="24"/>
              </w:rPr>
              <w:t>36</w:t>
            </w:r>
          </w:p>
        </w:tc>
        <w:tc>
          <w:tcPr>
            <w:tcW w:w="1004" w:type="dxa"/>
          </w:tcPr>
          <w:p>
            <w:pPr>
              <w:pStyle w:val="TableParagraph"/>
              <w:ind w:left="105"/>
              <w:rPr>
                <w:sz w:val="24"/>
              </w:rPr>
            </w:pPr>
            <w:r>
              <w:rPr>
                <w:spacing w:val="-2"/>
                <w:sz w:val="24"/>
              </w:rPr>
              <w:t>Dec-</w:t>
            </w:r>
            <w:r>
              <w:rPr>
                <w:spacing w:val="-5"/>
                <w:sz w:val="24"/>
              </w:rPr>
              <w:t>22</w:t>
            </w:r>
          </w:p>
        </w:tc>
        <w:tc>
          <w:tcPr>
            <w:tcW w:w="996" w:type="dxa"/>
          </w:tcPr>
          <w:p>
            <w:pPr>
              <w:pStyle w:val="TableParagraph"/>
              <w:ind w:left="105"/>
              <w:rPr>
                <w:sz w:val="24"/>
              </w:rPr>
            </w:pPr>
            <w:r>
              <w:rPr>
                <w:spacing w:val="-2"/>
                <w:sz w:val="24"/>
              </w:rPr>
              <w:t>217.726</w:t>
            </w:r>
          </w:p>
        </w:tc>
        <w:tc>
          <w:tcPr>
            <w:tcW w:w="758" w:type="dxa"/>
          </w:tcPr>
          <w:p>
            <w:pPr>
              <w:pStyle w:val="TableParagraph"/>
              <w:ind w:left="105"/>
              <w:rPr>
                <w:sz w:val="24"/>
              </w:rPr>
            </w:pPr>
            <w:r>
              <w:rPr>
                <w:spacing w:val="-2"/>
                <w:sz w:val="24"/>
              </w:rPr>
              <w:t>119.9</w:t>
            </w:r>
          </w:p>
        </w:tc>
        <w:tc>
          <w:tcPr>
            <w:tcW w:w="1116" w:type="dxa"/>
          </w:tcPr>
          <w:p>
            <w:pPr>
              <w:pStyle w:val="TableParagraph"/>
              <w:ind w:left="108"/>
              <w:rPr>
                <w:sz w:val="24"/>
              </w:rPr>
            </w:pPr>
            <w:r>
              <w:rPr>
                <w:spacing w:val="-2"/>
                <w:sz w:val="24"/>
              </w:rPr>
              <w:t>15615.00</w:t>
            </w:r>
          </w:p>
        </w:tc>
        <w:tc>
          <w:tcPr>
            <w:tcW w:w="780" w:type="dxa"/>
          </w:tcPr>
          <w:p>
            <w:pPr>
              <w:pStyle w:val="TableParagraph"/>
              <w:ind w:left="7" w:right="137"/>
              <w:jc w:val="center"/>
              <w:rPr>
                <w:sz w:val="24"/>
              </w:rPr>
            </w:pPr>
            <w:r>
              <w:rPr>
                <w:spacing w:val="-4"/>
                <w:sz w:val="24"/>
              </w:rPr>
              <w:t>5.51</w:t>
            </w:r>
          </w:p>
        </w:tc>
        <w:tc>
          <w:tcPr>
            <w:tcW w:w="877" w:type="dxa"/>
          </w:tcPr>
          <w:p>
            <w:pPr>
              <w:pStyle w:val="TableParagraph"/>
              <w:ind w:left="108"/>
              <w:rPr>
                <w:sz w:val="24"/>
              </w:rPr>
            </w:pPr>
            <w:r>
              <w:rPr>
                <w:spacing w:val="-2"/>
                <w:sz w:val="24"/>
              </w:rPr>
              <w:t>151.10</w:t>
            </w:r>
          </w:p>
        </w:tc>
      </w:tr>
      <w:tr>
        <w:trPr>
          <w:trHeight w:val="299" w:hRule="atLeast"/>
        </w:trPr>
        <w:tc>
          <w:tcPr>
            <w:tcW w:w="511" w:type="dxa"/>
          </w:tcPr>
          <w:p>
            <w:pPr>
              <w:pStyle w:val="TableParagraph"/>
              <w:rPr>
                <w:sz w:val="24"/>
              </w:rPr>
            </w:pPr>
            <w:r>
              <w:rPr>
                <w:spacing w:val="-5"/>
                <w:sz w:val="24"/>
              </w:rPr>
              <w:t>37</w:t>
            </w:r>
          </w:p>
        </w:tc>
        <w:tc>
          <w:tcPr>
            <w:tcW w:w="1004" w:type="dxa"/>
          </w:tcPr>
          <w:p>
            <w:pPr>
              <w:pStyle w:val="TableParagraph"/>
              <w:ind w:left="105"/>
              <w:rPr>
                <w:sz w:val="24"/>
              </w:rPr>
            </w:pPr>
            <w:r>
              <w:rPr>
                <w:spacing w:val="-2"/>
                <w:sz w:val="24"/>
              </w:rPr>
              <w:t>Jan-</w:t>
            </w:r>
            <w:r>
              <w:rPr>
                <w:spacing w:val="-5"/>
                <w:sz w:val="24"/>
              </w:rPr>
              <w:t>23</w:t>
            </w:r>
          </w:p>
        </w:tc>
        <w:tc>
          <w:tcPr>
            <w:tcW w:w="996" w:type="dxa"/>
          </w:tcPr>
          <w:p>
            <w:pPr>
              <w:pStyle w:val="TableParagraph"/>
              <w:ind w:left="105"/>
              <w:rPr>
                <w:sz w:val="24"/>
              </w:rPr>
            </w:pPr>
            <w:r>
              <w:rPr>
                <w:spacing w:val="-2"/>
                <w:sz w:val="24"/>
              </w:rPr>
              <w:t>212.641</w:t>
            </w:r>
          </w:p>
        </w:tc>
        <w:tc>
          <w:tcPr>
            <w:tcW w:w="758" w:type="dxa"/>
          </w:tcPr>
          <w:p>
            <w:pPr>
              <w:pStyle w:val="TableParagraph"/>
              <w:ind w:left="105"/>
              <w:rPr>
                <w:sz w:val="24"/>
              </w:rPr>
            </w:pPr>
            <w:r>
              <w:rPr>
                <w:spacing w:val="-2"/>
                <w:sz w:val="24"/>
              </w:rPr>
              <w:t>123.0</w:t>
            </w:r>
          </w:p>
        </w:tc>
        <w:tc>
          <w:tcPr>
            <w:tcW w:w="1116" w:type="dxa"/>
          </w:tcPr>
          <w:p>
            <w:pPr>
              <w:pStyle w:val="TableParagraph"/>
              <w:ind w:left="108"/>
              <w:rPr>
                <w:sz w:val="24"/>
              </w:rPr>
            </w:pPr>
            <w:r>
              <w:rPr>
                <w:spacing w:val="-2"/>
                <w:sz w:val="24"/>
              </w:rPr>
              <w:t>15295.24</w:t>
            </w:r>
          </w:p>
        </w:tc>
        <w:tc>
          <w:tcPr>
            <w:tcW w:w="780" w:type="dxa"/>
          </w:tcPr>
          <w:p>
            <w:pPr>
              <w:pStyle w:val="TableParagraph"/>
              <w:ind w:left="7" w:right="137"/>
              <w:jc w:val="center"/>
              <w:rPr>
                <w:sz w:val="24"/>
              </w:rPr>
            </w:pPr>
            <w:r>
              <w:rPr>
                <w:spacing w:val="-4"/>
                <w:sz w:val="24"/>
              </w:rPr>
              <w:t>5.28</w:t>
            </w:r>
          </w:p>
        </w:tc>
        <w:tc>
          <w:tcPr>
            <w:tcW w:w="877" w:type="dxa"/>
          </w:tcPr>
          <w:p>
            <w:pPr>
              <w:pStyle w:val="TableParagraph"/>
              <w:ind w:left="108"/>
              <w:rPr>
                <w:sz w:val="24"/>
              </w:rPr>
            </w:pPr>
            <w:r>
              <w:rPr>
                <w:spacing w:val="-2"/>
                <w:sz w:val="24"/>
              </w:rPr>
              <w:t>149.19</w:t>
            </w:r>
          </w:p>
        </w:tc>
      </w:tr>
      <w:tr>
        <w:trPr>
          <w:trHeight w:val="299" w:hRule="atLeast"/>
        </w:trPr>
        <w:tc>
          <w:tcPr>
            <w:tcW w:w="511" w:type="dxa"/>
          </w:tcPr>
          <w:p>
            <w:pPr>
              <w:pStyle w:val="TableParagraph"/>
              <w:rPr>
                <w:sz w:val="24"/>
              </w:rPr>
            </w:pPr>
            <w:r>
              <w:rPr>
                <w:spacing w:val="-5"/>
                <w:sz w:val="24"/>
              </w:rPr>
              <w:t>38</w:t>
            </w:r>
          </w:p>
        </w:tc>
        <w:tc>
          <w:tcPr>
            <w:tcW w:w="1004" w:type="dxa"/>
          </w:tcPr>
          <w:p>
            <w:pPr>
              <w:pStyle w:val="TableParagraph"/>
              <w:ind w:left="105"/>
              <w:rPr>
                <w:sz w:val="24"/>
              </w:rPr>
            </w:pPr>
            <w:r>
              <w:rPr>
                <w:spacing w:val="-2"/>
                <w:sz w:val="24"/>
              </w:rPr>
              <w:t>Feb-</w:t>
            </w:r>
            <w:r>
              <w:rPr>
                <w:spacing w:val="-5"/>
                <w:sz w:val="24"/>
              </w:rPr>
              <w:t>23</w:t>
            </w:r>
          </w:p>
        </w:tc>
        <w:tc>
          <w:tcPr>
            <w:tcW w:w="996" w:type="dxa"/>
          </w:tcPr>
          <w:p>
            <w:pPr>
              <w:pStyle w:val="TableParagraph"/>
              <w:ind w:left="105"/>
              <w:rPr>
                <w:sz w:val="24"/>
              </w:rPr>
            </w:pPr>
            <w:r>
              <w:rPr>
                <w:spacing w:val="-2"/>
                <w:sz w:val="24"/>
              </w:rPr>
              <w:t>212.267</w:t>
            </w:r>
          </w:p>
        </w:tc>
        <w:tc>
          <w:tcPr>
            <w:tcW w:w="758" w:type="dxa"/>
          </w:tcPr>
          <w:p>
            <w:pPr>
              <w:pStyle w:val="TableParagraph"/>
              <w:ind w:left="105"/>
              <w:rPr>
                <w:sz w:val="24"/>
              </w:rPr>
            </w:pPr>
            <w:r>
              <w:rPr>
                <w:spacing w:val="-2"/>
                <w:sz w:val="24"/>
              </w:rPr>
              <w:t>122.4</w:t>
            </w:r>
          </w:p>
        </w:tc>
        <w:tc>
          <w:tcPr>
            <w:tcW w:w="1116" w:type="dxa"/>
          </w:tcPr>
          <w:p>
            <w:pPr>
              <w:pStyle w:val="TableParagraph"/>
              <w:ind w:left="108"/>
              <w:rPr>
                <w:sz w:val="24"/>
              </w:rPr>
            </w:pPr>
            <w:r>
              <w:rPr>
                <w:spacing w:val="-2"/>
                <w:sz w:val="24"/>
              </w:rPr>
              <w:t>15126.00</w:t>
            </w:r>
          </w:p>
        </w:tc>
        <w:tc>
          <w:tcPr>
            <w:tcW w:w="780" w:type="dxa"/>
          </w:tcPr>
          <w:p>
            <w:pPr>
              <w:pStyle w:val="TableParagraph"/>
              <w:ind w:left="7" w:right="137"/>
              <w:jc w:val="center"/>
              <w:rPr>
                <w:sz w:val="24"/>
              </w:rPr>
            </w:pPr>
            <w:r>
              <w:rPr>
                <w:spacing w:val="-4"/>
                <w:sz w:val="24"/>
              </w:rPr>
              <w:t>5.47</w:t>
            </w:r>
          </w:p>
        </w:tc>
        <w:tc>
          <w:tcPr>
            <w:tcW w:w="877" w:type="dxa"/>
          </w:tcPr>
          <w:p>
            <w:pPr>
              <w:pStyle w:val="TableParagraph"/>
              <w:ind w:left="108"/>
              <w:rPr>
                <w:sz w:val="24"/>
              </w:rPr>
            </w:pPr>
            <w:r>
              <w:rPr>
                <w:spacing w:val="-2"/>
                <w:sz w:val="24"/>
              </w:rPr>
              <w:t>141.89</w:t>
            </w:r>
          </w:p>
        </w:tc>
      </w:tr>
      <w:tr>
        <w:trPr>
          <w:trHeight w:val="301" w:hRule="atLeast"/>
        </w:trPr>
        <w:tc>
          <w:tcPr>
            <w:tcW w:w="511" w:type="dxa"/>
          </w:tcPr>
          <w:p>
            <w:pPr>
              <w:pStyle w:val="TableParagraph"/>
              <w:spacing w:before="25"/>
              <w:rPr>
                <w:sz w:val="24"/>
              </w:rPr>
            </w:pPr>
            <w:r>
              <w:rPr>
                <w:spacing w:val="-5"/>
                <w:sz w:val="24"/>
              </w:rPr>
              <w:t>39</w:t>
            </w:r>
          </w:p>
        </w:tc>
        <w:tc>
          <w:tcPr>
            <w:tcW w:w="1004" w:type="dxa"/>
          </w:tcPr>
          <w:p>
            <w:pPr>
              <w:pStyle w:val="TableParagraph"/>
              <w:spacing w:before="25"/>
              <w:ind w:left="105"/>
              <w:rPr>
                <w:sz w:val="24"/>
              </w:rPr>
            </w:pPr>
            <w:r>
              <w:rPr>
                <w:spacing w:val="-2"/>
                <w:sz w:val="24"/>
              </w:rPr>
              <w:t>Mar-</w:t>
            </w:r>
            <w:r>
              <w:rPr>
                <w:spacing w:val="-5"/>
                <w:sz w:val="24"/>
              </w:rPr>
              <w:t>23</w:t>
            </w:r>
          </w:p>
        </w:tc>
        <w:tc>
          <w:tcPr>
            <w:tcW w:w="996" w:type="dxa"/>
          </w:tcPr>
          <w:p>
            <w:pPr>
              <w:pStyle w:val="TableParagraph"/>
              <w:spacing w:before="25"/>
              <w:ind w:left="105"/>
              <w:rPr>
                <w:sz w:val="24"/>
              </w:rPr>
            </w:pPr>
            <w:r>
              <w:rPr>
                <w:spacing w:val="-2"/>
                <w:sz w:val="24"/>
              </w:rPr>
              <w:t>211.266</w:t>
            </w:r>
          </w:p>
        </w:tc>
        <w:tc>
          <w:tcPr>
            <w:tcW w:w="758" w:type="dxa"/>
          </w:tcPr>
          <w:p>
            <w:pPr>
              <w:pStyle w:val="TableParagraph"/>
              <w:spacing w:before="25"/>
              <w:ind w:left="105"/>
              <w:rPr>
                <w:sz w:val="24"/>
              </w:rPr>
            </w:pPr>
            <w:r>
              <w:rPr>
                <w:spacing w:val="-2"/>
                <w:sz w:val="24"/>
              </w:rPr>
              <w:t>123.3</w:t>
            </w:r>
          </w:p>
        </w:tc>
        <w:tc>
          <w:tcPr>
            <w:tcW w:w="1116" w:type="dxa"/>
          </w:tcPr>
          <w:p>
            <w:pPr>
              <w:pStyle w:val="TableParagraph"/>
              <w:spacing w:before="25"/>
              <w:ind w:left="108"/>
              <w:rPr>
                <w:sz w:val="24"/>
              </w:rPr>
            </w:pPr>
            <w:r>
              <w:rPr>
                <w:spacing w:val="-2"/>
                <w:sz w:val="24"/>
              </w:rPr>
              <w:t>15300.71</w:t>
            </w:r>
          </w:p>
        </w:tc>
        <w:tc>
          <w:tcPr>
            <w:tcW w:w="780" w:type="dxa"/>
          </w:tcPr>
          <w:p>
            <w:pPr>
              <w:pStyle w:val="TableParagraph"/>
              <w:spacing w:before="25"/>
              <w:ind w:left="7" w:right="137"/>
              <w:jc w:val="center"/>
              <w:rPr>
                <w:sz w:val="24"/>
              </w:rPr>
            </w:pPr>
            <w:r>
              <w:rPr>
                <w:spacing w:val="-4"/>
                <w:sz w:val="24"/>
              </w:rPr>
              <w:t>4.97</w:t>
            </w:r>
          </w:p>
        </w:tc>
        <w:tc>
          <w:tcPr>
            <w:tcW w:w="877" w:type="dxa"/>
          </w:tcPr>
          <w:p>
            <w:pPr>
              <w:pStyle w:val="TableParagraph"/>
              <w:spacing w:before="25"/>
              <w:ind w:left="108"/>
              <w:rPr>
                <w:sz w:val="24"/>
              </w:rPr>
            </w:pPr>
            <w:r>
              <w:rPr>
                <w:spacing w:val="-2"/>
                <w:sz w:val="24"/>
              </w:rPr>
              <w:t>154.73</w:t>
            </w:r>
          </w:p>
        </w:tc>
      </w:tr>
    </w:tbl>
    <w:p>
      <w:pPr>
        <w:pStyle w:val="TableParagraph"/>
        <w:spacing w:after="0"/>
        <w:rPr>
          <w:sz w:val="24"/>
        </w:rPr>
        <w:sectPr>
          <w:pgSz w:w="11910" w:h="16840"/>
          <w:pgMar w:header="0" w:footer="1000" w:top="1360" w:bottom="1558" w:left="1417" w:right="1275"/>
        </w:sectPr>
      </w:pPr>
    </w:p>
    <w:tbl>
      <w:tblPr>
        <w:tblW w:w="0" w:type="auto"/>
        <w:jc w:val="left"/>
        <w:tblInd w:w="1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1"/>
        <w:gridCol w:w="1004"/>
        <w:gridCol w:w="996"/>
        <w:gridCol w:w="758"/>
        <w:gridCol w:w="1116"/>
        <w:gridCol w:w="780"/>
        <w:gridCol w:w="877"/>
      </w:tblGrid>
      <w:tr>
        <w:trPr>
          <w:trHeight w:val="299" w:hRule="atLeast"/>
        </w:trPr>
        <w:tc>
          <w:tcPr>
            <w:tcW w:w="511" w:type="dxa"/>
            <w:tcBorders>
              <w:top w:val="nil"/>
            </w:tcBorders>
          </w:tcPr>
          <w:p>
            <w:pPr>
              <w:pStyle w:val="TableParagraph"/>
              <w:ind w:left="0" w:right="43"/>
              <w:jc w:val="center"/>
              <w:rPr>
                <w:sz w:val="24"/>
              </w:rPr>
            </w:pPr>
            <w:r>
              <w:rPr>
                <w:spacing w:val="-5"/>
                <w:sz w:val="24"/>
              </w:rPr>
              <w:t>40</w:t>
            </w:r>
          </w:p>
        </w:tc>
        <w:tc>
          <w:tcPr>
            <w:tcW w:w="1004" w:type="dxa"/>
            <w:tcBorders>
              <w:top w:val="nil"/>
            </w:tcBorders>
          </w:tcPr>
          <w:p>
            <w:pPr>
              <w:pStyle w:val="TableParagraph"/>
              <w:ind w:left="105"/>
              <w:rPr>
                <w:sz w:val="24"/>
              </w:rPr>
            </w:pPr>
            <w:r>
              <w:rPr>
                <w:spacing w:val="-2"/>
                <w:sz w:val="24"/>
              </w:rPr>
              <w:t>Apr-</w:t>
            </w:r>
            <w:r>
              <w:rPr>
                <w:spacing w:val="-5"/>
                <w:sz w:val="24"/>
              </w:rPr>
              <w:t>23</w:t>
            </w:r>
          </w:p>
        </w:tc>
        <w:tc>
          <w:tcPr>
            <w:tcW w:w="996" w:type="dxa"/>
            <w:tcBorders>
              <w:top w:val="nil"/>
            </w:tcBorders>
          </w:tcPr>
          <w:p>
            <w:pPr>
              <w:pStyle w:val="TableParagraph"/>
              <w:ind w:left="105"/>
              <w:rPr>
                <w:sz w:val="24"/>
              </w:rPr>
            </w:pPr>
            <w:r>
              <w:rPr>
                <w:spacing w:val="-2"/>
                <w:sz w:val="24"/>
              </w:rPr>
              <w:t>213.643</w:t>
            </w:r>
          </w:p>
        </w:tc>
        <w:tc>
          <w:tcPr>
            <w:tcW w:w="758" w:type="dxa"/>
            <w:tcBorders>
              <w:top w:val="nil"/>
            </w:tcBorders>
          </w:tcPr>
          <w:p>
            <w:pPr>
              <w:pStyle w:val="TableParagraph"/>
              <w:ind w:left="2"/>
              <w:jc w:val="center"/>
              <w:rPr>
                <w:sz w:val="24"/>
              </w:rPr>
            </w:pPr>
            <w:r>
              <w:rPr>
                <w:spacing w:val="-2"/>
                <w:sz w:val="24"/>
              </w:rPr>
              <w:t>126.1</w:t>
            </w:r>
          </w:p>
        </w:tc>
        <w:tc>
          <w:tcPr>
            <w:tcW w:w="1116" w:type="dxa"/>
            <w:tcBorders>
              <w:top w:val="nil"/>
            </w:tcBorders>
          </w:tcPr>
          <w:p>
            <w:pPr>
              <w:pStyle w:val="TableParagraph"/>
              <w:ind w:left="11"/>
              <w:jc w:val="center"/>
              <w:rPr>
                <w:sz w:val="24"/>
              </w:rPr>
            </w:pPr>
            <w:r>
              <w:rPr>
                <w:spacing w:val="-2"/>
                <w:sz w:val="24"/>
              </w:rPr>
              <w:t>14866.71</w:t>
            </w:r>
          </w:p>
        </w:tc>
        <w:tc>
          <w:tcPr>
            <w:tcW w:w="780" w:type="dxa"/>
            <w:tcBorders>
              <w:top w:val="nil"/>
            </w:tcBorders>
          </w:tcPr>
          <w:p>
            <w:pPr>
              <w:pStyle w:val="TableParagraph"/>
              <w:ind w:left="108"/>
              <w:rPr>
                <w:sz w:val="24"/>
              </w:rPr>
            </w:pPr>
            <w:r>
              <w:rPr>
                <w:spacing w:val="-4"/>
                <w:sz w:val="24"/>
              </w:rPr>
              <w:t>4.33</w:t>
            </w:r>
          </w:p>
        </w:tc>
        <w:tc>
          <w:tcPr>
            <w:tcW w:w="877" w:type="dxa"/>
            <w:tcBorders>
              <w:top w:val="nil"/>
            </w:tcBorders>
          </w:tcPr>
          <w:p>
            <w:pPr>
              <w:pStyle w:val="TableParagraph"/>
              <w:ind w:left="10"/>
              <w:jc w:val="center"/>
              <w:rPr>
                <w:sz w:val="24"/>
              </w:rPr>
            </w:pPr>
            <w:r>
              <w:rPr>
                <w:spacing w:val="-2"/>
                <w:sz w:val="24"/>
              </w:rPr>
              <w:t>129.51</w:t>
            </w:r>
          </w:p>
        </w:tc>
      </w:tr>
      <w:tr>
        <w:trPr>
          <w:trHeight w:val="300" w:hRule="atLeast"/>
        </w:trPr>
        <w:tc>
          <w:tcPr>
            <w:tcW w:w="511" w:type="dxa"/>
          </w:tcPr>
          <w:p>
            <w:pPr>
              <w:pStyle w:val="TableParagraph"/>
              <w:ind w:left="0" w:right="43"/>
              <w:jc w:val="center"/>
              <w:rPr>
                <w:sz w:val="24"/>
              </w:rPr>
            </w:pPr>
            <w:r>
              <w:rPr>
                <w:spacing w:val="-5"/>
                <w:sz w:val="24"/>
              </w:rPr>
              <w:t>41</w:t>
            </w:r>
          </w:p>
        </w:tc>
        <w:tc>
          <w:tcPr>
            <w:tcW w:w="1004" w:type="dxa"/>
          </w:tcPr>
          <w:p>
            <w:pPr>
              <w:pStyle w:val="TableParagraph"/>
              <w:ind w:left="105"/>
              <w:rPr>
                <w:sz w:val="24"/>
              </w:rPr>
            </w:pPr>
            <w:r>
              <w:rPr>
                <w:spacing w:val="-2"/>
                <w:sz w:val="24"/>
              </w:rPr>
              <w:t>May-</w:t>
            </w:r>
            <w:r>
              <w:rPr>
                <w:spacing w:val="-5"/>
                <w:sz w:val="24"/>
              </w:rPr>
              <w:t>23</w:t>
            </w:r>
          </w:p>
        </w:tc>
        <w:tc>
          <w:tcPr>
            <w:tcW w:w="996" w:type="dxa"/>
          </w:tcPr>
          <w:p>
            <w:pPr>
              <w:pStyle w:val="TableParagraph"/>
              <w:ind w:left="105"/>
              <w:rPr>
                <w:sz w:val="24"/>
              </w:rPr>
            </w:pPr>
            <w:r>
              <w:rPr>
                <w:spacing w:val="-2"/>
                <w:sz w:val="24"/>
              </w:rPr>
              <w:t>195.178</w:t>
            </w:r>
          </w:p>
        </w:tc>
        <w:tc>
          <w:tcPr>
            <w:tcW w:w="758" w:type="dxa"/>
          </w:tcPr>
          <w:p>
            <w:pPr>
              <w:pStyle w:val="TableParagraph"/>
              <w:ind w:left="2"/>
              <w:jc w:val="center"/>
              <w:rPr>
                <w:sz w:val="24"/>
              </w:rPr>
            </w:pPr>
            <w:r>
              <w:rPr>
                <w:spacing w:val="-2"/>
                <w:sz w:val="24"/>
              </w:rPr>
              <w:t>128.3</w:t>
            </w:r>
          </w:p>
        </w:tc>
        <w:tc>
          <w:tcPr>
            <w:tcW w:w="1116" w:type="dxa"/>
          </w:tcPr>
          <w:p>
            <w:pPr>
              <w:pStyle w:val="TableParagraph"/>
              <w:ind w:left="11"/>
              <w:jc w:val="center"/>
              <w:rPr>
                <w:sz w:val="24"/>
              </w:rPr>
            </w:pPr>
            <w:r>
              <w:rPr>
                <w:spacing w:val="-2"/>
                <w:sz w:val="24"/>
              </w:rPr>
              <w:t>14810.86</w:t>
            </w:r>
          </w:p>
        </w:tc>
        <w:tc>
          <w:tcPr>
            <w:tcW w:w="780" w:type="dxa"/>
          </w:tcPr>
          <w:p>
            <w:pPr>
              <w:pStyle w:val="TableParagraph"/>
              <w:ind w:left="108"/>
              <w:rPr>
                <w:sz w:val="24"/>
              </w:rPr>
            </w:pPr>
            <w:r>
              <w:rPr>
                <w:spacing w:val="-10"/>
                <w:sz w:val="24"/>
              </w:rPr>
              <w:t>4</w:t>
            </w:r>
          </w:p>
        </w:tc>
        <w:tc>
          <w:tcPr>
            <w:tcW w:w="877" w:type="dxa"/>
          </w:tcPr>
          <w:p>
            <w:pPr>
              <w:pStyle w:val="TableParagraph"/>
              <w:ind w:left="10"/>
              <w:jc w:val="center"/>
              <w:rPr>
                <w:sz w:val="24"/>
              </w:rPr>
            </w:pPr>
            <w:r>
              <w:rPr>
                <w:spacing w:val="-2"/>
                <w:sz w:val="24"/>
              </w:rPr>
              <w:t>155.23</w:t>
            </w:r>
          </w:p>
        </w:tc>
      </w:tr>
      <w:tr>
        <w:trPr>
          <w:trHeight w:val="299" w:hRule="atLeast"/>
        </w:trPr>
        <w:tc>
          <w:tcPr>
            <w:tcW w:w="511" w:type="dxa"/>
          </w:tcPr>
          <w:p>
            <w:pPr>
              <w:pStyle w:val="TableParagraph"/>
              <w:ind w:left="0" w:right="43"/>
              <w:jc w:val="center"/>
              <w:rPr>
                <w:sz w:val="24"/>
              </w:rPr>
            </w:pPr>
            <w:r>
              <w:rPr>
                <w:spacing w:val="-5"/>
                <w:sz w:val="24"/>
              </w:rPr>
              <w:t>42</w:t>
            </w:r>
          </w:p>
        </w:tc>
        <w:tc>
          <w:tcPr>
            <w:tcW w:w="1004" w:type="dxa"/>
          </w:tcPr>
          <w:p>
            <w:pPr>
              <w:pStyle w:val="TableParagraph"/>
              <w:ind w:left="105"/>
              <w:rPr>
                <w:sz w:val="24"/>
              </w:rPr>
            </w:pPr>
            <w:r>
              <w:rPr>
                <w:spacing w:val="-2"/>
                <w:sz w:val="24"/>
              </w:rPr>
              <w:t>Jun-</w:t>
            </w:r>
            <w:r>
              <w:rPr>
                <w:spacing w:val="-5"/>
                <w:sz w:val="24"/>
              </w:rPr>
              <w:t>23</w:t>
            </w:r>
          </w:p>
        </w:tc>
        <w:tc>
          <w:tcPr>
            <w:tcW w:w="996" w:type="dxa"/>
          </w:tcPr>
          <w:p>
            <w:pPr>
              <w:pStyle w:val="TableParagraph"/>
              <w:ind w:left="105"/>
              <w:rPr>
                <w:sz w:val="24"/>
              </w:rPr>
            </w:pPr>
            <w:r>
              <w:rPr>
                <w:spacing w:val="-2"/>
                <w:sz w:val="24"/>
              </w:rPr>
              <w:t>198.854</w:t>
            </w:r>
          </w:p>
        </w:tc>
        <w:tc>
          <w:tcPr>
            <w:tcW w:w="758" w:type="dxa"/>
          </w:tcPr>
          <w:p>
            <w:pPr>
              <w:pStyle w:val="TableParagraph"/>
              <w:ind w:left="2"/>
              <w:jc w:val="center"/>
              <w:rPr>
                <w:sz w:val="24"/>
              </w:rPr>
            </w:pPr>
            <w:r>
              <w:rPr>
                <w:spacing w:val="-2"/>
                <w:sz w:val="24"/>
              </w:rPr>
              <w:t>127.1</w:t>
            </w:r>
          </w:p>
        </w:tc>
        <w:tc>
          <w:tcPr>
            <w:tcW w:w="1116" w:type="dxa"/>
          </w:tcPr>
          <w:p>
            <w:pPr>
              <w:pStyle w:val="TableParagraph"/>
              <w:ind w:left="11"/>
              <w:jc w:val="center"/>
              <w:rPr>
                <w:sz w:val="24"/>
              </w:rPr>
            </w:pPr>
            <w:r>
              <w:rPr>
                <w:spacing w:val="-2"/>
                <w:sz w:val="24"/>
              </w:rPr>
              <w:t>14932.00</w:t>
            </w:r>
          </w:p>
        </w:tc>
        <w:tc>
          <w:tcPr>
            <w:tcW w:w="780" w:type="dxa"/>
          </w:tcPr>
          <w:p>
            <w:pPr>
              <w:pStyle w:val="TableParagraph"/>
              <w:ind w:left="108"/>
              <w:rPr>
                <w:sz w:val="24"/>
              </w:rPr>
            </w:pPr>
            <w:r>
              <w:rPr>
                <w:spacing w:val="-4"/>
                <w:sz w:val="24"/>
              </w:rPr>
              <w:t>3.52</w:t>
            </w:r>
          </w:p>
        </w:tc>
        <w:tc>
          <w:tcPr>
            <w:tcW w:w="877" w:type="dxa"/>
          </w:tcPr>
          <w:p>
            <w:pPr>
              <w:pStyle w:val="TableParagraph"/>
              <w:ind w:left="10"/>
              <w:jc w:val="center"/>
              <w:rPr>
                <w:sz w:val="24"/>
              </w:rPr>
            </w:pPr>
            <w:r>
              <w:rPr>
                <w:spacing w:val="-2"/>
                <w:sz w:val="24"/>
              </w:rPr>
              <w:t>154.30</w:t>
            </w:r>
          </w:p>
        </w:tc>
      </w:tr>
      <w:tr>
        <w:trPr>
          <w:trHeight w:val="302" w:hRule="atLeast"/>
        </w:trPr>
        <w:tc>
          <w:tcPr>
            <w:tcW w:w="511" w:type="dxa"/>
          </w:tcPr>
          <w:p>
            <w:pPr>
              <w:pStyle w:val="TableParagraph"/>
              <w:spacing w:before="25"/>
              <w:ind w:left="0" w:right="43"/>
              <w:jc w:val="center"/>
              <w:rPr>
                <w:sz w:val="24"/>
              </w:rPr>
            </w:pPr>
            <w:r>
              <w:rPr>
                <w:spacing w:val="-5"/>
                <w:sz w:val="24"/>
              </w:rPr>
              <w:t>43</w:t>
            </w:r>
          </w:p>
        </w:tc>
        <w:tc>
          <w:tcPr>
            <w:tcW w:w="1004" w:type="dxa"/>
          </w:tcPr>
          <w:p>
            <w:pPr>
              <w:pStyle w:val="TableParagraph"/>
              <w:spacing w:before="25"/>
              <w:ind w:left="105"/>
              <w:rPr>
                <w:sz w:val="24"/>
              </w:rPr>
            </w:pPr>
            <w:r>
              <w:rPr>
                <w:sz w:val="24"/>
              </w:rPr>
              <w:t>Jul-</w:t>
            </w:r>
            <w:r>
              <w:rPr>
                <w:spacing w:val="-5"/>
                <w:sz w:val="24"/>
              </w:rPr>
              <w:t>23</w:t>
            </w:r>
          </w:p>
        </w:tc>
        <w:tc>
          <w:tcPr>
            <w:tcW w:w="996" w:type="dxa"/>
          </w:tcPr>
          <w:p>
            <w:pPr>
              <w:pStyle w:val="TableParagraph"/>
              <w:spacing w:before="25"/>
              <w:ind w:left="105"/>
              <w:rPr>
                <w:sz w:val="24"/>
              </w:rPr>
            </w:pPr>
            <w:r>
              <w:rPr>
                <w:spacing w:val="-2"/>
                <w:sz w:val="24"/>
              </w:rPr>
              <w:t>210.355</w:t>
            </w:r>
          </w:p>
        </w:tc>
        <w:tc>
          <w:tcPr>
            <w:tcW w:w="758" w:type="dxa"/>
          </w:tcPr>
          <w:p>
            <w:pPr>
              <w:pStyle w:val="TableParagraph"/>
              <w:spacing w:before="25"/>
              <w:ind w:left="2"/>
              <w:jc w:val="center"/>
              <w:rPr>
                <w:sz w:val="24"/>
              </w:rPr>
            </w:pPr>
            <w:r>
              <w:rPr>
                <w:spacing w:val="-2"/>
                <w:sz w:val="24"/>
              </w:rPr>
              <w:t>123.5</w:t>
            </w:r>
          </w:p>
        </w:tc>
        <w:tc>
          <w:tcPr>
            <w:tcW w:w="1116" w:type="dxa"/>
          </w:tcPr>
          <w:p>
            <w:pPr>
              <w:pStyle w:val="TableParagraph"/>
              <w:spacing w:before="25"/>
              <w:ind w:left="11"/>
              <w:jc w:val="center"/>
              <w:rPr>
                <w:sz w:val="24"/>
              </w:rPr>
            </w:pPr>
            <w:r>
              <w:rPr>
                <w:spacing w:val="-2"/>
                <w:sz w:val="24"/>
              </w:rPr>
              <w:t>15039.75</w:t>
            </w:r>
          </w:p>
        </w:tc>
        <w:tc>
          <w:tcPr>
            <w:tcW w:w="780" w:type="dxa"/>
          </w:tcPr>
          <w:p>
            <w:pPr>
              <w:pStyle w:val="TableParagraph"/>
              <w:spacing w:before="25"/>
              <w:ind w:left="108"/>
              <w:rPr>
                <w:sz w:val="24"/>
              </w:rPr>
            </w:pPr>
            <w:r>
              <w:rPr>
                <w:spacing w:val="-4"/>
                <w:sz w:val="24"/>
              </w:rPr>
              <w:t>3.08</w:t>
            </w:r>
          </w:p>
        </w:tc>
        <w:tc>
          <w:tcPr>
            <w:tcW w:w="877" w:type="dxa"/>
          </w:tcPr>
          <w:p>
            <w:pPr>
              <w:pStyle w:val="TableParagraph"/>
              <w:spacing w:before="25"/>
              <w:ind w:left="10"/>
              <w:jc w:val="center"/>
              <w:rPr>
                <w:sz w:val="24"/>
              </w:rPr>
            </w:pPr>
            <w:r>
              <w:rPr>
                <w:spacing w:val="-2"/>
                <w:sz w:val="24"/>
              </w:rPr>
              <w:t>158.44</w:t>
            </w:r>
          </w:p>
        </w:tc>
      </w:tr>
      <w:tr>
        <w:trPr>
          <w:trHeight w:val="299" w:hRule="atLeast"/>
        </w:trPr>
        <w:tc>
          <w:tcPr>
            <w:tcW w:w="511" w:type="dxa"/>
          </w:tcPr>
          <w:p>
            <w:pPr>
              <w:pStyle w:val="TableParagraph"/>
              <w:ind w:left="0" w:right="43"/>
              <w:jc w:val="center"/>
              <w:rPr>
                <w:sz w:val="24"/>
              </w:rPr>
            </w:pPr>
            <w:r>
              <w:rPr>
                <w:spacing w:val="-5"/>
                <w:sz w:val="24"/>
              </w:rPr>
              <w:t>44</w:t>
            </w:r>
          </w:p>
        </w:tc>
        <w:tc>
          <w:tcPr>
            <w:tcW w:w="1004" w:type="dxa"/>
          </w:tcPr>
          <w:p>
            <w:pPr>
              <w:pStyle w:val="TableParagraph"/>
              <w:ind w:left="105"/>
              <w:rPr>
                <w:sz w:val="24"/>
              </w:rPr>
            </w:pPr>
            <w:r>
              <w:rPr>
                <w:spacing w:val="-2"/>
                <w:sz w:val="24"/>
              </w:rPr>
              <w:t>Aug-</w:t>
            </w:r>
            <w:r>
              <w:rPr>
                <w:spacing w:val="-5"/>
                <w:sz w:val="24"/>
              </w:rPr>
              <w:t>23</w:t>
            </w:r>
          </w:p>
        </w:tc>
        <w:tc>
          <w:tcPr>
            <w:tcW w:w="996" w:type="dxa"/>
          </w:tcPr>
          <w:p>
            <w:pPr>
              <w:pStyle w:val="TableParagraph"/>
              <w:ind w:left="105"/>
              <w:rPr>
                <w:sz w:val="24"/>
              </w:rPr>
            </w:pPr>
            <w:r>
              <w:rPr>
                <w:spacing w:val="-2"/>
                <w:sz w:val="24"/>
              </w:rPr>
              <w:t>212.986</w:t>
            </w:r>
          </w:p>
        </w:tc>
        <w:tc>
          <w:tcPr>
            <w:tcW w:w="758" w:type="dxa"/>
          </w:tcPr>
          <w:p>
            <w:pPr>
              <w:pStyle w:val="TableParagraph"/>
              <w:ind w:left="2"/>
              <w:jc w:val="center"/>
              <w:rPr>
                <w:sz w:val="24"/>
              </w:rPr>
            </w:pPr>
            <w:r>
              <w:rPr>
                <w:spacing w:val="-2"/>
                <w:sz w:val="24"/>
              </w:rPr>
              <w:t>125.2</w:t>
            </w:r>
          </w:p>
        </w:tc>
        <w:tc>
          <w:tcPr>
            <w:tcW w:w="1116" w:type="dxa"/>
          </w:tcPr>
          <w:p>
            <w:pPr>
              <w:pStyle w:val="TableParagraph"/>
              <w:ind w:left="11"/>
              <w:jc w:val="center"/>
              <w:rPr>
                <w:sz w:val="24"/>
              </w:rPr>
            </w:pPr>
            <w:r>
              <w:rPr>
                <w:spacing w:val="-2"/>
                <w:sz w:val="24"/>
              </w:rPr>
              <w:t>15245.14</w:t>
            </w:r>
          </w:p>
        </w:tc>
        <w:tc>
          <w:tcPr>
            <w:tcW w:w="780" w:type="dxa"/>
          </w:tcPr>
          <w:p>
            <w:pPr>
              <w:pStyle w:val="TableParagraph"/>
              <w:ind w:left="108"/>
              <w:rPr>
                <w:sz w:val="24"/>
              </w:rPr>
            </w:pPr>
            <w:r>
              <w:rPr>
                <w:spacing w:val="-4"/>
                <w:sz w:val="24"/>
              </w:rPr>
              <w:t>3.27</w:t>
            </w:r>
          </w:p>
        </w:tc>
        <w:tc>
          <w:tcPr>
            <w:tcW w:w="877" w:type="dxa"/>
          </w:tcPr>
          <w:p>
            <w:pPr>
              <w:pStyle w:val="TableParagraph"/>
              <w:ind w:left="10"/>
              <w:jc w:val="center"/>
              <w:rPr>
                <w:sz w:val="24"/>
              </w:rPr>
            </w:pPr>
            <w:r>
              <w:rPr>
                <w:spacing w:val="-2"/>
                <w:sz w:val="24"/>
              </w:rPr>
              <w:t>162.67</w:t>
            </w:r>
          </w:p>
        </w:tc>
      </w:tr>
      <w:tr>
        <w:trPr>
          <w:trHeight w:val="299" w:hRule="atLeast"/>
        </w:trPr>
        <w:tc>
          <w:tcPr>
            <w:tcW w:w="511" w:type="dxa"/>
          </w:tcPr>
          <w:p>
            <w:pPr>
              <w:pStyle w:val="TableParagraph"/>
              <w:ind w:left="0" w:right="43"/>
              <w:jc w:val="center"/>
              <w:rPr>
                <w:sz w:val="24"/>
              </w:rPr>
            </w:pPr>
            <w:r>
              <w:rPr>
                <w:spacing w:val="-5"/>
                <w:sz w:val="24"/>
              </w:rPr>
              <w:t>45</w:t>
            </w:r>
          </w:p>
        </w:tc>
        <w:tc>
          <w:tcPr>
            <w:tcW w:w="1004" w:type="dxa"/>
          </w:tcPr>
          <w:p>
            <w:pPr>
              <w:pStyle w:val="TableParagraph"/>
              <w:ind w:left="105"/>
              <w:rPr>
                <w:sz w:val="24"/>
              </w:rPr>
            </w:pPr>
            <w:r>
              <w:rPr>
                <w:spacing w:val="-2"/>
                <w:sz w:val="24"/>
              </w:rPr>
              <w:t>Sep-</w:t>
            </w:r>
            <w:r>
              <w:rPr>
                <w:spacing w:val="-5"/>
                <w:sz w:val="24"/>
              </w:rPr>
              <w:t>23</w:t>
            </w:r>
          </w:p>
        </w:tc>
        <w:tc>
          <w:tcPr>
            <w:tcW w:w="996" w:type="dxa"/>
          </w:tcPr>
          <w:p>
            <w:pPr>
              <w:pStyle w:val="TableParagraph"/>
              <w:ind w:left="105"/>
              <w:rPr>
                <w:sz w:val="24"/>
              </w:rPr>
            </w:pPr>
            <w:r>
              <w:rPr>
                <w:spacing w:val="-2"/>
                <w:sz w:val="24"/>
              </w:rPr>
              <w:t>216.988</w:t>
            </w:r>
          </w:p>
        </w:tc>
        <w:tc>
          <w:tcPr>
            <w:tcW w:w="758" w:type="dxa"/>
          </w:tcPr>
          <w:p>
            <w:pPr>
              <w:pStyle w:val="TableParagraph"/>
              <w:ind w:left="2"/>
              <w:jc w:val="center"/>
              <w:rPr>
                <w:sz w:val="24"/>
              </w:rPr>
            </w:pPr>
            <w:r>
              <w:rPr>
                <w:spacing w:val="-2"/>
                <w:sz w:val="24"/>
              </w:rPr>
              <w:t>121.7</w:t>
            </w:r>
          </w:p>
        </w:tc>
        <w:tc>
          <w:tcPr>
            <w:tcW w:w="1116" w:type="dxa"/>
          </w:tcPr>
          <w:p>
            <w:pPr>
              <w:pStyle w:val="TableParagraph"/>
              <w:ind w:left="11"/>
              <w:jc w:val="center"/>
              <w:rPr>
                <w:sz w:val="24"/>
              </w:rPr>
            </w:pPr>
            <w:r>
              <w:rPr>
                <w:spacing w:val="-2"/>
                <w:sz w:val="24"/>
              </w:rPr>
              <w:t>15354.20</w:t>
            </w:r>
          </w:p>
        </w:tc>
        <w:tc>
          <w:tcPr>
            <w:tcW w:w="780" w:type="dxa"/>
          </w:tcPr>
          <w:p>
            <w:pPr>
              <w:pStyle w:val="TableParagraph"/>
              <w:ind w:left="108"/>
              <w:rPr>
                <w:sz w:val="24"/>
              </w:rPr>
            </w:pPr>
            <w:r>
              <w:rPr>
                <w:spacing w:val="-4"/>
                <w:sz w:val="24"/>
              </w:rPr>
              <w:t>2.28</w:t>
            </w:r>
          </w:p>
        </w:tc>
        <w:tc>
          <w:tcPr>
            <w:tcW w:w="877" w:type="dxa"/>
          </w:tcPr>
          <w:p>
            <w:pPr>
              <w:pStyle w:val="TableParagraph"/>
              <w:ind w:left="10"/>
              <w:jc w:val="center"/>
              <w:rPr>
                <w:sz w:val="24"/>
              </w:rPr>
            </w:pPr>
            <w:r>
              <w:rPr>
                <w:spacing w:val="-2"/>
                <w:sz w:val="24"/>
              </w:rPr>
              <w:t>158.08</w:t>
            </w:r>
          </w:p>
        </w:tc>
      </w:tr>
      <w:tr>
        <w:trPr>
          <w:trHeight w:val="299" w:hRule="atLeast"/>
        </w:trPr>
        <w:tc>
          <w:tcPr>
            <w:tcW w:w="511" w:type="dxa"/>
          </w:tcPr>
          <w:p>
            <w:pPr>
              <w:pStyle w:val="TableParagraph"/>
              <w:ind w:left="0" w:right="43"/>
              <w:jc w:val="center"/>
              <w:rPr>
                <w:sz w:val="24"/>
              </w:rPr>
            </w:pPr>
            <w:r>
              <w:rPr>
                <w:spacing w:val="-5"/>
                <w:sz w:val="24"/>
              </w:rPr>
              <w:t>46</w:t>
            </w:r>
          </w:p>
        </w:tc>
        <w:tc>
          <w:tcPr>
            <w:tcW w:w="1004" w:type="dxa"/>
          </w:tcPr>
          <w:p>
            <w:pPr>
              <w:pStyle w:val="TableParagraph"/>
              <w:ind w:left="105"/>
              <w:rPr>
                <w:sz w:val="24"/>
              </w:rPr>
            </w:pPr>
            <w:r>
              <w:rPr>
                <w:spacing w:val="-2"/>
                <w:sz w:val="24"/>
              </w:rPr>
              <w:t>Oct-</w:t>
            </w:r>
            <w:r>
              <w:rPr>
                <w:spacing w:val="-5"/>
                <w:sz w:val="24"/>
              </w:rPr>
              <w:t>23</w:t>
            </w:r>
          </w:p>
        </w:tc>
        <w:tc>
          <w:tcPr>
            <w:tcW w:w="996" w:type="dxa"/>
          </w:tcPr>
          <w:p>
            <w:pPr>
              <w:pStyle w:val="TableParagraph"/>
              <w:ind w:left="105"/>
              <w:rPr>
                <w:sz w:val="24"/>
              </w:rPr>
            </w:pPr>
            <w:r>
              <w:rPr>
                <w:spacing w:val="-2"/>
                <w:sz w:val="24"/>
              </w:rPr>
              <w:t>207.126</w:t>
            </w:r>
          </w:p>
        </w:tc>
        <w:tc>
          <w:tcPr>
            <w:tcW w:w="758" w:type="dxa"/>
          </w:tcPr>
          <w:p>
            <w:pPr>
              <w:pStyle w:val="TableParagraph"/>
              <w:ind w:left="2"/>
              <w:jc w:val="center"/>
              <w:rPr>
                <w:sz w:val="24"/>
              </w:rPr>
            </w:pPr>
            <w:r>
              <w:rPr>
                <w:spacing w:val="-2"/>
                <w:sz w:val="24"/>
              </w:rPr>
              <w:t>124.3</w:t>
            </w:r>
          </w:p>
        </w:tc>
        <w:tc>
          <w:tcPr>
            <w:tcW w:w="1116" w:type="dxa"/>
          </w:tcPr>
          <w:p>
            <w:pPr>
              <w:pStyle w:val="TableParagraph"/>
              <w:ind w:left="11"/>
              <w:jc w:val="center"/>
              <w:rPr>
                <w:sz w:val="24"/>
              </w:rPr>
            </w:pPr>
            <w:r>
              <w:rPr>
                <w:spacing w:val="-2"/>
                <w:sz w:val="24"/>
              </w:rPr>
              <w:t>15741.23</w:t>
            </w:r>
          </w:p>
        </w:tc>
        <w:tc>
          <w:tcPr>
            <w:tcW w:w="780" w:type="dxa"/>
          </w:tcPr>
          <w:p>
            <w:pPr>
              <w:pStyle w:val="TableParagraph"/>
              <w:ind w:left="108"/>
              <w:rPr>
                <w:sz w:val="24"/>
              </w:rPr>
            </w:pPr>
            <w:r>
              <w:rPr>
                <w:spacing w:val="-4"/>
                <w:sz w:val="24"/>
              </w:rPr>
              <w:t>2.56</w:t>
            </w:r>
          </w:p>
        </w:tc>
        <w:tc>
          <w:tcPr>
            <w:tcW w:w="877" w:type="dxa"/>
          </w:tcPr>
          <w:p>
            <w:pPr>
              <w:pStyle w:val="TableParagraph"/>
              <w:ind w:left="10"/>
              <w:jc w:val="center"/>
              <w:rPr>
                <w:sz w:val="24"/>
              </w:rPr>
            </w:pPr>
            <w:r>
              <w:rPr>
                <w:spacing w:val="-2"/>
                <w:sz w:val="24"/>
              </w:rPr>
              <w:t>161.29</w:t>
            </w:r>
          </w:p>
        </w:tc>
      </w:tr>
      <w:tr>
        <w:trPr>
          <w:trHeight w:val="299" w:hRule="atLeast"/>
        </w:trPr>
        <w:tc>
          <w:tcPr>
            <w:tcW w:w="511" w:type="dxa"/>
          </w:tcPr>
          <w:p>
            <w:pPr>
              <w:pStyle w:val="TableParagraph"/>
              <w:ind w:left="0" w:right="43"/>
              <w:jc w:val="center"/>
              <w:rPr>
                <w:sz w:val="24"/>
              </w:rPr>
            </w:pPr>
            <w:r>
              <w:rPr>
                <w:spacing w:val="-5"/>
                <w:sz w:val="24"/>
              </w:rPr>
              <w:t>47</w:t>
            </w:r>
          </w:p>
        </w:tc>
        <w:tc>
          <w:tcPr>
            <w:tcW w:w="1004" w:type="dxa"/>
          </w:tcPr>
          <w:p>
            <w:pPr>
              <w:pStyle w:val="TableParagraph"/>
              <w:ind w:left="105"/>
              <w:rPr>
                <w:sz w:val="24"/>
              </w:rPr>
            </w:pPr>
            <w:r>
              <w:rPr>
                <w:spacing w:val="-2"/>
                <w:sz w:val="24"/>
              </w:rPr>
              <w:t>Nov-</w:t>
            </w:r>
            <w:r>
              <w:rPr>
                <w:spacing w:val="-5"/>
                <w:sz w:val="24"/>
              </w:rPr>
              <w:t>23</w:t>
            </w:r>
          </w:p>
        </w:tc>
        <w:tc>
          <w:tcPr>
            <w:tcW w:w="996" w:type="dxa"/>
          </w:tcPr>
          <w:p>
            <w:pPr>
              <w:pStyle w:val="TableParagraph"/>
              <w:ind w:left="105"/>
              <w:rPr>
                <w:sz w:val="24"/>
              </w:rPr>
            </w:pPr>
            <w:r>
              <w:rPr>
                <w:spacing w:val="-2"/>
                <w:sz w:val="24"/>
              </w:rPr>
              <w:t>209.675</w:t>
            </w:r>
          </w:p>
        </w:tc>
        <w:tc>
          <w:tcPr>
            <w:tcW w:w="758" w:type="dxa"/>
          </w:tcPr>
          <w:p>
            <w:pPr>
              <w:pStyle w:val="TableParagraph"/>
              <w:ind w:left="2"/>
              <w:jc w:val="center"/>
              <w:rPr>
                <w:sz w:val="24"/>
              </w:rPr>
            </w:pPr>
            <w:r>
              <w:rPr>
                <w:spacing w:val="-2"/>
                <w:sz w:val="24"/>
              </w:rPr>
              <w:t>123.6</w:t>
            </w:r>
          </w:p>
        </w:tc>
        <w:tc>
          <w:tcPr>
            <w:tcW w:w="1116" w:type="dxa"/>
          </w:tcPr>
          <w:p>
            <w:pPr>
              <w:pStyle w:val="TableParagraph"/>
              <w:ind w:left="11"/>
              <w:jc w:val="center"/>
              <w:rPr>
                <w:sz w:val="24"/>
              </w:rPr>
            </w:pPr>
            <w:r>
              <w:rPr>
                <w:spacing w:val="-2"/>
                <w:sz w:val="24"/>
              </w:rPr>
              <w:t>15617.41</w:t>
            </w:r>
          </w:p>
        </w:tc>
        <w:tc>
          <w:tcPr>
            <w:tcW w:w="780" w:type="dxa"/>
          </w:tcPr>
          <w:p>
            <w:pPr>
              <w:pStyle w:val="TableParagraph"/>
              <w:ind w:left="108"/>
              <w:rPr>
                <w:sz w:val="24"/>
              </w:rPr>
            </w:pPr>
            <w:r>
              <w:rPr>
                <w:spacing w:val="-4"/>
                <w:sz w:val="24"/>
              </w:rPr>
              <w:t>2.86</w:t>
            </w:r>
          </w:p>
        </w:tc>
        <w:tc>
          <w:tcPr>
            <w:tcW w:w="877" w:type="dxa"/>
          </w:tcPr>
          <w:p>
            <w:pPr>
              <w:pStyle w:val="TableParagraph"/>
              <w:ind w:left="10"/>
              <w:jc w:val="center"/>
              <w:rPr>
                <w:sz w:val="24"/>
              </w:rPr>
            </w:pPr>
            <w:r>
              <w:rPr>
                <w:spacing w:val="-2"/>
                <w:sz w:val="24"/>
              </w:rPr>
              <w:t>157.47</w:t>
            </w:r>
          </w:p>
        </w:tc>
      </w:tr>
      <w:tr>
        <w:trPr>
          <w:trHeight w:val="299" w:hRule="atLeast"/>
        </w:trPr>
        <w:tc>
          <w:tcPr>
            <w:tcW w:w="511" w:type="dxa"/>
          </w:tcPr>
          <w:p>
            <w:pPr>
              <w:pStyle w:val="TableParagraph"/>
              <w:ind w:left="0" w:right="43"/>
              <w:jc w:val="center"/>
              <w:rPr>
                <w:sz w:val="24"/>
              </w:rPr>
            </w:pPr>
            <w:r>
              <w:rPr>
                <w:spacing w:val="-5"/>
                <w:sz w:val="24"/>
              </w:rPr>
              <w:t>48</w:t>
            </w:r>
          </w:p>
        </w:tc>
        <w:tc>
          <w:tcPr>
            <w:tcW w:w="1004" w:type="dxa"/>
          </w:tcPr>
          <w:p>
            <w:pPr>
              <w:pStyle w:val="TableParagraph"/>
              <w:ind w:left="105"/>
              <w:rPr>
                <w:sz w:val="24"/>
              </w:rPr>
            </w:pPr>
            <w:r>
              <w:rPr>
                <w:spacing w:val="-2"/>
                <w:sz w:val="24"/>
              </w:rPr>
              <w:t>Dec-</w:t>
            </w:r>
            <w:r>
              <w:rPr>
                <w:spacing w:val="-5"/>
                <w:sz w:val="24"/>
              </w:rPr>
              <w:t>23</w:t>
            </w:r>
          </w:p>
        </w:tc>
        <w:tc>
          <w:tcPr>
            <w:tcW w:w="996" w:type="dxa"/>
          </w:tcPr>
          <w:p>
            <w:pPr>
              <w:pStyle w:val="TableParagraph"/>
              <w:ind w:left="105"/>
              <w:rPr>
                <w:sz w:val="24"/>
              </w:rPr>
            </w:pPr>
            <w:r>
              <w:rPr>
                <w:spacing w:val="-2"/>
                <w:sz w:val="24"/>
              </w:rPr>
              <w:t>212.643</w:t>
            </w:r>
          </w:p>
        </w:tc>
        <w:tc>
          <w:tcPr>
            <w:tcW w:w="758" w:type="dxa"/>
          </w:tcPr>
          <w:p>
            <w:pPr>
              <w:pStyle w:val="TableParagraph"/>
              <w:ind w:left="2"/>
              <w:jc w:val="center"/>
              <w:rPr>
                <w:sz w:val="24"/>
              </w:rPr>
            </w:pPr>
            <w:r>
              <w:rPr>
                <w:spacing w:val="-2"/>
                <w:sz w:val="24"/>
              </w:rPr>
              <w:t>123.8</w:t>
            </w:r>
          </w:p>
        </w:tc>
        <w:tc>
          <w:tcPr>
            <w:tcW w:w="1116" w:type="dxa"/>
          </w:tcPr>
          <w:p>
            <w:pPr>
              <w:pStyle w:val="TableParagraph"/>
              <w:ind w:left="11"/>
              <w:jc w:val="center"/>
              <w:rPr>
                <w:sz w:val="24"/>
              </w:rPr>
            </w:pPr>
            <w:r>
              <w:rPr>
                <w:spacing w:val="-2"/>
                <w:sz w:val="24"/>
              </w:rPr>
              <w:t>15513.37</w:t>
            </w:r>
          </w:p>
        </w:tc>
        <w:tc>
          <w:tcPr>
            <w:tcW w:w="780" w:type="dxa"/>
          </w:tcPr>
          <w:p>
            <w:pPr>
              <w:pStyle w:val="TableParagraph"/>
              <w:ind w:left="108"/>
              <w:rPr>
                <w:sz w:val="24"/>
              </w:rPr>
            </w:pPr>
            <w:r>
              <w:rPr>
                <w:spacing w:val="-4"/>
                <w:sz w:val="24"/>
              </w:rPr>
              <w:t>2.61</w:t>
            </w:r>
          </w:p>
        </w:tc>
        <w:tc>
          <w:tcPr>
            <w:tcW w:w="877" w:type="dxa"/>
          </w:tcPr>
          <w:p>
            <w:pPr>
              <w:pStyle w:val="TableParagraph"/>
              <w:ind w:left="10"/>
              <w:jc w:val="center"/>
              <w:rPr>
                <w:sz w:val="24"/>
              </w:rPr>
            </w:pPr>
            <w:r>
              <w:rPr>
                <w:spacing w:val="-2"/>
                <w:sz w:val="24"/>
              </w:rPr>
              <w:t>153.45</w:t>
            </w:r>
          </w:p>
        </w:tc>
      </w:tr>
      <w:tr>
        <w:trPr>
          <w:trHeight w:val="302" w:hRule="atLeast"/>
        </w:trPr>
        <w:tc>
          <w:tcPr>
            <w:tcW w:w="511" w:type="dxa"/>
          </w:tcPr>
          <w:p>
            <w:pPr>
              <w:pStyle w:val="TableParagraph"/>
              <w:spacing w:before="25"/>
              <w:ind w:left="0" w:right="43"/>
              <w:jc w:val="center"/>
              <w:rPr>
                <w:sz w:val="24"/>
              </w:rPr>
            </w:pPr>
            <w:r>
              <w:rPr>
                <w:spacing w:val="-5"/>
                <w:sz w:val="24"/>
              </w:rPr>
              <w:t>49</w:t>
            </w:r>
          </w:p>
        </w:tc>
        <w:tc>
          <w:tcPr>
            <w:tcW w:w="1004" w:type="dxa"/>
          </w:tcPr>
          <w:p>
            <w:pPr>
              <w:pStyle w:val="TableParagraph"/>
              <w:spacing w:before="25"/>
              <w:ind w:left="105"/>
              <w:rPr>
                <w:sz w:val="24"/>
              </w:rPr>
            </w:pPr>
            <w:r>
              <w:rPr>
                <w:spacing w:val="-2"/>
                <w:sz w:val="24"/>
              </w:rPr>
              <w:t>Jan-</w:t>
            </w:r>
            <w:r>
              <w:rPr>
                <w:spacing w:val="-5"/>
                <w:sz w:val="24"/>
              </w:rPr>
              <w:t>24</w:t>
            </w:r>
          </w:p>
        </w:tc>
        <w:tc>
          <w:tcPr>
            <w:tcW w:w="996" w:type="dxa"/>
          </w:tcPr>
          <w:p>
            <w:pPr>
              <w:pStyle w:val="TableParagraph"/>
              <w:spacing w:before="25"/>
              <w:ind w:left="105"/>
              <w:rPr>
                <w:sz w:val="24"/>
              </w:rPr>
            </w:pPr>
            <w:r>
              <w:rPr>
                <w:spacing w:val="-2"/>
                <w:sz w:val="24"/>
              </w:rPr>
              <w:t>211.474</w:t>
            </w:r>
          </w:p>
        </w:tc>
        <w:tc>
          <w:tcPr>
            <w:tcW w:w="758" w:type="dxa"/>
          </w:tcPr>
          <w:p>
            <w:pPr>
              <w:pStyle w:val="TableParagraph"/>
              <w:spacing w:before="25"/>
              <w:ind w:left="2"/>
              <w:jc w:val="center"/>
              <w:rPr>
                <w:sz w:val="24"/>
              </w:rPr>
            </w:pPr>
            <w:r>
              <w:rPr>
                <w:spacing w:val="-2"/>
                <w:sz w:val="24"/>
              </w:rPr>
              <w:t>125.0</w:t>
            </w:r>
          </w:p>
        </w:tc>
        <w:tc>
          <w:tcPr>
            <w:tcW w:w="1116" w:type="dxa"/>
          </w:tcPr>
          <w:p>
            <w:pPr>
              <w:pStyle w:val="TableParagraph"/>
              <w:spacing w:before="25"/>
              <w:ind w:left="11"/>
              <w:jc w:val="center"/>
              <w:rPr>
                <w:sz w:val="24"/>
              </w:rPr>
            </w:pPr>
            <w:r>
              <w:rPr>
                <w:spacing w:val="-2"/>
                <w:sz w:val="24"/>
              </w:rPr>
              <w:t>15610.82</w:t>
            </w:r>
          </w:p>
        </w:tc>
        <w:tc>
          <w:tcPr>
            <w:tcW w:w="780" w:type="dxa"/>
          </w:tcPr>
          <w:p>
            <w:pPr>
              <w:pStyle w:val="TableParagraph"/>
              <w:spacing w:before="25"/>
              <w:ind w:left="108"/>
              <w:rPr>
                <w:sz w:val="24"/>
              </w:rPr>
            </w:pPr>
            <w:r>
              <w:rPr>
                <w:spacing w:val="-4"/>
                <w:sz w:val="24"/>
              </w:rPr>
              <w:t>2.57</w:t>
            </w:r>
          </w:p>
        </w:tc>
        <w:tc>
          <w:tcPr>
            <w:tcW w:w="877" w:type="dxa"/>
          </w:tcPr>
          <w:p>
            <w:pPr>
              <w:pStyle w:val="TableParagraph"/>
              <w:spacing w:before="25"/>
              <w:ind w:left="10"/>
              <w:jc w:val="center"/>
              <w:rPr>
                <w:sz w:val="24"/>
              </w:rPr>
            </w:pPr>
            <w:r>
              <w:rPr>
                <w:spacing w:val="-2"/>
                <w:sz w:val="24"/>
              </w:rPr>
              <w:t>155.06</w:t>
            </w:r>
          </w:p>
        </w:tc>
      </w:tr>
      <w:tr>
        <w:trPr>
          <w:trHeight w:val="299" w:hRule="atLeast"/>
        </w:trPr>
        <w:tc>
          <w:tcPr>
            <w:tcW w:w="511" w:type="dxa"/>
          </w:tcPr>
          <w:p>
            <w:pPr>
              <w:pStyle w:val="TableParagraph"/>
              <w:ind w:left="0" w:right="43"/>
              <w:jc w:val="center"/>
              <w:rPr>
                <w:sz w:val="24"/>
              </w:rPr>
            </w:pPr>
            <w:r>
              <w:rPr>
                <w:spacing w:val="-5"/>
                <w:sz w:val="24"/>
              </w:rPr>
              <w:t>50</w:t>
            </w:r>
          </w:p>
        </w:tc>
        <w:tc>
          <w:tcPr>
            <w:tcW w:w="1004" w:type="dxa"/>
          </w:tcPr>
          <w:p>
            <w:pPr>
              <w:pStyle w:val="TableParagraph"/>
              <w:ind w:left="105"/>
              <w:rPr>
                <w:sz w:val="24"/>
              </w:rPr>
            </w:pPr>
            <w:r>
              <w:rPr>
                <w:spacing w:val="-2"/>
                <w:sz w:val="24"/>
              </w:rPr>
              <w:t>Feb-</w:t>
            </w:r>
            <w:r>
              <w:rPr>
                <w:spacing w:val="-5"/>
                <w:sz w:val="24"/>
              </w:rPr>
              <w:t>24</w:t>
            </w:r>
          </w:p>
        </w:tc>
        <w:tc>
          <w:tcPr>
            <w:tcW w:w="996" w:type="dxa"/>
          </w:tcPr>
          <w:p>
            <w:pPr>
              <w:pStyle w:val="TableParagraph"/>
              <w:ind w:left="105"/>
              <w:rPr>
                <w:sz w:val="24"/>
              </w:rPr>
            </w:pPr>
            <w:r>
              <w:rPr>
                <w:spacing w:val="-2"/>
                <w:sz w:val="24"/>
              </w:rPr>
              <w:t>209.641</w:t>
            </w:r>
          </w:p>
        </w:tc>
        <w:tc>
          <w:tcPr>
            <w:tcW w:w="758" w:type="dxa"/>
          </w:tcPr>
          <w:p>
            <w:pPr>
              <w:pStyle w:val="TableParagraph"/>
              <w:ind w:left="2"/>
              <w:jc w:val="center"/>
              <w:rPr>
                <w:sz w:val="24"/>
              </w:rPr>
            </w:pPr>
            <w:r>
              <w:rPr>
                <w:spacing w:val="-2"/>
                <w:sz w:val="24"/>
              </w:rPr>
              <w:t>123.1</w:t>
            </w:r>
          </w:p>
        </w:tc>
        <w:tc>
          <w:tcPr>
            <w:tcW w:w="1116" w:type="dxa"/>
          </w:tcPr>
          <w:p>
            <w:pPr>
              <w:pStyle w:val="TableParagraph"/>
              <w:ind w:left="11"/>
              <w:jc w:val="center"/>
              <w:rPr>
                <w:sz w:val="24"/>
              </w:rPr>
            </w:pPr>
            <w:r>
              <w:rPr>
                <w:spacing w:val="-2"/>
                <w:sz w:val="24"/>
              </w:rPr>
              <w:t>15665.33</w:t>
            </w:r>
          </w:p>
        </w:tc>
        <w:tc>
          <w:tcPr>
            <w:tcW w:w="780" w:type="dxa"/>
          </w:tcPr>
          <w:p>
            <w:pPr>
              <w:pStyle w:val="TableParagraph"/>
              <w:ind w:left="108"/>
              <w:rPr>
                <w:sz w:val="24"/>
              </w:rPr>
            </w:pPr>
            <w:r>
              <w:rPr>
                <w:spacing w:val="-4"/>
                <w:sz w:val="24"/>
              </w:rPr>
              <w:t>2.75</w:t>
            </w:r>
          </w:p>
        </w:tc>
        <w:tc>
          <w:tcPr>
            <w:tcW w:w="877" w:type="dxa"/>
          </w:tcPr>
          <w:p>
            <w:pPr>
              <w:pStyle w:val="TableParagraph"/>
              <w:ind w:left="10"/>
              <w:jc w:val="center"/>
              <w:rPr>
                <w:sz w:val="24"/>
              </w:rPr>
            </w:pPr>
            <w:r>
              <w:rPr>
                <w:spacing w:val="-2"/>
                <w:sz w:val="24"/>
              </w:rPr>
              <w:t>146.07</w:t>
            </w:r>
          </w:p>
        </w:tc>
      </w:tr>
      <w:tr>
        <w:trPr>
          <w:trHeight w:val="299" w:hRule="atLeast"/>
        </w:trPr>
        <w:tc>
          <w:tcPr>
            <w:tcW w:w="511" w:type="dxa"/>
          </w:tcPr>
          <w:p>
            <w:pPr>
              <w:pStyle w:val="TableParagraph"/>
              <w:ind w:left="0" w:right="43"/>
              <w:jc w:val="center"/>
              <w:rPr>
                <w:sz w:val="24"/>
              </w:rPr>
            </w:pPr>
            <w:r>
              <w:rPr>
                <w:spacing w:val="-5"/>
                <w:sz w:val="24"/>
              </w:rPr>
              <w:t>51</w:t>
            </w:r>
          </w:p>
        </w:tc>
        <w:tc>
          <w:tcPr>
            <w:tcW w:w="1004" w:type="dxa"/>
          </w:tcPr>
          <w:p>
            <w:pPr>
              <w:pStyle w:val="TableParagraph"/>
              <w:ind w:left="105"/>
              <w:rPr>
                <w:sz w:val="24"/>
              </w:rPr>
            </w:pPr>
            <w:r>
              <w:rPr>
                <w:spacing w:val="-2"/>
                <w:sz w:val="24"/>
              </w:rPr>
              <w:t>Mar-</w:t>
            </w:r>
            <w:r>
              <w:rPr>
                <w:spacing w:val="-5"/>
                <w:sz w:val="24"/>
              </w:rPr>
              <w:t>24</w:t>
            </w:r>
          </w:p>
        </w:tc>
        <w:tc>
          <w:tcPr>
            <w:tcW w:w="996" w:type="dxa"/>
          </w:tcPr>
          <w:p>
            <w:pPr>
              <w:pStyle w:val="TableParagraph"/>
              <w:ind w:left="105"/>
              <w:rPr>
                <w:sz w:val="24"/>
              </w:rPr>
            </w:pPr>
            <w:r>
              <w:rPr>
                <w:spacing w:val="-2"/>
                <w:sz w:val="24"/>
              </w:rPr>
              <w:t>209.642</w:t>
            </w:r>
          </w:p>
        </w:tc>
        <w:tc>
          <w:tcPr>
            <w:tcW w:w="758" w:type="dxa"/>
          </w:tcPr>
          <w:p>
            <w:pPr>
              <w:pStyle w:val="TableParagraph"/>
              <w:ind w:left="2"/>
              <w:jc w:val="center"/>
              <w:rPr>
                <w:sz w:val="24"/>
              </w:rPr>
            </w:pPr>
            <w:r>
              <w:rPr>
                <w:spacing w:val="-2"/>
                <w:sz w:val="24"/>
              </w:rPr>
              <w:t>123.8</w:t>
            </w:r>
          </w:p>
        </w:tc>
        <w:tc>
          <w:tcPr>
            <w:tcW w:w="1116" w:type="dxa"/>
          </w:tcPr>
          <w:p>
            <w:pPr>
              <w:pStyle w:val="TableParagraph"/>
              <w:ind w:left="11"/>
              <w:jc w:val="center"/>
              <w:rPr>
                <w:sz w:val="24"/>
              </w:rPr>
            </w:pPr>
            <w:r>
              <w:rPr>
                <w:spacing w:val="-2"/>
                <w:sz w:val="24"/>
              </w:rPr>
              <w:t>15702.61</w:t>
            </w:r>
          </w:p>
        </w:tc>
        <w:tc>
          <w:tcPr>
            <w:tcW w:w="780" w:type="dxa"/>
          </w:tcPr>
          <w:p>
            <w:pPr>
              <w:pStyle w:val="TableParagraph"/>
              <w:ind w:left="108"/>
              <w:rPr>
                <w:sz w:val="24"/>
              </w:rPr>
            </w:pPr>
            <w:r>
              <w:rPr>
                <w:spacing w:val="-4"/>
                <w:sz w:val="24"/>
              </w:rPr>
              <w:t>3.05</w:t>
            </w:r>
          </w:p>
        </w:tc>
        <w:tc>
          <w:tcPr>
            <w:tcW w:w="877" w:type="dxa"/>
          </w:tcPr>
          <w:p>
            <w:pPr>
              <w:pStyle w:val="TableParagraph"/>
              <w:ind w:left="10"/>
              <w:jc w:val="center"/>
              <w:rPr>
                <w:sz w:val="24"/>
              </w:rPr>
            </w:pPr>
            <w:r>
              <w:rPr>
                <w:spacing w:val="-2"/>
                <w:sz w:val="24"/>
              </w:rPr>
              <w:t>155.12</w:t>
            </w:r>
          </w:p>
        </w:tc>
      </w:tr>
      <w:tr>
        <w:trPr>
          <w:trHeight w:val="300" w:hRule="atLeast"/>
        </w:trPr>
        <w:tc>
          <w:tcPr>
            <w:tcW w:w="511" w:type="dxa"/>
          </w:tcPr>
          <w:p>
            <w:pPr>
              <w:pStyle w:val="TableParagraph"/>
              <w:ind w:left="0" w:right="43"/>
              <w:jc w:val="center"/>
              <w:rPr>
                <w:sz w:val="24"/>
              </w:rPr>
            </w:pPr>
            <w:r>
              <w:rPr>
                <w:spacing w:val="-5"/>
                <w:sz w:val="24"/>
              </w:rPr>
              <w:t>52</w:t>
            </w:r>
          </w:p>
        </w:tc>
        <w:tc>
          <w:tcPr>
            <w:tcW w:w="1004" w:type="dxa"/>
          </w:tcPr>
          <w:p>
            <w:pPr>
              <w:pStyle w:val="TableParagraph"/>
              <w:ind w:left="105"/>
              <w:rPr>
                <w:sz w:val="24"/>
              </w:rPr>
            </w:pPr>
            <w:r>
              <w:rPr>
                <w:spacing w:val="-2"/>
                <w:sz w:val="24"/>
              </w:rPr>
              <w:t>Apr-</w:t>
            </w:r>
            <w:r>
              <w:rPr>
                <w:spacing w:val="-5"/>
                <w:sz w:val="24"/>
              </w:rPr>
              <w:t>24</w:t>
            </w:r>
          </w:p>
        </w:tc>
        <w:tc>
          <w:tcPr>
            <w:tcW w:w="996" w:type="dxa"/>
          </w:tcPr>
          <w:p>
            <w:pPr>
              <w:pStyle w:val="TableParagraph"/>
              <w:ind w:left="105"/>
              <w:rPr>
                <w:sz w:val="24"/>
              </w:rPr>
            </w:pPr>
            <w:r>
              <w:rPr>
                <w:spacing w:val="-2"/>
                <w:sz w:val="24"/>
              </w:rPr>
              <w:t>212.227</w:t>
            </w:r>
          </w:p>
        </w:tc>
        <w:tc>
          <w:tcPr>
            <w:tcW w:w="758" w:type="dxa"/>
          </w:tcPr>
          <w:p>
            <w:pPr>
              <w:pStyle w:val="TableParagraph"/>
              <w:ind w:left="2"/>
              <w:jc w:val="center"/>
              <w:rPr>
                <w:sz w:val="24"/>
              </w:rPr>
            </w:pPr>
            <w:r>
              <w:rPr>
                <w:spacing w:val="-2"/>
                <w:sz w:val="24"/>
              </w:rPr>
              <w:t>127.7</w:t>
            </w:r>
          </w:p>
        </w:tc>
        <w:tc>
          <w:tcPr>
            <w:tcW w:w="1116" w:type="dxa"/>
          </w:tcPr>
          <w:p>
            <w:pPr>
              <w:pStyle w:val="TableParagraph"/>
              <w:ind w:left="11"/>
              <w:jc w:val="center"/>
              <w:rPr>
                <w:sz w:val="24"/>
              </w:rPr>
            </w:pPr>
            <w:r>
              <w:rPr>
                <w:spacing w:val="-2"/>
                <w:sz w:val="24"/>
              </w:rPr>
              <w:t>16100.00</w:t>
            </w:r>
          </w:p>
        </w:tc>
        <w:tc>
          <w:tcPr>
            <w:tcW w:w="780" w:type="dxa"/>
          </w:tcPr>
          <w:p>
            <w:pPr>
              <w:pStyle w:val="TableParagraph"/>
              <w:ind w:left="108"/>
              <w:rPr>
                <w:sz w:val="24"/>
              </w:rPr>
            </w:pPr>
            <w:r>
              <w:rPr>
                <w:spacing w:val="-10"/>
                <w:sz w:val="24"/>
              </w:rPr>
              <w:t>3</w:t>
            </w:r>
          </w:p>
        </w:tc>
        <w:tc>
          <w:tcPr>
            <w:tcW w:w="877" w:type="dxa"/>
          </w:tcPr>
          <w:p>
            <w:pPr>
              <w:pStyle w:val="TableParagraph"/>
              <w:ind w:left="10"/>
              <w:jc w:val="center"/>
              <w:rPr>
                <w:sz w:val="24"/>
              </w:rPr>
            </w:pPr>
            <w:r>
              <w:rPr>
                <w:spacing w:val="-2"/>
                <w:sz w:val="24"/>
              </w:rPr>
              <w:t>138.53</w:t>
            </w:r>
          </w:p>
        </w:tc>
      </w:tr>
      <w:tr>
        <w:trPr>
          <w:trHeight w:val="299" w:hRule="atLeast"/>
        </w:trPr>
        <w:tc>
          <w:tcPr>
            <w:tcW w:w="511" w:type="dxa"/>
          </w:tcPr>
          <w:p>
            <w:pPr>
              <w:pStyle w:val="TableParagraph"/>
              <w:ind w:left="0" w:right="43"/>
              <w:jc w:val="center"/>
              <w:rPr>
                <w:sz w:val="24"/>
              </w:rPr>
            </w:pPr>
            <w:r>
              <w:rPr>
                <w:spacing w:val="-5"/>
                <w:sz w:val="24"/>
              </w:rPr>
              <w:t>53</w:t>
            </w:r>
          </w:p>
        </w:tc>
        <w:tc>
          <w:tcPr>
            <w:tcW w:w="1004" w:type="dxa"/>
          </w:tcPr>
          <w:p>
            <w:pPr>
              <w:pStyle w:val="TableParagraph"/>
              <w:ind w:left="105"/>
              <w:rPr>
                <w:sz w:val="24"/>
              </w:rPr>
            </w:pPr>
            <w:r>
              <w:rPr>
                <w:spacing w:val="-2"/>
                <w:sz w:val="24"/>
              </w:rPr>
              <w:t>May-</w:t>
            </w:r>
            <w:r>
              <w:rPr>
                <w:spacing w:val="-5"/>
                <w:sz w:val="24"/>
              </w:rPr>
              <w:t>24</w:t>
            </w:r>
          </w:p>
        </w:tc>
        <w:tc>
          <w:tcPr>
            <w:tcW w:w="996" w:type="dxa"/>
          </w:tcPr>
          <w:p>
            <w:pPr>
              <w:pStyle w:val="TableParagraph"/>
              <w:ind w:left="105"/>
              <w:rPr>
                <w:sz w:val="24"/>
              </w:rPr>
            </w:pPr>
            <w:r>
              <w:rPr>
                <w:spacing w:val="-2"/>
                <w:sz w:val="24"/>
              </w:rPr>
              <w:t>213.399</w:t>
            </w:r>
          </w:p>
        </w:tc>
        <w:tc>
          <w:tcPr>
            <w:tcW w:w="758" w:type="dxa"/>
          </w:tcPr>
          <w:p>
            <w:pPr>
              <w:pStyle w:val="TableParagraph"/>
              <w:ind w:left="2"/>
              <w:jc w:val="center"/>
              <w:rPr>
                <w:sz w:val="24"/>
              </w:rPr>
            </w:pPr>
            <w:r>
              <w:rPr>
                <w:spacing w:val="-2"/>
                <w:sz w:val="24"/>
              </w:rPr>
              <w:t>125.2</w:t>
            </w:r>
          </w:p>
        </w:tc>
        <w:tc>
          <w:tcPr>
            <w:tcW w:w="1116" w:type="dxa"/>
          </w:tcPr>
          <w:p>
            <w:pPr>
              <w:pStyle w:val="TableParagraph"/>
              <w:ind w:left="11"/>
              <w:jc w:val="center"/>
              <w:rPr>
                <w:sz w:val="24"/>
              </w:rPr>
            </w:pPr>
            <w:r>
              <w:rPr>
                <w:spacing w:val="-2"/>
                <w:sz w:val="24"/>
              </w:rPr>
              <w:t>16083.94</w:t>
            </w:r>
          </w:p>
        </w:tc>
        <w:tc>
          <w:tcPr>
            <w:tcW w:w="780" w:type="dxa"/>
          </w:tcPr>
          <w:p>
            <w:pPr>
              <w:pStyle w:val="TableParagraph"/>
              <w:ind w:left="108"/>
              <w:rPr>
                <w:sz w:val="24"/>
              </w:rPr>
            </w:pPr>
            <w:r>
              <w:rPr>
                <w:spacing w:val="-4"/>
                <w:sz w:val="24"/>
              </w:rPr>
              <w:t>2.84</w:t>
            </w:r>
          </w:p>
        </w:tc>
        <w:tc>
          <w:tcPr>
            <w:tcW w:w="877" w:type="dxa"/>
          </w:tcPr>
          <w:p>
            <w:pPr>
              <w:pStyle w:val="TableParagraph"/>
              <w:ind w:left="10"/>
              <w:jc w:val="center"/>
              <w:rPr>
                <w:sz w:val="24"/>
              </w:rPr>
            </w:pPr>
            <w:r>
              <w:rPr>
                <w:spacing w:val="-2"/>
                <w:sz w:val="24"/>
              </w:rPr>
              <w:t>158.19</w:t>
            </w:r>
          </w:p>
        </w:tc>
      </w:tr>
      <w:tr>
        <w:trPr>
          <w:trHeight w:val="299" w:hRule="atLeast"/>
        </w:trPr>
        <w:tc>
          <w:tcPr>
            <w:tcW w:w="511" w:type="dxa"/>
          </w:tcPr>
          <w:p>
            <w:pPr>
              <w:pStyle w:val="TableParagraph"/>
              <w:ind w:left="0" w:right="43"/>
              <w:jc w:val="center"/>
              <w:rPr>
                <w:sz w:val="24"/>
              </w:rPr>
            </w:pPr>
            <w:r>
              <w:rPr>
                <w:spacing w:val="-5"/>
                <w:sz w:val="24"/>
              </w:rPr>
              <w:t>54</w:t>
            </w:r>
          </w:p>
        </w:tc>
        <w:tc>
          <w:tcPr>
            <w:tcW w:w="1004" w:type="dxa"/>
          </w:tcPr>
          <w:p>
            <w:pPr>
              <w:pStyle w:val="TableParagraph"/>
              <w:ind w:left="105"/>
              <w:rPr>
                <w:sz w:val="24"/>
              </w:rPr>
            </w:pPr>
            <w:r>
              <w:rPr>
                <w:spacing w:val="-2"/>
                <w:sz w:val="24"/>
              </w:rPr>
              <w:t>Jun-</w:t>
            </w:r>
            <w:r>
              <w:rPr>
                <w:spacing w:val="-5"/>
                <w:sz w:val="24"/>
              </w:rPr>
              <w:t>24</w:t>
            </w:r>
          </w:p>
        </w:tc>
        <w:tc>
          <w:tcPr>
            <w:tcW w:w="996" w:type="dxa"/>
          </w:tcPr>
          <w:p>
            <w:pPr>
              <w:pStyle w:val="TableParagraph"/>
              <w:ind w:left="105"/>
              <w:rPr>
                <w:sz w:val="24"/>
              </w:rPr>
            </w:pPr>
            <w:r>
              <w:rPr>
                <w:spacing w:val="-2"/>
                <w:sz w:val="24"/>
              </w:rPr>
              <w:t>209.272</w:t>
            </w:r>
          </w:p>
        </w:tc>
        <w:tc>
          <w:tcPr>
            <w:tcW w:w="758" w:type="dxa"/>
          </w:tcPr>
          <w:p>
            <w:pPr>
              <w:pStyle w:val="TableParagraph"/>
              <w:ind w:left="2"/>
              <w:jc w:val="center"/>
              <w:rPr>
                <w:sz w:val="24"/>
              </w:rPr>
            </w:pPr>
            <w:r>
              <w:rPr>
                <w:spacing w:val="-2"/>
                <w:sz w:val="24"/>
              </w:rPr>
              <w:t>123.3</w:t>
            </w:r>
          </w:p>
        </w:tc>
        <w:tc>
          <w:tcPr>
            <w:tcW w:w="1116" w:type="dxa"/>
          </w:tcPr>
          <w:p>
            <w:pPr>
              <w:pStyle w:val="TableParagraph"/>
              <w:ind w:left="11"/>
              <w:jc w:val="center"/>
              <w:rPr>
                <w:sz w:val="24"/>
              </w:rPr>
            </w:pPr>
            <w:r>
              <w:rPr>
                <w:spacing w:val="-2"/>
                <w:sz w:val="24"/>
              </w:rPr>
              <w:t>16329.39</w:t>
            </w:r>
          </w:p>
        </w:tc>
        <w:tc>
          <w:tcPr>
            <w:tcW w:w="780" w:type="dxa"/>
          </w:tcPr>
          <w:p>
            <w:pPr>
              <w:pStyle w:val="TableParagraph"/>
              <w:ind w:left="108"/>
              <w:rPr>
                <w:sz w:val="24"/>
              </w:rPr>
            </w:pPr>
            <w:r>
              <w:rPr>
                <w:spacing w:val="-4"/>
                <w:sz w:val="24"/>
              </w:rPr>
              <w:t>2.51</w:t>
            </w:r>
          </w:p>
        </w:tc>
        <w:tc>
          <w:tcPr>
            <w:tcW w:w="877" w:type="dxa"/>
          </w:tcPr>
          <w:p>
            <w:pPr>
              <w:pStyle w:val="TableParagraph"/>
              <w:ind w:left="10"/>
              <w:jc w:val="center"/>
              <w:rPr>
                <w:sz w:val="24"/>
              </w:rPr>
            </w:pPr>
            <w:r>
              <w:rPr>
                <w:spacing w:val="-2"/>
                <w:sz w:val="24"/>
              </w:rPr>
              <w:t>154.50</w:t>
            </w:r>
          </w:p>
        </w:tc>
      </w:tr>
      <w:tr>
        <w:trPr>
          <w:trHeight w:val="301" w:hRule="atLeast"/>
        </w:trPr>
        <w:tc>
          <w:tcPr>
            <w:tcW w:w="511" w:type="dxa"/>
          </w:tcPr>
          <w:p>
            <w:pPr>
              <w:pStyle w:val="TableParagraph"/>
              <w:spacing w:before="25"/>
              <w:ind w:left="0" w:right="43"/>
              <w:jc w:val="center"/>
              <w:rPr>
                <w:sz w:val="24"/>
              </w:rPr>
            </w:pPr>
            <w:r>
              <w:rPr>
                <w:spacing w:val="-5"/>
                <w:sz w:val="24"/>
              </w:rPr>
              <w:t>55</w:t>
            </w:r>
          </w:p>
        </w:tc>
        <w:tc>
          <w:tcPr>
            <w:tcW w:w="1004" w:type="dxa"/>
          </w:tcPr>
          <w:p>
            <w:pPr>
              <w:pStyle w:val="TableParagraph"/>
              <w:spacing w:before="25"/>
              <w:ind w:left="105"/>
              <w:rPr>
                <w:sz w:val="24"/>
              </w:rPr>
            </w:pPr>
            <w:r>
              <w:rPr>
                <w:sz w:val="24"/>
              </w:rPr>
              <w:t>Jul-</w:t>
            </w:r>
            <w:r>
              <w:rPr>
                <w:spacing w:val="-5"/>
                <w:sz w:val="24"/>
              </w:rPr>
              <w:t>24</w:t>
            </w:r>
          </w:p>
        </w:tc>
        <w:tc>
          <w:tcPr>
            <w:tcW w:w="996" w:type="dxa"/>
          </w:tcPr>
          <w:p>
            <w:pPr>
              <w:pStyle w:val="TableParagraph"/>
              <w:spacing w:before="25"/>
              <w:ind w:left="105"/>
              <w:rPr>
                <w:sz w:val="24"/>
              </w:rPr>
            </w:pPr>
            <w:r>
              <w:rPr>
                <w:spacing w:val="-2"/>
                <w:sz w:val="24"/>
              </w:rPr>
              <w:t>218.098</w:t>
            </w:r>
          </w:p>
        </w:tc>
        <w:tc>
          <w:tcPr>
            <w:tcW w:w="758" w:type="dxa"/>
          </w:tcPr>
          <w:p>
            <w:pPr>
              <w:pStyle w:val="TableParagraph"/>
              <w:spacing w:before="25"/>
              <w:ind w:left="2"/>
              <w:jc w:val="center"/>
              <w:rPr>
                <w:sz w:val="24"/>
              </w:rPr>
            </w:pPr>
            <w:r>
              <w:rPr>
                <w:spacing w:val="-2"/>
                <w:sz w:val="24"/>
              </w:rPr>
              <w:t>123.4</w:t>
            </w:r>
          </w:p>
        </w:tc>
        <w:tc>
          <w:tcPr>
            <w:tcW w:w="1116" w:type="dxa"/>
          </w:tcPr>
          <w:p>
            <w:pPr>
              <w:pStyle w:val="TableParagraph"/>
              <w:spacing w:before="25"/>
              <w:ind w:left="11"/>
              <w:jc w:val="center"/>
              <w:rPr>
                <w:sz w:val="24"/>
              </w:rPr>
            </w:pPr>
            <w:r>
              <w:rPr>
                <w:spacing w:val="-2"/>
                <w:sz w:val="24"/>
              </w:rPr>
              <w:t>16261.65</w:t>
            </w:r>
          </w:p>
        </w:tc>
        <w:tc>
          <w:tcPr>
            <w:tcW w:w="780" w:type="dxa"/>
          </w:tcPr>
          <w:p>
            <w:pPr>
              <w:pStyle w:val="TableParagraph"/>
              <w:spacing w:before="25"/>
              <w:ind w:left="108"/>
              <w:rPr>
                <w:sz w:val="24"/>
              </w:rPr>
            </w:pPr>
            <w:r>
              <w:rPr>
                <w:spacing w:val="-4"/>
                <w:sz w:val="24"/>
              </w:rPr>
              <w:t>2.13</w:t>
            </w:r>
          </w:p>
        </w:tc>
        <w:tc>
          <w:tcPr>
            <w:tcW w:w="877" w:type="dxa"/>
          </w:tcPr>
          <w:p>
            <w:pPr>
              <w:pStyle w:val="TableParagraph"/>
              <w:spacing w:before="25"/>
              <w:ind w:left="10"/>
              <w:jc w:val="center"/>
              <w:rPr>
                <w:sz w:val="24"/>
              </w:rPr>
            </w:pPr>
            <w:r>
              <w:rPr>
                <w:spacing w:val="-2"/>
                <w:sz w:val="24"/>
              </w:rPr>
              <w:t>161.14</w:t>
            </w:r>
          </w:p>
        </w:tc>
      </w:tr>
      <w:tr>
        <w:trPr>
          <w:trHeight w:val="299" w:hRule="atLeast"/>
        </w:trPr>
        <w:tc>
          <w:tcPr>
            <w:tcW w:w="511" w:type="dxa"/>
          </w:tcPr>
          <w:p>
            <w:pPr>
              <w:pStyle w:val="TableParagraph"/>
              <w:ind w:left="0" w:right="43"/>
              <w:jc w:val="center"/>
              <w:rPr>
                <w:sz w:val="24"/>
              </w:rPr>
            </w:pPr>
            <w:r>
              <w:rPr>
                <w:spacing w:val="-5"/>
                <w:sz w:val="24"/>
              </w:rPr>
              <w:t>56</w:t>
            </w:r>
          </w:p>
        </w:tc>
        <w:tc>
          <w:tcPr>
            <w:tcW w:w="1004" w:type="dxa"/>
          </w:tcPr>
          <w:p>
            <w:pPr>
              <w:pStyle w:val="TableParagraph"/>
              <w:ind w:left="105"/>
              <w:rPr>
                <w:sz w:val="24"/>
              </w:rPr>
            </w:pPr>
            <w:r>
              <w:rPr>
                <w:spacing w:val="-2"/>
                <w:sz w:val="24"/>
              </w:rPr>
              <w:t>Aug-</w:t>
            </w:r>
            <w:r>
              <w:rPr>
                <w:spacing w:val="-5"/>
                <w:sz w:val="24"/>
              </w:rPr>
              <w:t>24</w:t>
            </w:r>
          </w:p>
        </w:tc>
        <w:tc>
          <w:tcPr>
            <w:tcW w:w="996" w:type="dxa"/>
          </w:tcPr>
          <w:p>
            <w:pPr>
              <w:pStyle w:val="TableParagraph"/>
              <w:ind w:left="105"/>
              <w:rPr>
                <w:sz w:val="24"/>
              </w:rPr>
            </w:pPr>
            <w:r>
              <w:rPr>
                <w:spacing w:val="-2"/>
                <w:sz w:val="24"/>
              </w:rPr>
              <w:t>225.5</w:t>
            </w:r>
          </w:p>
        </w:tc>
        <w:tc>
          <w:tcPr>
            <w:tcW w:w="758" w:type="dxa"/>
          </w:tcPr>
          <w:p>
            <w:pPr>
              <w:pStyle w:val="TableParagraph"/>
              <w:ind w:left="2"/>
              <w:jc w:val="center"/>
              <w:rPr>
                <w:sz w:val="24"/>
              </w:rPr>
            </w:pPr>
            <w:r>
              <w:rPr>
                <w:spacing w:val="-2"/>
                <w:sz w:val="24"/>
              </w:rPr>
              <w:t>124.4</w:t>
            </w:r>
          </w:p>
        </w:tc>
        <w:tc>
          <w:tcPr>
            <w:tcW w:w="1116" w:type="dxa"/>
          </w:tcPr>
          <w:p>
            <w:pPr>
              <w:pStyle w:val="TableParagraph"/>
              <w:ind w:left="11"/>
              <w:jc w:val="center"/>
              <w:rPr>
                <w:sz w:val="24"/>
              </w:rPr>
            </w:pPr>
            <w:r>
              <w:rPr>
                <w:spacing w:val="-2"/>
                <w:sz w:val="24"/>
              </w:rPr>
              <w:t>15793.18</w:t>
            </w:r>
          </w:p>
        </w:tc>
        <w:tc>
          <w:tcPr>
            <w:tcW w:w="780" w:type="dxa"/>
          </w:tcPr>
          <w:p>
            <w:pPr>
              <w:pStyle w:val="TableParagraph"/>
              <w:ind w:left="108"/>
              <w:rPr>
                <w:sz w:val="24"/>
              </w:rPr>
            </w:pPr>
            <w:r>
              <w:rPr>
                <w:spacing w:val="-4"/>
                <w:sz w:val="24"/>
              </w:rPr>
              <w:t>2.12</w:t>
            </w:r>
          </w:p>
        </w:tc>
        <w:tc>
          <w:tcPr>
            <w:tcW w:w="877" w:type="dxa"/>
          </w:tcPr>
          <w:p>
            <w:pPr>
              <w:pStyle w:val="TableParagraph"/>
              <w:ind w:left="10"/>
              <w:jc w:val="center"/>
              <w:rPr>
                <w:sz w:val="24"/>
              </w:rPr>
            </w:pPr>
            <w:r>
              <w:rPr>
                <w:spacing w:val="-2"/>
                <w:sz w:val="24"/>
              </w:rPr>
              <w:t>161.57</w:t>
            </w:r>
          </w:p>
        </w:tc>
      </w:tr>
      <w:tr>
        <w:trPr>
          <w:trHeight w:val="299" w:hRule="atLeast"/>
        </w:trPr>
        <w:tc>
          <w:tcPr>
            <w:tcW w:w="511" w:type="dxa"/>
          </w:tcPr>
          <w:p>
            <w:pPr>
              <w:pStyle w:val="TableParagraph"/>
              <w:ind w:left="0" w:right="43"/>
              <w:jc w:val="center"/>
              <w:rPr>
                <w:sz w:val="24"/>
              </w:rPr>
            </w:pPr>
            <w:r>
              <w:rPr>
                <w:spacing w:val="-5"/>
                <w:sz w:val="24"/>
              </w:rPr>
              <w:t>57</w:t>
            </w:r>
          </w:p>
        </w:tc>
        <w:tc>
          <w:tcPr>
            <w:tcW w:w="1004" w:type="dxa"/>
          </w:tcPr>
          <w:p>
            <w:pPr>
              <w:pStyle w:val="TableParagraph"/>
              <w:ind w:left="105"/>
              <w:rPr>
                <w:sz w:val="24"/>
              </w:rPr>
            </w:pPr>
            <w:r>
              <w:rPr>
                <w:spacing w:val="-2"/>
                <w:sz w:val="24"/>
              </w:rPr>
              <w:t>Sep-</w:t>
            </w:r>
            <w:r>
              <w:rPr>
                <w:spacing w:val="-5"/>
                <w:sz w:val="24"/>
              </w:rPr>
              <w:t>24</w:t>
            </w:r>
          </w:p>
        </w:tc>
        <w:tc>
          <w:tcPr>
            <w:tcW w:w="996" w:type="dxa"/>
          </w:tcPr>
          <w:p>
            <w:pPr>
              <w:pStyle w:val="TableParagraph"/>
              <w:ind w:left="105"/>
              <w:rPr>
                <w:sz w:val="24"/>
              </w:rPr>
            </w:pPr>
            <w:r>
              <w:rPr>
                <w:spacing w:val="-2"/>
                <w:sz w:val="24"/>
              </w:rPr>
              <w:t>226.635</w:t>
            </w:r>
          </w:p>
        </w:tc>
        <w:tc>
          <w:tcPr>
            <w:tcW w:w="758" w:type="dxa"/>
          </w:tcPr>
          <w:p>
            <w:pPr>
              <w:pStyle w:val="TableParagraph"/>
              <w:ind w:left="2"/>
              <w:jc w:val="center"/>
              <w:rPr>
                <w:sz w:val="24"/>
              </w:rPr>
            </w:pPr>
            <w:r>
              <w:rPr>
                <w:color w:val="202429"/>
                <w:spacing w:val="-2"/>
                <w:sz w:val="24"/>
              </w:rPr>
              <w:t>123.5</w:t>
            </w:r>
          </w:p>
        </w:tc>
        <w:tc>
          <w:tcPr>
            <w:tcW w:w="1116" w:type="dxa"/>
          </w:tcPr>
          <w:p>
            <w:pPr>
              <w:pStyle w:val="TableParagraph"/>
              <w:ind w:left="11"/>
              <w:jc w:val="center"/>
              <w:rPr>
                <w:sz w:val="24"/>
              </w:rPr>
            </w:pPr>
            <w:r>
              <w:rPr>
                <w:spacing w:val="-2"/>
                <w:sz w:val="24"/>
              </w:rPr>
              <w:t>15341.25</w:t>
            </w:r>
          </w:p>
        </w:tc>
        <w:tc>
          <w:tcPr>
            <w:tcW w:w="780" w:type="dxa"/>
          </w:tcPr>
          <w:p>
            <w:pPr>
              <w:pStyle w:val="TableParagraph"/>
              <w:ind w:left="108"/>
              <w:rPr>
                <w:sz w:val="24"/>
              </w:rPr>
            </w:pPr>
            <w:r>
              <w:rPr>
                <w:spacing w:val="-4"/>
                <w:sz w:val="24"/>
              </w:rPr>
              <w:t>1.84</w:t>
            </w:r>
          </w:p>
        </w:tc>
        <w:tc>
          <w:tcPr>
            <w:tcW w:w="877" w:type="dxa"/>
          </w:tcPr>
          <w:p>
            <w:pPr>
              <w:pStyle w:val="TableParagraph"/>
              <w:ind w:left="10"/>
              <w:jc w:val="center"/>
              <w:rPr>
                <w:sz w:val="24"/>
              </w:rPr>
            </w:pPr>
            <w:r>
              <w:rPr>
                <w:spacing w:val="-2"/>
                <w:sz w:val="24"/>
              </w:rPr>
              <w:t>160.05</w:t>
            </w:r>
          </w:p>
        </w:tc>
      </w:tr>
      <w:tr>
        <w:trPr>
          <w:trHeight w:val="299" w:hRule="atLeast"/>
        </w:trPr>
        <w:tc>
          <w:tcPr>
            <w:tcW w:w="511" w:type="dxa"/>
          </w:tcPr>
          <w:p>
            <w:pPr>
              <w:pStyle w:val="TableParagraph"/>
              <w:ind w:left="0" w:right="43"/>
              <w:jc w:val="center"/>
              <w:rPr>
                <w:sz w:val="24"/>
              </w:rPr>
            </w:pPr>
            <w:r>
              <w:rPr>
                <w:spacing w:val="-5"/>
                <w:sz w:val="24"/>
              </w:rPr>
              <w:t>58</w:t>
            </w:r>
          </w:p>
        </w:tc>
        <w:tc>
          <w:tcPr>
            <w:tcW w:w="1004" w:type="dxa"/>
          </w:tcPr>
          <w:p>
            <w:pPr>
              <w:pStyle w:val="TableParagraph"/>
              <w:ind w:left="105"/>
              <w:rPr>
                <w:sz w:val="24"/>
              </w:rPr>
            </w:pPr>
            <w:r>
              <w:rPr>
                <w:spacing w:val="-2"/>
                <w:sz w:val="24"/>
              </w:rPr>
              <w:t>Oct-</w:t>
            </w:r>
            <w:r>
              <w:rPr>
                <w:spacing w:val="-5"/>
                <w:sz w:val="24"/>
              </w:rPr>
              <w:t>24</w:t>
            </w:r>
          </w:p>
        </w:tc>
        <w:tc>
          <w:tcPr>
            <w:tcW w:w="996" w:type="dxa"/>
          </w:tcPr>
          <w:p>
            <w:pPr>
              <w:pStyle w:val="TableParagraph"/>
              <w:ind w:left="105"/>
              <w:rPr>
                <w:sz w:val="24"/>
              </w:rPr>
            </w:pPr>
            <w:r>
              <w:rPr>
                <w:spacing w:val="-2"/>
                <w:sz w:val="24"/>
              </w:rPr>
              <w:t>230.793</w:t>
            </w:r>
          </w:p>
        </w:tc>
        <w:tc>
          <w:tcPr>
            <w:tcW w:w="758" w:type="dxa"/>
          </w:tcPr>
          <w:p>
            <w:pPr>
              <w:pStyle w:val="TableParagraph"/>
              <w:ind w:left="2"/>
              <w:jc w:val="center"/>
              <w:rPr>
                <w:sz w:val="24"/>
              </w:rPr>
            </w:pPr>
            <w:r>
              <w:rPr>
                <w:color w:val="202429"/>
                <w:spacing w:val="-2"/>
                <w:sz w:val="24"/>
              </w:rPr>
              <w:t>121.1</w:t>
            </w:r>
          </w:p>
        </w:tc>
        <w:tc>
          <w:tcPr>
            <w:tcW w:w="1116" w:type="dxa"/>
          </w:tcPr>
          <w:p>
            <w:pPr>
              <w:pStyle w:val="TableParagraph"/>
              <w:ind w:left="11"/>
              <w:jc w:val="center"/>
              <w:rPr>
                <w:sz w:val="24"/>
              </w:rPr>
            </w:pPr>
            <w:r>
              <w:rPr>
                <w:spacing w:val="-2"/>
                <w:sz w:val="24"/>
              </w:rPr>
              <w:t>15541.35</w:t>
            </w:r>
          </w:p>
        </w:tc>
        <w:tc>
          <w:tcPr>
            <w:tcW w:w="780" w:type="dxa"/>
          </w:tcPr>
          <w:p>
            <w:pPr>
              <w:pStyle w:val="TableParagraph"/>
              <w:ind w:left="108"/>
              <w:rPr>
                <w:sz w:val="24"/>
              </w:rPr>
            </w:pPr>
            <w:r>
              <w:rPr>
                <w:spacing w:val="-4"/>
                <w:sz w:val="24"/>
              </w:rPr>
              <w:t>1.71</w:t>
            </w:r>
          </w:p>
        </w:tc>
        <w:tc>
          <w:tcPr>
            <w:tcW w:w="877" w:type="dxa"/>
          </w:tcPr>
          <w:p>
            <w:pPr>
              <w:pStyle w:val="TableParagraph"/>
              <w:ind w:left="10"/>
              <w:jc w:val="center"/>
              <w:rPr>
                <w:sz w:val="24"/>
              </w:rPr>
            </w:pPr>
            <w:r>
              <w:rPr>
                <w:spacing w:val="-2"/>
                <w:sz w:val="24"/>
              </w:rPr>
              <w:t>167.95</w:t>
            </w:r>
          </w:p>
        </w:tc>
      </w:tr>
      <w:tr>
        <w:trPr>
          <w:trHeight w:val="299" w:hRule="atLeast"/>
        </w:trPr>
        <w:tc>
          <w:tcPr>
            <w:tcW w:w="511" w:type="dxa"/>
          </w:tcPr>
          <w:p>
            <w:pPr>
              <w:pStyle w:val="TableParagraph"/>
              <w:ind w:left="0" w:right="43"/>
              <w:jc w:val="center"/>
              <w:rPr>
                <w:sz w:val="24"/>
              </w:rPr>
            </w:pPr>
            <w:r>
              <w:rPr>
                <w:spacing w:val="-5"/>
                <w:sz w:val="24"/>
              </w:rPr>
              <w:t>59</w:t>
            </w:r>
          </w:p>
        </w:tc>
        <w:tc>
          <w:tcPr>
            <w:tcW w:w="1004" w:type="dxa"/>
          </w:tcPr>
          <w:p>
            <w:pPr>
              <w:pStyle w:val="TableParagraph"/>
              <w:ind w:left="105"/>
              <w:rPr>
                <w:sz w:val="24"/>
              </w:rPr>
            </w:pPr>
            <w:r>
              <w:rPr>
                <w:spacing w:val="-2"/>
                <w:sz w:val="24"/>
              </w:rPr>
              <w:t>Nov-</w:t>
            </w:r>
            <w:r>
              <w:rPr>
                <w:spacing w:val="-5"/>
                <w:sz w:val="24"/>
              </w:rPr>
              <w:t>24</w:t>
            </w:r>
          </w:p>
        </w:tc>
        <w:tc>
          <w:tcPr>
            <w:tcW w:w="996" w:type="dxa"/>
          </w:tcPr>
          <w:p>
            <w:pPr>
              <w:pStyle w:val="TableParagraph"/>
              <w:ind w:left="105"/>
              <w:rPr>
                <w:sz w:val="24"/>
              </w:rPr>
            </w:pPr>
            <w:r>
              <w:rPr>
                <w:spacing w:val="-2"/>
                <w:sz w:val="24"/>
              </w:rPr>
              <w:t>217.449</w:t>
            </w:r>
          </w:p>
        </w:tc>
        <w:tc>
          <w:tcPr>
            <w:tcW w:w="758" w:type="dxa"/>
          </w:tcPr>
          <w:p>
            <w:pPr>
              <w:pStyle w:val="TableParagraph"/>
              <w:ind w:left="2"/>
              <w:jc w:val="center"/>
              <w:rPr>
                <w:sz w:val="24"/>
              </w:rPr>
            </w:pPr>
            <w:r>
              <w:rPr>
                <w:color w:val="202429"/>
                <w:spacing w:val="-2"/>
                <w:sz w:val="24"/>
              </w:rPr>
              <w:t>125.9</w:t>
            </w:r>
          </w:p>
        </w:tc>
        <w:tc>
          <w:tcPr>
            <w:tcW w:w="1116" w:type="dxa"/>
          </w:tcPr>
          <w:p>
            <w:pPr>
              <w:pStyle w:val="TableParagraph"/>
              <w:ind w:left="11"/>
              <w:jc w:val="center"/>
              <w:rPr>
                <w:sz w:val="24"/>
              </w:rPr>
            </w:pPr>
            <w:r>
              <w:rPr>
                <w:spacing w:val="-2"/>
                <w:sz w:val="24"/>
              </w:rPr>
              <w:t>15812.35</w:t>
            </w:r>
          </w:p>
        </w:tc>
        <w:tc>
          <w:tcPr>
            <w:tcW w:w="780" w:type="dxa"/>
          </w:tcPr>
          <w:p>
            <w:pPr>
              <w:pStyle w:val="TableParagraph"/>
              <w:ind w:left="108"/>
              <w:rPr>
                <w:sz w:val="24"/>
              </w:rPr>
            </w:pPr>
            <w:r>
              <w:rPr>
                <w:spacing w:val="-4"/>
                <w:sz w:val="24"/>
              </w:rPr>
              <w:t>1.55</w:t>
            </w:r>
          </w:p>
        </w:tc>
        <w:tc>
          <w:tcPr>
            <w:tcW w:w="877" w:type="dxa"/>
          </w:tcPr>
          <w:p>
            <w:pPr>
              <w:pStyle w:val="TableParagraph"/>
              <w:ind w:left="10"/>
              <w:jc w:val="center"/>
              <w:rPr>
                <w:sz w:val="24"/>
              </w:rPr>
            </w:pPr>
            <w:r>
              <w:rPr>
                <w:spacing w:val="-2"/>
                <w:sz w:val="24"/>
              </w:rPr>
              <w:t>161.41</w:t>
            </w:r>
          </w:p>
        </w:tc>
      </w:tr>
      <w:tr>
        <w:trPr>
          <w:trHeight w:val="301" w:hRule="atLeast"/>
        </w:trPr>
        <w:tc>
          <w:tcPr>
            <w:tcW w:w="511" w:type="dxa"/>
          </w:tcPr>
          <w:p>
            <w:pPr>
              <w:pStyle w:val="TableParagraph"/>
              <w:spacing w:line="259" w:lineRule="exact"/>
              <w:ind w:left="0" w:right="43"/>
              <w:jc w:val="center"/>
              <w:rPr>
                <w:sz w:val="24"/>
              </w:rPr>
            </w:pPr>
            <w:r>
              <w:rPr>
                <w:spacing w:val="-5"/>
                <w:sz w:val="24"/>
              </w:rPr>
              <w:t>60</w:t>
            </w:r>
          </w:p>
        </w:tc>
        <w:tc>
          <w:tcPr>
            <w:tcW w:w="1004" w:type="dxa"/>
          </w:tcPr>
          <w:p>
            <w:pPr>
              <w:pStyle w:val="TableParagraph"/>
              <w:spacing w:line="259" w:lineRule="exact"/>
              <w:ind w:left="105"/>
              <w:rPr>
                <w:sz w:val="24"/>
              </w:rPr>
            </w:pPr>
            <w:r>
              <w:rPr>
                <w:spacing w:val="-2"/>
                <w:sz w:val="24"/>
              </w:rPr>
              <w:t>Dec-</w:t>
            </w:r>
            <w:r>
              <w:rPr>
                <w:spacing w:val="-5"/>
                <w:sz w:val="24"/>
              </w:rPr>
              <w:t>24</w:t>
            </w:r>
          </w:p>
        </w:tc>
        <w:tc>
          <w:tcPr>
            <w:tcW w:w="996" w:type="dxa"/>
          </w:tcPr>
          <w:p>
            <w:pPr>
              <w:pStyle w:val="TableParagraph"/>
              <w:spacing w:line="259" w:lineRule="exact"/>
              <w:ind w:left="105"/>
              <w:rPr>
                <w:sz w:val="24"/>
              </w:rPr>
            </w:pPr>
            <w:r>
              <w:rPr>
                <w:spacing w:val="-2"/>
                <w:sz w:val="24"/>
              </w:rPr>
              <w:t>215.65</w:t>
            </w:r>
          </w:p>
        </w:tc>
        <w:tc>
          <w:tcPr>
            <w:tcW w:w="758" w:type="dxa"/>
          </w:tcPr>
          <w:p>
            <w:pPr>
              <w:pStyle w:val="TableParagraph"/>
              <w:spacing w:line="259" w:lineRule="exact"/>
              <w:ind w:left="2"/>
              <w:jc w:val="center"/>
              <w:rPr>
                <w:sz w:val="24"/>
              </w:rPr>
            </w:pPr>
            <w:r>
              <w:rPr>
                <w:spacing w:val="-2"/>
                <w:sz w:val="24"/>
              </w:rPr>
              <w:t>127.7</w:t>
            </w:r>
          </w:p>
        </w:tc>
        <w:tc>
          <w:tcPr>
            <w:tcW w:w="1116" w:type="dxa"/>
          </w:tcPr>
          <w:p>
            <w:pPr>
              <w:pStyle w:val="TableParagraph"/>
              <w:spacing w:line="259" w:lineRule="exact"/>
              <w:ind w:left="11"/>
              <w:jc w:val="center"/>
              <w:rPr>
                <w:sz w:val="24"/>
              </w:rPr>
            </w:pPr>
            <w:r>
              <w:rPr>
                <w:spacing w:val="-2"/>
                <w:sz w:val="24"/>
              </w:rPr>
              <w:t>16023.50</w:t>
            </w:r>
          </w:p>
        </w:tc>
        <w:tc>
          <w:tcPr>
            <w:tcW w:w="780" w:type="dxa"/>
          </w:tcPr>
          <w:p>
            <w:pPr>
              <w:pStyle w:val="TableParagraph"/>
              <w:spacing w:line="259" w:lineRule="exact"/>
              <w:ind w:left="108"/>
              <w:rPr>
                <w:sz w:val="24"/>
              </w:rPr>
            </w:pPr>
            <w:r>
              <w:rPr>
                <w:spacing w:val="-4"/>
                <w:sz w:val="24"/>
              </w:rPr>
              <w:t>1.57</w:t>
            </w:r>
          </w:p>
        </w:tc>
        <w:tc>
          <w:tcPr>
            <w:tcW w:w="877" w:type="dxa"/>
          </w:tcPr>
          <w:p>
            <w:pPr>
              <w:pStyle w:val="TableParagraph"/>
              <w:spacing w:line="259" w:lineRule="exact"/>
              <w:ind w:left="10"/>
              <w:jc w:val="center"/>
              <w:rPr>
                <w:sz w:val="24"/>
              </w:rPr>
            </w:pPr>
            <w:r>
              <w:rPr>
                <w:spacing w:val="-2"/>
                <w:sz w:val="24"/>
              </w:rPr>
              <w:t>158.33</w:t>
            </w:r>
          </w:p>
        </w:tc>
      </w:tr>
    </w:tbl>
    <w:p>
      <w:pPr>
        <w:pStyle w:val="BodyText"/>
        <w:spacing w:before="190"/>
        <w:rPr>
          <w:b/>
        </w:rPr>
      </w:pPr>
    </w:p>
    <w:p>
      <w:pPr>
        <w:spacing w:before="0"/>
        <w:ind w:left="23" w:right="0" w:firstLine="0"/>
        <w:jc w:val="left"/>
        <w:rPr>
          <w:b/>
          <w:sz w:val="24"/>
        </w:rPr>
      </w:pPr>
      <w:r>
        <w:rPr>
          <w:b/>
          <w:sz w:val="24"/>
        </w:rPr>
        <w:t>Lampiran</w:t>
      </w:r>
      <w:r>
        <w:rPr>
          <w:b/>
          <w:spacing w:val="-4"/>
          <w:sz w:val="24"/>
        </w:rPr>
        <w:t> </w:t>
      </w:r>
      <w:r>
        <w:rPr>
          <w:b/>
          <w:sz w:val="24"/>
        </w:rPr>
        <w:t>2.</w:t>
      </w:r>
      <w:r>
        <w:rPr>
          <w:b/>
          <w:spacing w:val="-3"/>
          <w:sz w:val="24"/>
        </w:rPr>
        <w:t> </w:t>
      </w:r>
      <w:r>
        <w:rPr>
          <w:b/>
          <w:sz w:val="24"/>
        </w:rPr>
        <w:t>Hasil</w:t>
      </w:r>
      <w:r>
        <w:rPr>
          <w:b/>
          <w:spacing w:val="-1"/>
          <w:sz w:val="24"/>
        </w:rPr>
        <w:t> </w:t>
      </w:r>
      <w:r>
        <w:rPr>
          <w:b/>
          <w:sz w:val="24"/>
        </w:rPr>
        <w:t>Uji</w:t>
      </w:r>
      <w:r>
        <w:rPr>
          <w:b/>
          <w:spacing w:val="-3"/>
          <w:sz w:val="24"/>
        </w:rPr>
        <w:t> </w:t>
      </w:r>
      <w:r>
        <w:rPr>
          <w:b/>
          <w:sz w:val="24"/>
        </w:rPr>
        <w:t>Statistik</w:t>
      </w:r>
      <w:r>
        <w:rPr>
          <w:b/>
          <w:spacing w:val="-1"/>
          <w:sz w:val="24"/>
        </w:rPr>
        <w:t> </w:t>
      </w:r>
      <w:r>
        <w:rPr>
          <w:b/>
          <w:spacing w:val="-2"/>
          <w:sz w:val="24"/>
        </w:rPr>
        <w:t>Deskriptif</w:t>
      </w:r>
    </w:p>
    <w:p>
      <w:pPr>
        <w:pStyle w:val="BodyText"/>
        <w:spacing w:before="22"/>
        <w:rPr>
          <w:b/>
        </w:rPr>
      </w:pPr>
    </w:p>
    <w:p>
      <w:pPr>
        <w:pStyle w:val="BodyText"/>
        <w:ind w:left="54" w:right="7152"/>
      </w:pPr>
      <w:r>
        <w:rPr/>
        <w:t>Date:</w:t>
      </w:r>
      <w:r>
        <w:rPr>
          <w:spacing w:val="25"/>
        </w:rPr>
        <w:t> </w:t>
      </w:r>
      <w:r>
        <w:rPr/>
        <w:t>06/07/25 Time: 14:43</w:t>
      </w:r>
    </w:p>
    <w:p>
      <w:pPr>
        <w:pStyle w:val="BodyText"/>
        <w:spacing w:before="161"/>
        <w:ind w:left="54"/>
      </w:pPr>
      <w:r>
        <w:rPr/>
        <w:t>Sample:</w:t>
      </w:r>
      <w:r>
        <w:rPr>
          <w:spacing w:val="-3"/>
        </w:rPr>
        <w:t> </w:t>
      </w:r>
      <w:r>
        <w:rPr/>
        <w:t>2020M01</w:t>
      </w:r>
      <w:r>
        <w:rPr>
          <w:spacing w:val="-3"/>
        </w:rPr>
        <w:t> </w:t>
      </w:r>
      <w:r>
        <w:rPr>
          <w:spacing w:val="-2"/>
        </w:rPr>
        <w:t>2024M12</w:t>
      </w:r>
    </w:p>
    <w:p>
      <w:pPr>
        <w:pStyle w:val="BodyText"/>
        <w:spacing w:before="42"/>
        <w:rPr>
          <w:sz w:val="20"/>
        </w:rPr>
      </w:pPr>
    </w:p>
    <w:tbl>
      <w:tblPr>
        <w:tblW w:w="0" w:type="auto"/>
        <w:jc w:val="left"/>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54"/>
        <w:gridCol w:w="1282"/>
        <w:gridCol w:w="1313"/>
        <w:gridCol w:w="1303"/>
        <w:gridCol w:w="1313"/>
        <w:gridCol w:w="1485"/>
      </w:tblGrid>
      <w:tr>
        <w:trPr>
          <w:trHeight w:val="617" w:hRule="atLeast"/>
        </w:trPr>
        <w:tc>
          <w:tcPr>
            <w:tcW w:w="1354" w:type="dxa"/>
            <w:tcBorders>
              <w:top w:val="double" w:sz="6" w:space="0" w:color="000000"/>
              <w:bottom w:val="double" w:sz="6" w:space="0" w:color="000000"/>
            </w:tcBorders>
          </w:tcPr>
          <w:p>
            <w:pPr>
              <w:pStyle w:val="TableParagraph"/>
              <w:spacing w:line="240" w:lineRule="auto" w:before="0"/>
              <w:ind w:left="0"/>
              <w:rPr>
                <w:sz w:val="24"/>
              </w:rPr>
            </w:pPr>
          </w:p>
        </w:tc>
        <w:tc>
          <w:tcPr>
            <w:tcW w:w="1282" w:type="dxa"/>
            <w:tcBorders>
              <w:top w:val="double" w:sz="6" w:space="0" w:color="000000"/>
              <w:bottom w:val="double" w:sz="6" w:space="0" w:color="000000"/>
            </w:tcBorders>
          </w:tcPr>
          <w:p>
            <w:pPr>
              <w:pStyle w:val="TableParagraph"/>
              <w:spacing w:line="240" w:lineRule="auto" w:before="89"/>
              <w:ind w:left="136"/>
              <w:rPr>
                <w:sz w:val="24"/>
              </w:rPr>
            </w:pPr>
            <w:r>
              <w:rPr>
                <w:spacing w:val="-10"/>
                <w:sz w:val="24"/>
              </w:rPr>
              <w:t>Y</w:t>
            </w:r>
          </w:p>
        </w:tc>
        <w:tc>
          <w:tcPr>
            <w:tcW w:w="1313" w:type="dxa"/>
            <w:tcBorders>
              <w:top w:val="double" w:sz="6" w:space="0" w:color="000000"/>
              <w:bottom w:val="double" w:sz="6" w:space="0" w:color="000000"/>
            </w:tcBorders>
          </w:tcPr>
          <w:p>
            <w:pPr>
              <w:pStyle w:val="TableParagraph"/>
              <w:spacing w:line="240" w:lineRule="auto" w:before="89"/>
              <w:ind w:left="167"/>
              <w:rPr>
                <w:sz w:val="24"/>
              </w:rPr>
            </w:pPr>
            <w:r>
              <w:rPr>
                <w:spacing w:val="-5"/>
                <w:sz w:val="24"/>
              </w:rPr>
              <w:t>X1</w:t>
            </w:r>
          </w:p>
        </w:tc>
        <w:tc>
          <w:tcPr>
            <w:tcW w:w="1303" w:type="dxa"/>
            <w:tcBorders>
              <w:top w:val="double" w:sz="6" w:space="0" w:color="000000"/>
              <w:bottom w:val="double" w:sz="6" w:space="0" w:color="000000"/>
            </w:tcBorders>
          </w:tcPr>
          <w:p>
            <w:pPr>
              <w:pStyle w:val="TableParagraph"/>
              <w:spacing w:line="240" w:lineRule="auto" w:before="89"/>
              <w:ind w:left="167"/>
              <w:rPr>
                <w:sz w:val="24"/>
              </w:rPr>
            </w:pPr>
            <w:r>
              <w:rPr>
                <w:spacing w:val="-5"/>
                <w:sz w:val="24"/>
              </w:rPr>
              <w:t>X2</w:t>
            </w:r>
          </w:p>
        </w:tc>
        <w:tc>
          <w:tcPr>
            <w:tcW w:w="1313" w:type="dxa"/>
            <w:tcBorders>
              <w:top w:val="double" w:sz="6" w:space="0" w:color="000000"/>
              <w:bottom w:val="double" w:sz="6" w:space="0" w:color="000000"/>
            </w:tcBorders>
          </w:tcPr>
          <w:p>
            <w:pPr>
              <w:pStyle w:val="TableParagraph"/>
              <w:spacing w:line="240" w:lineRule="auto" w:before="89"/>
              <w:ind w:left="177"/>
              <w:rPr>
                <w:sz w:val="24"/>
              </w:rPr>
            </w:pPr>
            <w:r>
              <w:rPr>
                <w:spacing w:val="-5"/>
                <w:sz w:val="24"/>
              </w:rPr>
              <w:t>X3</w:t>
            </w:r>
          </w:p>
        </w:tc>
        <w:tc>
          <w:tcPr>
            <w:tcW w:w="1485" w:type="dxa"/>
            <w:tcBorders>
              <w:top w:val="double" w:sz="6" w:space="0" w:color="000000"/>
              <w:bottom w:val="double" w:sz="6" w:space="0" w:color="000000"/>
            </w:tcBorders>
          </w:tcPr>
          <w:p>
            <w:pPr>
              <w:pStyle w:val="TableParagraph"/>
              <w:spacing w:line="240" w:lineRule="auto" w:before="89"/>
              <w:ind w:left="177"/>
              <w:rPr>
                <w:sz w:val="24"/>
              </w:rPr>
            </w:pPr>
            <w:r>
              <w:rPr>
                <w:spacing w:val="-5"/>
                <w:sz w:val="24"/>
              </w:rPr>
              <w:t>X4</w:t>
            </w:r>
          </w:p>
        </w:tc>
      </w:tr>
      <w:tr>
        <w:trPr>
          <w:trHeight w:val="449" w:hRule="atLeast"/>
        </w:trPr>
        <w:tc>
          <w:tcPr>
            <w:tcW w:w="1354" w:type="dxa"/>
            <w:tcBorders>
              <w:top w:val="double" w:sz="6" w:space="0" w:color="000000"/>
            </w:tcBorders>
          </w:tcPr>
          <w:p>
            <w:pPr>
              <w:pStyle w:val="TableParagraph"/>
              <w:spacing w:line="240" w:lineRule="auto" w:before="89"/>
              <w:ind w:left="60"/>
              <w:rPr>
                <w:sz w:val="24"/>
              </w:rPr>
            </w:pPr>
            <w:r>
              <w:rPr>
                <w:spacing w:val="-4"/>
                <w:sz w:val="24"/>
              </w:rPr>
              <w:t>Mean</w:t>
            </w:r>
          </w:p>
        </w:tc>
        <w:tc>
          <w:tcPr>
            <w:tcW w:w="1282" w:type="dxa"/>
            <w:tcBorders>
              <w:top w:val="double" w:sz="6" w:space="0" w:color="000000"/>
            </w:tcBorders>
          </w:tcPr>
          <w:p>
            <w:pPr>
              <w:pStyle w:val="TableParagraph"/>
              <w:spacing w:line="240" w:lineRule="auto" w:before="89"/>
              <w:ind w:left="196"/>
              <w:rPr>
                <w:sz w:val="24"/>
              </w:rPr>
            </w:pPr>
            <w:r>
              <w:rPr>
                <w:spacing w:val="-2"/>
                <w:sz w:val="24"/>
              </w:rPr>
              <w:t>192.8816</w:t>
            </w:r>
          </w:p>
        </w:tc>
        <w:tc>
          <w:tcPr>
            <w:tcW w:w="1313" w:type="dxa"/>
            <w:tcBorders>
              <w:top w:val="double" w:sz="6" w:space="0" w:color="000000"/>
            </w:tcBorders>
          </w:tcPr>
          <w:p>
            <w:pPr>
              <w:pStyle w:val="TableParagraph"/>
              <w:spacing w:line="240" w:lineRule="auto" w:before="89"/>
              <w:ind w:left="0" w:right="183"/>
              <w:jc w:val="right"/>
              <w:rPr>
                <w:sz w:val="24"/>
              </w:rPr>
            </w:pPr>
            <w:r>
              <w:rPr>
                <w:spacing w:val="-2"/>
                <w:sz w:val="24"/>
              </w:rPr>
              <w:t>112.1483</w:t>
            </w:r>
          </w:p>
        </w:tc>
        <w:tc>
          <w:tcPr>
            <w:tcW w:w="1303" w:type="dxa"/>
            <w:tcBorders>
              <w:top w:val="double" w:sz="6" w:space="0" w:color="000000"/>
            </w:tcBorders>
          </w:tcPr>
          <w:p>
            <w:pPr>
              <w:pStyle w:val="TableParagraph"/>
              <w:spacing w:line="240" w:lineRule="auto" w:before="89"/>
              <w:ind w:left="0" w:right="173"/>
              <w:jc w:val="right"/>
              <w:rPr>
                <w:sz w:val="24"/>
              </w:rPr>
            </w:pPr>
            <w:r>
              <w:rPr>
                <w:spacing w:val="-2"/>
                <w:sz w:val="24"/>
              </w:rPr>
              <w:t>14966.51</w:t>
            </w:r>
          </w:p>
        </w:tc>
        <w:tc>
          <w:tcPr>
            <w:tcW w:w="1313" w:type="dxa"/>
            <w:tcBorders>
              <w:top w:val="double" w:sz="6" w:space="0" w:color="000000"/>
            </w:tcBorders>
          </w:tcPr>
          <w:p>
            <w:pPr>
              <w:pStyle w:val="TableParagraph"/>
              <w:spacing w:line="240" w:lineRule="auto" w:before="89"/>
              <w:ind w:left="0" w:right="173"/>
              <w:jc w:val="right"/>
              <w:rPr>
                <w:sz w:val="24"/>
              </w:rPr>
            </w:pPr>
            <w:r>
              <w:rPr>
                <w:spacing w:val="-2"/>
                <w:sz w:val="24"/>
              </w:rPr>
              <w:t>2.758167</w:t>
            </w:r>
          </w:p>
        </w:tc>
        <w:tc>
          <w:tcPr>
            <w:tcW w:w="1485" w:type="dxa"/>
            <w:tcBorders>
              <w:top w:val="double" w:sz="6" w:space="0" w:color="000000"/>
            </w:tcBorders>
          </w:tcPr>
          <w:p>
            <w:pPr>
              <w:pStyle w:val="TableParagraph"/>
              <w:spacing w:line="240" w:lineRule="auto" w:before="89"/>
              <w:ind w:left="237"/>
              <w:rPr>
                <w:sz w:val="24"/>
              </w:rPr>
            </w:pPr>
            <w:r>
              <w:rPr>
                <w:spacing w:val="-2"/>
                <w:sz w:val="24"/>
              </w:rPr>
              <w:t>147.2417</w:t>
            </w:r>
          </w:p>
        </w:tc>
      </w:tr>
      <w:tr>
        <w:trPr>
          <w:trHeight w:val="435" w:hRule="atLeast"/>
        </w:trPr>
        <w:tc>
          <w:tcPr>
            <w:tcW w:w="1354" w:type="dxa"/>
          </w:tcPr>
          <w:p>
            <w:pPr>
              <w:pStyle w:val="TableParagraph"/>
              <w:spacing w:line="240" w:lineRule="auto" w:before="74"/>
              <w:ind w:left="60"/>
              <w:rPr>
                <w:sz w:val="24"/>
              </w:rPr>
            </w:pPr>
            <w:r>
              <w:rPr>
                <w:spacing w:val="-2"/>
                <w:sz w:val="24"/>
              </w:rPr>
              <w:t>Median</w:t>
            </w:r>
          </w:p>
        </w:tc>
        <w:tc>
          <w:tcPr>
            <w:tcW w:w="1282" w:type="dxa"/>
          </w:tcPr>
          <w:p>
            <w:pPr>
              <w:pStyle w:val="TableParagraph"/>
              <w:spacing w:line="240" w:lineRule="auto" w:before="74"/>
              <w:ind w:left="196"/>
              <w:rPr>
                <w:sz w:val="24"/>
              </w:rPr>
            </w:pPr>
            <w:r>
              <w:rPr>
                <w:spacing w:val="-2"/>
                <w:sz w:val="24"/>
              </w:rPr>
              <w:t>202.2435</w:t>
            </w:r>
          </w:p>
        </w:tc>
        <w:tc>
          <w:tcPr>
            <w:tcW w:w="1313" w:type="dxa"/>
          </w:tcPr>
          <w:p>
            <w:pPr>
              <w:pStyle w:val="TableParagraph"/>
              <w:spacing w:line="240" w:lineRule="auto" w:before="74"/>
              <w:ind w:left="0" w:right="183"/>
              <w:jc w:val="right"/>
              <w:rPr>
                <w:sz w:val="24"/>
              </w:rPr>
            </w:pPr>
            <w:r>
              <w:rPr>
                <w:spacing w:val="-2"/>
                <w:sz w:val="24"/>
              </w:rPr>
              <w:t>120.1000</w:t>
            </w:r>
          </w:p>
        </w:tc>
        <w:tc>
          <w:tcPr>
            <w:tcW w:w="1303" w:type="dxa"/>
          </w:tcPr>
          <w:p>
            <w:pPr>
              <w:pStyle w:val="TableParagraph"/>
              <w:spacing w:line="240" w:lineRule="auto" w:before="74"/>
              <w:ind w:left="0" w:right="173"/>
              <w:jc w:val="right"/>
              <w:rPr>
                <w:sz w:val="24"/>
              </w:rPr>
            </w:pPr>
            <w:r>
              <w:rPr>
                <w:spacing w:val="-2"/>
                <w:sz w:val="24"/>
              </w:rPr>
              <w:t>14886.45</w:t>
            </w:r>
          </w:p>
        </w:tc>
        <w:tc>
          <w:tcPr>
            <w:tcW w:w="1313" w:type="dxa"/>
          </w:tcPr>
          <w:p>
            <w:pPr>
              <w:pStyle w:val="TableParagraph"/>
              <w:spacing w:line="240" w:lineRule="auto" w:before="74"/>
              <w:ind w:left="0" w:right="173"/>
              <w:jc w:val="right"/>
              <w:rPr>
                <w:sz w:val="24"/>
              </w:rPr>
            </w:pPr>
            <w:r>
              <w:rPr>
                <w:spacing w:val="-2"/>
                <w:sz w:val="24"/>
              </w:rPr>
              <w:t>2.535000</w:t>
            </w:r>
          </w:p>
        </w:tc>
        <w:tc>
          <w:tcPr>
            <w:tcW w:w="1485" w:type="dxa"/>
          </w:tcPr>
          <w:p>
            <w:pPr>
              <w:pStyle w:val="TableParagraph"/>
              <w:spacing w:line="240" w:lineRule="auto" w:before="74"/>
              <w:ind w:left="237"/>
              <w:rPr>
                <w:sz w:val="24"/>
              </w:rPr>
            </w:pPr>
            <w:r>
              <w:rPr>
                <w:spacing w:val="-2"/>
                <w:sz w:val="24"/>
              </w:rPr>
              <w:t>149.2350</w:t>
            </w:r>
          </w:p>
        </w:tc>
      </w:tr>
      <w:tr>
        <w:trPr>
          <w:trHeight w:val="437" w:hRule="atLeast"/>
        </w:trPr>
        <w:tc>
          <w:tcPr>
            <w:tcW w:w="1354" w:type="dxa"/>
          </w:tcPr>
          <w:p>
            <w:pPr>
              <w:pStyle w:val="TableParagraph"/>
              <w:spacing w:line="240" w:lineRule="auto" w:before="75"/>
              <w:ind w:left="60"/>
              <w:rPr>
                <w:sz w:val="24"/>
              </w:rPr>
            </w:pPr>
            <w:r>
              <w:rPr>
                <w:spacing w:val="-2"/>
                <w:sz w:val="24"/>
              </w:rPr>
              <w:t>Maximum</w:t>
            </w:r>
          </w:p>
        </w:tc>
        <w:tc>
          <w:tcPr>
            <w:tcW w:w="1282" w:type="dxa"/>
          </w:tcPr>
          <w:p>
            <w:pPr>
              <w:pStyle w:val="TableParagraph"/>
              <w:spacing w:line="240" w:lineRule="auto" w:before="75"/>
              <w:ind w:left="196"/>
              <w:rPr>
                <w:sz w:val="24"/>
              </w:rPr>
            </w:pPr>
            <w:r>
              <w:rPr>
                <w:spacing w:val="-2"/>
                <w:sz w:val="24"/>
              </w:rPr>
              <w:t>230.7930</w:t>
            </w:r>
          </w:p>
        </w:tc>
        <w:tc>
          <w:tcPr>
            <w:tcW w:w="1313" w:type="dxa"/>
          </w:tcPr>
          <w:p>
            <w:pPr>
              <w:pStyle w:val="TableParagraph"/>
              <w:spacing w:line="240" w:lineRule="auto" w:before="75"/>
              <w:ind w:left="0" w:right="183"/>
              <w:jc w:val="right"/>
              <w:rPr>
                <w:sz w:val="24"/>
              </w:rPr>
            </w:pPr>
            <w:r>
              <w:rPr>
                <w:spacing w:val="-2"/>
                <w:sz w:val="24"/>
              </w:rPr>
              <w:t>128.9000</w:t>
            </w:r>
          </w:p>
        </w:tc>
        <w:tc>
          <w:tcPr>
            <w:tcW w:w="1303" w:type="dxa"/>
          </w:tcPr>
          <w:p>
            <w:pPr>
              <w:pStyle w:val="TableParagraph"/>
              <w:spacing w:line="240" w:lineRule="auto" w:before="75"/>
              <w:ind w:left="0" w:right="173"/>
              <w:jc w:val="right"/>
              <w:rPr>
                <w:sz w:val="24"/>
              </w:rPr>
            </w:pPr>
            <w:r>
              <w:rPr>
                <w:spacing w:val="-2"/>
                <w:sz w:val="24"/>
              </w:rPr>
              <w:t>16329.39</w:t>
            </w:r>
          </w:p>
        </w:tc>
        <w:tc>
          <w:tcPr>
            <w:tcW w:w="1313" w:type="dxa"/>
          </w:tcPr>
          <w:p>
            <w:pPr>
              <w:pStyle w:val="TableParagraph"/>
              <w:spacing w:line="240" w:lineRule="auto" w:before="75"/>
              <w:ind w:left="0" w:right="173"/>
              <w:jc w:val="right"/>
              <w:rPr>
                <w:sz w:val="24"/>
              </w:rPr>
            </w:pPr>
            <w:r>
              <w:rPr>
                <w:spacing w:val="-2"/>
                <w:sz w:val="24"/>
              </w:rPr>
              <w:t>5.950000</w:t>
            </w:r>
          </w:p>
        </w:tc>
        <w:tc>
          <w:tcPr>
            <w:tcW w:w="1485" w:type="dxa"/>
          </w:tcPr>
          <w:p>
            <w:pPr>
              <w:pStyle w:val="TableParagraph"/>
              <w:spacing w:line="240" w:lineRule="auto" w:before="75"/>
              <w:ind w:left="237"/>
              <w:rPr>
                <w:sz w:val="24"/>
              </w:rPr>
            </w:pPr>
            <w:r>
              <w:rPr>
                <w:spacing w:val="-2"/>
                <w:sz w:val="24"/>
              </w:rPr>
              <w:t>167.9500</w:t>
            </w:r>
          </w:p>
        </w:tc>
      </w:tr>
      <w:tr>
        <w:trPr>
          <w:trHeight w:val="435" w:hRule="atLeast"/>
        </w:trPr>
        <w:tc>
          <w:tcPr>
            <w:tcW w:w="1354" w:type="dxa"/>
          </w:tcPr>
          <w:p>
            <w:pPr>
              <w:pStyle w:val="TableParagraph"/>
              <w:spacing w:line="240" w:lineRule="auto" w:before="75"/>
              <w:ind w:left="60"/>
              <w:rPr>
                <w:sz w:val="24"/>
              </w:rPr>
            </w:pPr>
            <w:r>
              <w:rPr>
                <w:spacing w:val="-2"/>
                <w:sz w:val="24"/>
              </w:rPr>
              <w:t>Minimum</w:t>
            </w:r>
          </w:p>
        </w:tc>
        <w:tc>
          <w:tcPr>
            <w:tcW w:w="1282" w:type="dxa"/>
          </w:tcPr>
          <w:p>
            <w:pPr>
              <w:pStyle w:val="TableParagraph"/>
              <w:spacing w:line="240" w:lineRule="auto" w:before="75"/>
              <w:ind w:left="196"/>
              <w:rPr>
                <w:sz w:val="24"/>
              </w:rPr>
            </w:pPr>
            <w:r>
              <w:rPr>
                <w:spacing w:val="-2"/>
                <w:sz w:val="24"/>
              </w:rPr>
              <w:t>132.2900</w:t>
            </w:r>
          </w:p>
        </w:tc>
        <w:tc>
          <w:tcPr>
            <w:tcW w:w="1313" w:type="dxa"/>
          </w:tcPr>
          <w:p>
            <w:pPr>
              <w:pStyle w:val="TableParagraph"/>
              <w:spacing w:line="240" w:lineRule="auto" w:before="75"/>
              <w:ind w:left="0" w:right="183"/>
              <w:jc w:val="right"/>
              <w:rPr>
                <w:sz w:val="24"/>
              </w:rPr>
            </w:pPr>
            <w:r>
              <w:rPr>
                <w:spacing w:val="-2"/>
                <w:sz w:val="24"/>
              </w:rPr>
              <w:t>77.30000</w:t>
            </w:r>
          </w:p>
        </w:tc>
        <w:tc>
          <w:tcPr>
            <w:tcW w:w="1303" w:type="dxa"/>
          </w:tcPr>
          <w:p>
            <w:pPr>
              <w:pStyle w:val="TableParagraph"/>
              <w:spacing w:line="240" w:lineRule="auto" w:before="75"/>
              <w:ind w:left="0" w:right="173"/>
              <w:jc w:val="right"/>
              <w:rPr>
                <w:sz w:val="24"/>
              </w:rPr>
            </w:pPr>
            <w:r>
              <w:rPr>
                <w:spacing w:val="-2"/>
                <w:sz w:val="24"/>
              </w:rPr>
              <w:t>13732.23</w:t>
            </w:r>
          </w:p>
        </w:tc>
        <w:tc>
          <w:tcPr>
            <w:tcW w:w="1313" w:type="dxa"/>
          </w:tcPr>
          <w:p>
            <w:pPr>
              <w:pStyle w:val="TableParagraph"/>
              <w:spacing w:line="240" w:lineRule="auto" w:before="75"/>
              <w:ind w:left="0" w:right="173"/>
              <w:jc w:val="right"/>
              <w:rPr>
                <w:sz w:val="24"/>
              </w:rPr>
            </w:pPr>
            <w:r>
              <w:rPr>
                <w:spacing w:val="-2"/>
                <w:sz w:val="24"/>
              </w:rPr>
              <w:t>1.320000</w:t>
            </w:r>
          </w:p>
        </w:tc>
        <w:tc>
          <w:tcPr>
            <w:tcW w:w="1485" w:type="dxa"/>
          </w:tcPr>
          <w:p>
            <w:pPr>
              <w:pStyle w:val="TableParagraph"/>
              <w:spacing w:line="240" w:lineRule="auto" w:before="75"/>
              <w:ind w:left="237"/>
              <w:rPr>
                <w:sz w:val="24"/>
              </w:rPr>
            </w:pPr>
            <w:r>
              <w:rPr>
                <w:spacing w:val="-2"/>
                <w:sz w:val="24"/>
              </w:rPr>
              <w:t>104.0200</w:t>
            </w:r>
          </w:p>
        </w:tc>
      </w:tr>
      <w:tr>
        <w:trPr>
          <w:trHeight w:val="435" w:hRule="atLeast"/>
        </w:trPr>
        <w:tc>
          <w:tcPr>
            <w:tcW w:w="1354" w:type="dxa"/>
          </w:tcPr>
          <w:p>
            <w:pPr>
              <w:pStyle w:val="TableParagraph"/>
              <w:spacing w:line="240" w:lineRule="auto" w:before="74"/>
              <w:ind w:left="60"/>
              <w:rPr>
                <w:sz w:val="24"/>
              </w:rPr>
            </w:pPr>
            <w:r>
              <w:rPr>
                <w:sz w:val="24"/>
              </w:rPr>
              <w:t>Std. </w:t>
            </w:r>
            <w:r>
              <w:rPr>
                <w:spacing w:val="-4"/>
                <w:sz w:val="24"/>
              </w:rPr>
              <w:t>Dev.</w:t>
            </w:r>
          </w:p>
        </w:tc>
        <w:tc>
          <w:tcPr>
            <w:tcW w:w="1282" w:type="dxa"/>
          </w:tcPr>
          <w:p>
            <w:pPr>
              <w:pStyle w:val="TableParagraph"/>
              <w:spacing w:line="240" w:lineRule="auto" w:before="74"/>
              <w:ind w:left="196"/>
              <w:rPr>
                <w:sz w:val="24"/>
              </w:rPr>
            </w:pPr>
            <w:r>
              <w:rPr>
                <w:spacing w:val="-2"/>
                <w:sz w:val="24"/>
              </w:rPr>
              <w:t>24.76330</w:t>
            </w:r>
          </w:p>
        </w:tc>
        <w:tc>
          <w:tcPr>
            <w:tcW w:w="1313" w:type="dxa"/>
          </w:tcPr>
          <w:p>
            <w:pPr>
              <w:pStyle w:val="TableParagraph"/>
              <w:spacing w:line="240" w:lineRule="auto" w:before="74"/>
              <w:ind w:left="0" w:right="183"/>
              <w:jc w:val="right"/>
              <w:rPr>
                <w:sz w:val="24"/>
              </w:rPr>
            </w:pPr>
            <w:r>
              <w:rPr>
                <w:spacing w:val="-2"/>
                <w:sz w:val="24"/>
              </w:rPr>
              <w:t>16.51996</w:t>
            </w:r>
          </w:p>
        </w:tc>
        <w:tc>
          <w:tcPr>
            <w:tcW w:w="1303" w:type="dxa"/>
          </w:tcPr>
          <w:p>
            <w:pPr>
              <w:pStyle w:val="TableParagraph"/>
              <w:spacing w:line="240" w:lineRule="auto" w:before="74"/>
              <w:ind w:left="0" w:right="173"/>
              <w:jc w:val="right"/>
              <w:rPr>
                <w:sz w:val="24"/>
              </w:rPr>
            </w:pPr>
            <w:r>
              <w:rPr>
                <w:spacing w:val="-2"/>
                <w:sz w:val="24"/>
              </w:rPr>
              <w:t>669.9591</w:t>
            </w:r>
          </w:p>
        </w:tc>
        <w:tc>
          <w:tcPr>
            <w:tcW w:w="1313" w:type="dxa"/>
          </w:tcPr>
          <w:p>
            <w:pPr>
              <w:pStyle w:val="TableParagraph"/>
              <w:spacing w:line="240" w:lineRule="auto" w:before="74"/>
              <w:ind w:left="0" w:right="173"/>
              <w:jc w:val="right"/>
              <w:rPr>
                <w:sz w:val="24"/>
              </w:rPr>
            </w:pPr>
            <w:r>
              <w:rPr>
                <w:spacing w:val="-2"/>
                <w:sz w:val="24"/>
              </w:rPr>
              <w:t>1.330747</w:t>
            </w:r>
          </w:p>
        </w:tc>
        <w:tc>
          <w:tcPr>
            <w:tcW w:w="1485" w:type="dxa"/>
          </w:tcPr>
          <w:p>
            <w:pPr>
              <w:pStyle w:val="TableParagraph"/>
              <w:spacing w:line="240" w:lineRule="auto" w:before="74"/>
              <w:ind w:left="237"/>
              <w:rPr>
                <w:sz w:val="24"/>
              </w:rPr>
            </w:pPr>
            <w:r>
              <w:rPr>
                <w:spacing w:val="-2"/>
                <w:sz w:val="24"/>
              </w:rPr>
              <w:t>12.09113</w:t>
            </w:r>
          </w:p>
        </w:tc>
      </w:tr>
      <w:tr>
        <w:trPr>
          <w:trHeight w:val="436" w:hRule="atLeast"/>
        </w:trPr>
        <w:tc>
          <w:tcPr>
            <w:tcW w:w="1354" w:type="dxa"/>
          </w:tcPr>
          <w:p>
            <w:pPr>
              <w:pStyle w:val="TableParagraph"/>
              <w:spacing w:line="240" w:lineRule="auto" w:before="75"/>
              <w:ind w:left="60"/>
              <w:rPr>
                <w:sz w:val="24"/>
              </w:rPr>
            </w:pPr>
            <w:r>
              <w:rPr>
                <w:spacing w:val="-2"/>
                <w:sz w:val="24"/>
              </w:rPr>
              <w:t>Skewness</w:t>
            </w:r>
          </w:p>
        </w:tc>
        <w:tc>
          <w:tcPr>
            <w:tcW w:w="1282" w:type="dxa"/>
          </w:tcPr>
          <w:p>
            <w:pPr>
              <w:pStyle w:val="TableParagraph"/>
              <w:spacing w:line="240" w:lineRule="auto" w:before="75"/>
              <w:ind w:left="136"/>
              <w:rPr>
                <w:sz w:val="24"/>
              </w:rPr>
            </w:pPr>
            <w:r>
              <w:rPr>
                <w:spacing w:val="-2"/>
                <w:sz w:val="24"/>
              </w:rPr>
              <w:t>-0.755985</w:t>
            </w:r>
          </w:p>
        </w:tc>
        <w:tc>
          <w:tcPr>
            <w:tcW w:w="1313" w:type="dxa"/>
          </w:tcPr>
          <w:p>
            <w:pPr>
              <w:pStyle w:val="TableParagraph"/>
              <w:spacing w:line="240" w:lineRule="auto" w:before="75"/>
              <w:ind w:left="167"/>
              <w:rPr>
                <w:sz w:val="24"/>
              </w:rPr>
            </w:pPr>
            <w:r>
              <w:rPr>
                <w:spacing w:val="-2"/>
                <w:sz w:val="24"/>
              </w:rPr>
              <w:t>-0.958122</w:t>
            </w:r>
          </w:p>
        </w:tc>
        <w:tc>
          <w:tcPr>
            <w:tcW w:w="1303" w:type="dxa"/>
          </w:tcPr>
          <w:p>
            <w:pPr>
              <w:pStyle w:val="TableParagraph"/>
              <w:spacing w:line="240" w:lineRule="auto" w:before="75"/>
              <w:ind w:left="0" w:right="173"/>
              <w:jc w:val="right"/>
              <w:rPr>
                <w:sz w:val="24"/>
              </w:rPr>
            </w:pPr>
            <w:r>
              <w:rPr>
                <w:spacing w:val="-2"/>
                <w:sz w:val="24"/>
              </w:rPr>
              <w:t>0.209200</w:t>
            </w:r>
          </w:p>
        </w:tc>
        <w:tc>
          <w:tcPr>
            <w:tcW w:w="1313" w:type="dxa"/>
          </w:tcPr>
          <w:p>
            <w:pPr>
              <w:pStyle w:val="TableParagraph"/>
              <w:spacing w:line="240" w:lineRule="auto" w:before="75"/>
              <w:ind w:left="0" w:right="173"/>
              <w:jc w:val="right"/>
              <w:rPr>
                <w:sz w:val="24"/>
              </w:rPr>
            </w:pPr>
            <w:r>
              <w:rPr>
                <w:spacing w:val="-2"/>
                <w:sz w:val="24"/>
              </w:rPr>
              <w:t>0.960410</w:t>
            </w:r>
          </w:p>
        </w:tc>
        <w:tc>
          <w:tcPr>
            <w:tcW w:w="1485" w:type="dxa"/>
          </w:tcPr>
          <w:p>
            <w:pPr>
              <w:pStyle w:val="TableParagraph"/>
              <w:spacing w:line="240" w:lineRule="auto" w:before="75"/>
              <w:ind w:left="177"/>
              <w:rPr>
                <w:sz w:val="24"/>
              </w:rPr>
            </w:pPr>
            <w:r>
              <w:rPr>
                <w:spacing w:val="-2"/>
                <w:sz w:val="24"/>
              </w:rPr>
              <w:t>-1.056781</w:t>
            </w:r>
          </w:p>
        </w:tc>
      </w:tr>
      <w:tr>
        <w:trPr>
          <w:trHeight w:val="654" w:hRule="atLeast"/>
        </w:trPr>
        <w:tc>
          <w:tcPr>
            <w:tcW w:w="1354" w:type="dxa"/>
          </w:tcPr>
          <w:p>
            <w:pPr>
              <w:pStyle w:val="TableParagraph"/>
              <w:spacing w:line="240" w:lineRule="auto" w:before="75"/>
              <w:ind w:left="60"/>
              <w:rPr>
                <w:sz w:val="24"/>
              </w:rPr>
            </w:pPr>
            <w:r>
              <w:rPr>
                <w:spacing w:val="-2"/>
                <w:sz w:val="24"/>
              </w:rPr>
              <w:t>Kurtosis</w:t>
            </w:r>
          </w:p>
        </w:tc>
        <w:tc>
          <w:tcPr>
            <w:tcW w:w="1282" w:type="dxa"/>
          </w:tcPr>
          <w:p>
            <w:pPr>
              <w:pStyle w:val="TableParagraph"/>
              <w:spacing w:line="240" w:lineRule="auto" w:before="75"/>
              <w:ind w:left="196"/>
              <w:rPr>
                <w:sz w:val="24"/>
              </w:rPr>
            </w:pPr>
            <w:r>
              <w:rPr>
                <w:spacing w:val="-2"/>
                <w:sz w:val="24"/>
              </w:rPr>
              <w:t>2.521922</w:t>
            </w:r>
          </w:p>
        </w:tc>
        <w:tc>
          <w:tcPr>
            <w:tcW w:w="1313" w:type="dxa"/>
          </w:tcPr>
          <w:p>
            <w:pPr>
              <w:pStyle w:val="TableParagraph"/>
              <w:spacing w:line="240" w:lineRule="auto" w:before="75"/>
              <w:ind w:left="0" w:right="183"/>
              <w:jc w:val="right"/>
              <w:rPr>
                <w:sz w:val="24"/>
              </w:rPr>
            </w:pPr>
            <w:r>
              <w:rPr>
                <w:spacing w:val="-2"/>
                <w:sz w:val="24"/>
              </w:rPr>
              <w:t>2.355259</w:t>
            </w:r>
          </w:p>
        </w:tc>
        <w:tc>
          <w:tcPr>
            <w:tcW w:w="1303" w:type="dxa"/>
          </w:tcPr>
          <w:p>
            <w:pPr>
              <w:pStyle w:val="TableParagraph"/>
              <w:spacing w:line="240" w:lineRule="auto" w:before="75"/>
              <w:ind w:left="0" w:right="173"/>
              <w:jc w:val="right"/>
              <w:rPr>
                <w:sz w:val="24"/>
              </w:rPr>
            </w:pPr>
            <w:r>
              <w:rPr>
                <w:spacing w:val="-2"/>
                <w:sz w:val="24"/>
              </w:rPr>
              <w:t>1.995008</w:t>
            </w:r>
          </w:p>
        </w:tc>
        <w:tc>
          <w:tcPr>
            <w:tcW w:w="1313" w:type="dxa"/>
          </w:tcPr>
          <w:p>
            <w:pPr>
              <w:pStyle w:val="TableParagraph"/>
              <w:spacing w:line="240" w:lineRule="auto" w:before="75"/>
              <w:ind w:left="0" w:right="173"/>
              <w:jc w:val="right"/>
              <w:rPr>
                <w:sz w:val="24"/>
              </w:rPr>
            </w:pPr>
            <w:r>
              <w:rPr>
                <w:spacing w:val="-2"/>
                <w:sz w:val="24"/>
              </w:rPr>
              <w:t>2.796408</w:t>
            </w:r>
          </w:p>
        </w:tc>
        <w:tc>
          <w:tcPr>
            <w:tcW w:w="1485" w:type="dxa"/>
          </w:tcPr>
          <w:p>
            <w:pPr>
              <w:pStyle w:val="TableParagraph"/>
              <w:spacing w:line="240" w:lineRule="auto" w:before="75"/>
              <w:ind w:left="237"/>
              <w:rPr>
                <w:sz w:val="24"/>
              </w:rPr>
            </w:pPr>
            <w:r>
              <w:rPr>
                <w:spacing w:val="-2"/>
                <w:sz w:val="24"/>
              </w:rPr>
              <w:t>4.402353</w:t>
            </w:r>
          </w:p>
        </w:tc>
      </w:tr>
      <w:tr>
        <w:trPr>
          <w:trHeight w:val="653" w:hRule="atLeast"/>
        </w:trPr>
        <w:tc>
          <w:tcPr>
            <w:tcW w:w="1354" w:type="dxa"/>
          </w:tcPr>
          <w:p>
            <w:pPr>
              <w:pStyle w:val="TableParagraph"/>
              <w:spacing w:line="240" w:lineRule="auto" w:before="16"/>
              <w:ind w:left="0"/>
              <w:rPr>
                <w:sz w:val="24"/>
              </w:rPr>
            </w:pPr>
          </w:p>
          <w:p>
            <w:pPr>
              <w:pStyle w:val="TableParagraph"/>
              <w:spacing w:line="240" w:lineRule="auto" w:before="0"/>
              <w:ind w:left="60"/>
              <w:rPr>
                <w:sz w:val="24"/>
              </w:rPr>
            </w:pPr>
            <w:r>
              <w:rPr>
                <w:spacing w:val="-2"/>
                <w:sz w:val="24"/>
              </w:rPr>
              <w:t>Jarque-</w:t>
            </w:r>
            <w:r>
              <w:rPr>
                <w:spacing w:val="-4"/>
                <w:sz w:val="24"/>
              </w:rPr>
              <w:t>Bera</w:t>
            </w:r>
          </w:p>
        </w:tc>
        <w:tc>
          <w:tcPr>
            <w:tcW w:w="1282" w:type="dxa"/>
          </w:tcPr>
          <w:p>
            <w:pPr>
              <w:pStyle w:val="TableParagraph"/>
              <w:spacing w:line="240" w:lineRule="auto" w:before="16"/>
              <w:ind w:left="0"/>
              <w:rPr>
                <w:sz w:val="24"/>
              </w:rPr>
            </w:pPr>
          </w:p>
          <w:p>
            <w:pPr>
              <w:pStyle w:val="TableParagraph"/>
              <w:spacing w:line="240" w:lineRule="auto" w:before="0"/>
              <w:ind w:left="196"/>
              <w:rPr>
                <w:sz w:val="24"/>
              </w:rPr>
            </w:pPr>
            <w:r>
              <w:rPr>
                <w:spacing w:val="-2"/>
                <w:sz w:val="24"/>
              </w:rPr>
              <w:t>6.286534</w:t>
            </w:r>
          </w:p>
        </w:tc>
        <w:tc>
          <w:tcPr>
            <w:tcW w:w="1313" w:type="dxa"/>
          </w:tcPr>
          <w:p>
            <w:pPr>
              <w:pStyle w:val="TableParagraph"/>
              <w:spacing w:line="240" w:lineRule="auto" w:before="16"/>
              <w:ind w:left="0"/>
              <w:rPr>
                <w:sz w:val="24"/>
              </w:rPr>
            </w:pPr>
          </w:p>
          <w:p>
            <w:pPr>
              <w:pStyle w:val="TableParagraph"/>
              <w:spacing w:line="240" w:lineRule="auto" w:before="0"/>
              <w:ind w:left="0" w:right="183"/>
              <w:jc w:val="right"/>
              <w:rPr>
                <w:sz w:val="24"/>
              </w:rPr>
            </w:pPr>
            <w:r>
              <w:rPr>
                <w:spacing w:val="-2"/>
                <w:sz w:val="24"/>
              </w:rPr>
              <w:t>10.21921</w:t>
            </w:r>
          </w:p>
        </w:tc>
        <w:tc>
          <w:tcPr>
            <w:tcW w:w="1303" w:type="dxa"/>
          </w:tcPr>
          <w:p>
            <w:pPr>
              <w:pStyle w:val="TableParagraph"/>
              <w:spacing w:line="240" w:lineRule="auto" w:before="16"/>
              <w:ind w:left="0"/>
              <w:rPr>
                <w:sz w:val="24"/>
              </w:rPr>
            </w:pPr>
          </w:p>
          <w:p>
            <w:pPr>
              <w:pStyle w:val="TableParagraph"/>
              <w:spacing w:line="240" w:lineRule="auto" w:before="0"/>
              <w:ind w:left="0" w:right="173"/>
              <w:jc w:val="right"/>
              <w:rPr>
                <w:sz w:val="24"/>
              </w:rPr>
            </w:pPr>
            <w:r>
              <w:rPr>
                <w:spacing w:val="-2"/>
                <w:sz w:val="24"/>
              </w:rPr>
              <w:t>2.962668</w:t>
            </w:r>
          </w:p>
        </w:tc>
        <w:tc>
          <w:tcPr>
            <w:tcW w:w="1313" w:type="dxa"/>
          </w:tcPr>
          <w:p>
            <w:pPr>
              <w:pStyle w:val="TableParagraph"/>
              <w:spacing w:line="240" w:lineRule="auto" w:before="16"/>
              <w:ind w:left="0"/>
              <w:rPr>
                <w:sz w:val="24"/>
              </w:rPr>
            </w:pPr>
          </w:p>
          <w:p>
            <w:pPr>
              <w:pStyle w:val="TableParagraph"/>
              <w:spacing w:line="240" w:lineRule="auto" w:before="0"/>
              <w:ind w:left="0" w:right="173"/>
              <w:jc w:val="right"/>
              <w:rPr>
                <w:sz w:val="24"/>
              </w:rPr>
            </w:pPr>
            <w:r>
              <w:rPr>
                <w:spacing w:val="-2"/>
                <w:sz w:val="24"/>
              </w:rPr>
              <w:t>9.327507</w:t>
            </w:r>
          </w:p>
        </w:tc>
        <w:tc>
          <w:tcPr>
            <w:tcW w:w="1485" w:type="dxa"/>
          </w:tcPr>
          <w:p>
            <w:pPr>
              <w:pStyle w:val="TableParagraph"/>
              <w:spacing w:line="240" w:lineRule="auto" w:before="16"/>
              <w:ind w:left="0"/>
              <w:rPr>
                <w:sz w:val="24"/>
              </w:rPr>
            </w:pPr>
          </w:p>
          <w:p>
            <w:pPr>
              <w:pStyle w:val="TableParagraph"/>
              <w:spacing w:line="240" w:lineRule="auto" w:before="0"/>
              <w:ind w:left="237"/>
              <w:rPr>
                <w:sz w:val="24"/>
              </w:rPr>
            </w:pPr>
            <w:r>
              <w:rPr>
                <w:spacing w:val="-2"/>
                <w:sz w:val="24"/>
              </w:rPr>
              <w:t>16.08435</w:t>
            </w:r>
          </w:p>
        </w:tc>
      </w:tr>
      <w:tr>
        <w:trPr>
          <w:trHeight w:val="351" w:hRule="atLeast"/>
        </w:trPr>
        <w:tc>
          <w:tcPr>
            <w:tcW w:w="1354" w:type="dxa"/>
          </w:tcPr>
          <w:p>
            <w:pPr>
              <w:pStyle w:val="TableParagraph"/>
              <w:spacing w:line="256" w:lineRule="exact" w:before="75"/>
              <w:ind w:left="60"/>
              <w:rPr>
                <w:sz w:val="24"/>
              </w:rPr>
            </w:pPr>
            <w:r>
              <w:rPr>
                <w:spacing w:val="-2"/>
                <w:sz w:val="24"/>
              </w:rPr>
              <w:t>Probability</w:t>
            </w:r>
          </w:p>
        </w:tc>
        <w:tc>
          <w:tcPr>
            <w:tcW w:w="1282" w:type="dxa"/>
          </w:tcPr>
          <w:p>
            <w:pPr>
              <w:pStyle w:val="TableParagraph"/>
              <w:spacing w:line="256" w:lineRule="exact" w:before="75"/>
              <w:ind w:left="196"/>
              <w:rPr>
                <w:sz w:val="24"/>
              </w:rPr>
            </w:pPr>
            <w:r>
              <w:rPr>
                <w:spacing w:val="-2"/>
                <w:sz w:val="24"/>
              </w:rPr>
              <w:t>0.043142</w:t>
            </w:r>
          </w:p>
        </w:tc>
        <w:tc>
          <w:tcPr>
            <w:tcW w:w="1313" w:type="dxa"/>
          </w:tcPr>
          <w:p>
            <w:pPr>
              <w:pStyle w:val="TableParagraph"/>
              <w:spacing w:line="256" w:lineRule="exact" w:before="75"/>
              <w:ind w:left="0" w:right="183"/>
              <w:jc w:val="right"/>
              <w:rPr>
                <w:sz w:val="24"/>
              </w:rPr>
            </w:pPr>
            <w:r>
              <w:rPr>
                <w:spacing w:val="-2"/>
                <w:sz w:val="24"/>
              </w:rPr>
              <w:t>0.006038</w:t>
            </w:r>
          </w:p>
        </w:tc>
        <w:tc>
          <w:tcPr>
            <w:tcW w:w="1303" w:type="dxa"/>
          </w:tcPr>
          <w:p>
            <w:pPr>
              <w:pStyle w:val="TableParagraph"/>
              <w:spacing w:line="256" w:lineRule="exact" w:before="75"/>
              <w:ind w:left="0" w:right="173"/>
              <w:jc w:val="right"/>
              <w:rPr>
                <w:sz w:val="24"/>
              </w:rPr>
            </w:pPr>
            <w:r>
              <w:rPr>
                <w:spacing w:val="-2"/>
                <w:sz w:val="24"/>
              </w:rPr>
              <w:t>0.227334</w:t>
            </w:r>
          </w:p>
        </w:tc>
        <w:tc>
          <w:tcPr>
            <w:tcW w:w="1313" w:type="dxa"/>
          </w:tcPr>
          <w:p>
            <w:pPr>
              <w:pStyle w:val="TableParagraph"/>
              <w:spacing w:line="256" w:lineRule="exact" w:before="75"/>
              <w:ind w:left="0" w:right="173"/>
              <w:jc w:val="right"/>
              <w:rPr>
                <w:sz w:val="24"/>
              </w:rPr>
            </w:pPr>
            <w:r>
              <w:rPr>
                <w:spacing w:val="-2"/>
                <w:sz w:val="24"/>
              </w:rPr>
              <w:t>0.009431</w:t>
            </w:r>
          </w:p>
        </w:tc>
        <w:tc>
          <w:tcPr>
            <w:tcW w:w="1485" w:type="dxa"/>
          </w:tcPr>
          <w:p>
            <w:pPr>
              <w:pStyle w:val="TableParagraph"/>
              <w:spacing w:line="256" w:lineRule="exact" w:before="75"/>
              <w:ind w:left="237"/>
              <w:rPr>
                <w:sz w:val="24"/>
              </w:rPr>
            </w:pPr>
            <w:r>
              <w:rPr>
                <w:spacing w:val="-2"/>
                <w:sz w:val="24"/>
              </w:rPr>
              <w:t>0.000322</w:t>
            </w:r>
          </w:p>
        </w:tc>
      </w:tr>
    </w:tbl>
    <w:p>
      <w:pPr>
        <w:pStyle w:val="TableParagraph"/>
        <w:spacing w:after="0" w:line="256" w:lineRule="exact"/>
        <w:rPr>
          <w:sz w:val="24"/>
        </w:rPr>
        <w:sectPr>
          <w:type w:val="continuous"/>
          <w:pgSz w:w="11910" w:h="16840"/>
          <w:pgMar w:header="0" w:footer="1000" w:top="1400" w:bottom="1200" w:left="1417" w:right="1275"/>
        </w:sectPr>
      </w:pPr>
    </w:p>
    <w:p>
      <w:pPr>
        <w:pStyle w:val="BodyText"/>
        <w:spacing w:before="5"/>
        <w:rPr>
          <w:sz w:val="2"/>
        </w:rPr>
      </w:pPr>
    </w:p>
    <w:tbl>
      <w:tblPr>
        <w:tblW w:w="0" w:type="auto"/>
        <w:jc w:val="left"/>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62"/>
        <w:gridCol w:w="1185"/>
        <w:gridCol w:w="1313"/>
        <w:gridCol w:w="1343"/>
        <w:gridCol w:w="1283"/>
        <w:gridCol w:w="1156"/>
      </w:tblGrid>
      <w:tr>
        <w:trPr>
          <w:trHeight w:val="350" w:hRule="atLeast"/>
        </w:trPr>
        <w:tc>
          <w:tcPr>
            <w:tcW w:w="1462" w:type="dxa"/>
          </w:tcPr>
          <w:p>
            <w:pPr>
              <w:pStyle w:val="TableParagraph"/>
              <w:spacing w:line="266" w:lineRule="exact" w:before="0"/>
              <w:ind w:left="50"/>
              <w:rPr>
                <w:sz w:val="24"/>
              </w:rPr>
            </w:pPr>
            <w:r>
              <w:rPr>
                <w:spacing w:val="-5"/>
                <w:sz w:val="24"/>
              </w:rPr>
              <w:t>Sum</w:t>
            </w:r>
          </w:p>
        </w:tc>
        <w:tc>
          <w:tcPr>
            <w:tcW w:w="1185" w:type="dxa"/>
          </w:tcPr>
          <w:p>
            <w:pPr>
              <w:pStyle w:val="TableParagraph"/>
              <w:spacing w:line="266" w:lineRule="exact" w:before="0"/>
              <w:ind w:left="78"/>
              <w:rPr>
                <w:sz w:val="24"/>
              </w:rPr>
            </w:pPr>
            <w:r>
              <w:rPr>
                <w:spacing w:val="-2"/>
                <w:sz w:val="24"/>
              </w:rPr>
              <w:t>11572.90</w:t>
            </w:r>
          </w:p>
        </w:tc>
        <w:tc>
          <w:tcPr>
            <w:tcW w:w="1313" w:type="dxa"/>
          </w:tcPr>
          <w:p>
            <w:pPr>
              <w:pStyle w:val="TableParagraph"/>
              <w:spacing w:line="266" w:lineRule="exact" w:before="0"/>
              <w:ind w:left="206"/>
              <w:rPr>
                <w:sz w:val="24"/>
              </w:rPr>
            </w:pPr>
            <w:r>
              <w:rPr>
                <w:spacing w:val="-2"/>
                <w:sz w:val="24"/>
              </w:rPr>
              <w:t>6728.900</w:t>
            </w:r>
          </w:p>
        </w:tc>
        <w:tc>
          <w:tcPr>
            <w:tcW w:w="1343" w:type="dxa"/>
          </w:tcPr>
          <w:p>
            <w:pPr>
              <w:pStyle w:val="TableParagraph"/>
              <w:spacing w:line="266" w:lineRule="exact" w:before="0"/>
              <w:ind w:left="206"/>
              <w:rPr>
                <w:sz w:val="24"/>
              </w:rPr>
            </w:pPr>
            <w:r>
              <w:rPr>
                <w:spacing w:val="-2"/>
                <w:sz w:val="24"/>
              </w:rPr>
              <w:t>897990.4</w:t>
            </w:r>
          </w:p>
        </w:tc>
        <w:tc>
          <w:tcPr>
            <w:tcW w:w="1283" w:type="dxa"/>
          </w:tcPr>
          <w:p>
            <w:pPr>
              <w:pStyle w:val="TableParagraph"/>
              <w:spacing w:line="266" w:lineRule="exact" w:before="0"/>
              <w:ind w:left="176"/>
              <w:rPr>
                <w:sz w:val="24"/>
              </w:rPr>
            </w:pPr>
            <w:r>
              <w:rPr>
                <w:spacing w:val="-2"/>
                <w:sz w:val="24"/>
              </w:rPr>
              <w:t>165.4900</w:t>
            </w:r>
          </w:p>
        </w:tc>
        <w:tc>
          <w:tcPr>
            <w:tcW w:w="1156" w:type="dxa"/>
          </w:tcPr>
          <w:p>
            <w:pPr>
              <w:pStyle w:val="TableParagraph"/>
              <w:spacing w:line="266" w:lineRule="exact" w:before="0"/>
              <w:ind w:left="206"/>
              <w:rPr>
                <w:sz w:val="24"/>
              </w:rPr>
            </w:pPr>
            <w:r>
              <w:rPr>
                <w:spacing w:val="-2"/>
                <w:sz w:val="24"/>
              </w:rPr>
              <w:t>8834.500</w:t>
            </w:r>
          </w:p>
        </w:tc>
      </w:tr>
      <w:tr>
        <w:trPr>
          <w:trHeight w:val="654" w:hRule="atLeast"/>
        </w:trPr>
        <w:tc>
          <w:tcPr>
            <w:tcW w:w="1462" w:type="dxa"/>
          </w:tcPr>
          <w:p>
            <w:pPr>
              <w:pStyle w:val="TableParagraph"/>
              <w:spacing w:line="240" w:lineRule="auto" w:before="74"/>
              <w:ind w:left="50"/>
              <w:rPr>
                <w:sz w:val="24"/>
              </w:rPr>
            </w:pPr>
            <w:r>
              <w:rPr>
                <w:sz w:val="24"/>
              </w:rPr>
              <w:t>Sum</w:t>
            </w:r>
            <w:r>
              <w:rPr>
                <w:spacing w:val="-2"/>
                <w:sz w:val="24"/>
              </w:rPr>
              <w:t> </w:t>
            </w:r>
            <w:r>
              <w:rPr>
                <w:sz w:val="24"/>
              </w:rPr>
              <w:t>Sq.</w:t>
            </w:r>
            <w:r>
              <w:rPr>
                <w:spacing w:val="1"/>
                <w:sz w:val="24"/>
              </w:rPr>
              <w:t> </w:t>
            </w:r>
            <w:r>
              <w:rPr>
                <w:spacing w:val="-4"/>
                <w:sz w:val="24"/>
              </w:rPr>
              <w:t>Dev.</w:t>
            </w:r>
          </w:p>
        </w:tc>
        <w:tc>
          <w:tcPr>
            <w:tcW w:w="1185" w:type="dxa"/>
          </w:tcPr>
          <w:p>
            <w:pPr>
              <w:pStyle w:val="TableParagraph"/>
              <w:spacing w:line="240" w:lineRule="auto" w:before="74"/>
              <w:ind w:left="78"/>
              <w:rPr>
                <w:sz w:val="24"/>
              </w:rPr>
            </w:pPr>
            <w:r>
              <w:rPr>
                <w:spacing w:val="-2"/>
                <w:sz w:val="24"/>
              </w:rPr>
              <w:t>36180.03</w:t>
            </w:r>
          </w:p>
        </w:tc>
        <w:tc>
          <w:tcPr>
            <w:tcW w:w="1313" w:type="dxa"/>
          </w:tcPr>
          <w:p>
            <w:pPr>
              <w:pStyle w:val="TableParagraph"/>
              <w:spacing w:line="240" w:lineRule="auto" w:before="74"/>
              <w:ind w:left="206"/>
              <w:rPr>
                <w:sz w:val="24"/>
              </w:rPr>
            </w:pPr>
            <w:r>
              <w:rPr>
                <w:spacing w:val="-2"/>
                <w:sz w:val="24"/>
              </w:rPr>
              <w:t>16101.63</w:t>
            </w:r>
          </w:p>
        </w:tc>
        <w:tc>
          <w:tcPr>
            <w:tcW w:w="1343" w:type="dxa"/>
          </w:tcPr>
          <w:p>
            <w:pPr>
              <w:pStyle w:val="TableParagraph"/>
              <w:spacing w:line="240" w:lineRule="auto" w:before="74"/>
              <w:ind w:left="206"/>
              <w:rPr>
                <w:sz w:val="24"/>
              </w:rPr>
            </w:pPr>
            <w:r>
              <w:rPr>
                <w:spacing w:val="-2"/>
                <w:sz w:val="24"/>
              </w:rPr>
              <w:t>26481869</w:t>
            </w:r>
          </w:p>
        </w:tc>
        <w:tc>
          <w:tcPr>
            <w:tcW w:w="1283" w:type="dxa"/>
          </w:tcPr>
          <w:p>
            <w:pPr>
              <w:pStyle w:val="TableParagraph"/>
              <w:spacing w:line="240" w:lineRule="auto" w:before="74"/>
              <w:ind w:left="176"/>
              <w:rPr>
                <w:sz w:val="24"/>
              </w:rPr>
            </w:pPr>
            <w:r>
              <w:rPr>
                <w:spacing w:val="-2"/>
                <w:sz w:val="24"/>
              </w:rPr>
              <w:t>104.4823</w:t>
            </w:r>
          </w:p>
        </w:tc>
        <w:tc>
          <w:tcPr>
            <w:tcW w:w="1156" w:type="dxa"/>
          </w:tcPr>
          <w:p>
            <w:pPr>
              <w:pStyle w:val="TableParagraph"/>
              <w:spacing w:line="240" w:lineRule="auto" w:before="74"/>
              <w:ind w:left="206"/>
              <w:rPr>
                <w:sz w:val="24"/>
              </w:rPr>
            </w:pPr>
            <w:r>
              <w:rPr>
                <w:spacing w:val="-2"/>
                <w:sz w:val="24"/>
              </w:rPr>
              <w:t>8625.535</w:t>
            </w:r>
          </w:p>
        </w:tc>
      </w:tr>
      <w:tr>
        <w:trPr>
          <w:trHeight w:val="569" w:hRule="atLeast"/>
        </w:trPr>
        <w:tc>
          <w:tcPr>
            <w:tcW w:w="1462" w:type="dxa"/>
          </w:tcPr>
          <w:p>
            <w:pPr>
              <w:pStyle w:val="TableParagraph"/>
              <w:spacing w:line="240" w:lineRule="auto" w:before="17"/>
              <w:ind w:left="0"/>
              <w:rPr>
                <w:sz w:val="24"/>
              </w:rPr>
            </w:pPr>
          </w:p>
          <w:p>
            <w:pPr>
              <w:pStyle w:val="TableParagraph"/>
              <w:spacing w:line="256" w:lineRule="exact" w:before="0"/>
              <w:ind w:left="50"/>
              <w:rPr>
                <w:sz w:val="24"/>
              </w:rPr>
            </w:pPr>
            <w:r>
              <w:rPr>
                <w:spacing w:val="-2"/>
                <w:sz w:val="24"/>
              </w:rPr>
              <w:t>Observations</w:t>
            </w:r>
          </w:p>
        </w:tc>
        <w:tc>
          <w:tcPr>
            <w:tcW w:w="1185" w:type="dxa"/>
          </w:tcPr>
          <w:p>
            <w:pPr>
              <w:pStyle w:val="TableParagraph"/>
              <w:spacing w:line="240" w:lineRule="auto" w:before="17"/>
              <w:ind w:left="0"/>
              <w:rPr>
                <w:sz w:val="24"/>
              </w:rPr>
            </w:pPr>
          </w:p>
          <w:p>
            <w:pPr>
              <w:pStyle w:val="TableParagraph"/>
              <w:spacing w:line="256" w:lineRule="exact" w:before="0"/>
              <w:ind w:left="78"/>
              <w:rPr>
                <w:sz w:val="24"/>
              </w:rPr>
            </w:pPr>
            <w:r>
              <w:rPr>
                <w:spacing w:val="-5"/>
                <w:sz w:val="24"/>
              </w:rPr>
              <w:t>60</w:t>
            </w:r>
          </w:p>
        </w:tc>
        <w:tc>
          <w:tcPr>
            <w:tcW w:w="1313" w:type="dxa"/>
          </w:tcPr>
          <w:p>
            <w:pPr>
              <w:pStyle w:val="TableParagraph"/>
              <w:spacing w:line="240" w:lineRule="auto" w:before="17"/>
              <w:ind w:left="0"/>
              <w:rPr>
                <w:sz w:val="24"/>
              </w:rPr>
            </w:pPr>
          </w:p>
          <w:p>
            <w:pPr>
              <w:pStyle w:val="TableParagraph"/>
              <w:spacing w:line="256" w:lineRule="exact" w:before="0"/>
              <w:ind w:left="206"/>
              <w:rPr>
                <w:sz w:val="24"/>
              </w:rPr>
            </w:pPr>
            <w:r>
              <w:rPr>
                <w:spacing w:val="-5"/>
                <w:sz w:val="24"/>
              </w:rPr>
              <w:t>60</w:t>
            </w:r>
          </w:p>
        </w:tc>
        <w:tc>
          <w:tcPr>
            <w:tcW w:w="1343" w:type="dxa"/>
          </w:tcPr>
          <w:p>
            <w:pPr>
              <w:pStyle w:val="TableParagraph"/>
              <w:spacing w:line="240" w:lineRule="auto" w:before="17"/>
              <w:ind w:left="0"/>
              <w:rPr>
                <w:sz w:val="24"/>
              </w:rPr>
            </w:pPr>
          </w:p>
          <w:p>
            <w:pPr>
              <w:pStyle w:val="TableParagraph"/>
              <w:spacing w:line="256" w:lineRule="exact" w:before="0"/>
              <w:ind w:left="206"/>
              <w:rPr>
                <w:sz w:val="24"/>
              </w:rPr>
            </w:pPr>
            <w:r>
              <w:rPr>
                <w:spacing w:val="-5"/>
                <w:sz w:val="24"/>
              </w:rPr>
              <w:t>60</w:t>
            </w:r>
          </w:p>
        </w:tc>
        <w:tc>
          <w:tcPr>
            <w:tcW w:w="1283" w:type="dxa"/>
          </w:tcPr>
          <w:p>
            <w:pPr>
              <w:pStyle w:val="TableParagraph"/>
              <w:spacing w:line="240" w:lineRule="auto" w:before="17"/>
              <w:ind w:left="0"/>
              <w:rPr>
                <w:sz w:val="24"/>
              </w:rPr>
            </w:pPr>
          </w:p>
          <w:p>
            <w:pPr>
              <w:pStyle w:val="TableParagraph"/>
              <w:spacing w:line="256" w:lineRule="exact" w:before="0"/>
              <w:ind w:left="176"/>
              <w:rPr>
                <w:sz w:val="24"/>
              </w:rPr>
            </w:pPr>
            <w:r>
              <w:rPr>
                <w:spacing w:val="-5"/>
                <w:sz w:val="24"/>
              </w:rPr>
              <w:t>60</w:t>
            </w:r>
          </w:p>
        </w:tc>
        <w:tc>
          <w:tcPr>
            <w:tcW w:w="1156" w:type="dxa"/>
          </w:tcPr>
          <w:p>
            <w:pPr>
              <w:pStyle w:val="TableParagraph"/>
              <w:spacing w:line="240" w:lineRule="auto" w:before="17"/>
              <w:ind w:left="0"/>
              <w:rPr>
                <w:sz w:val="24"/>
              </w:rPr>
            </w:pPr>
          </w:p>
          <w:p>
            <w:pPr>
              <w:pStyle w:val="TableParagraph"/>
              <w:spacing w:line="256" w:lineRule="exact" w:before="0"/>
              <w:ind w:left="206"/>
              <w:rPr>
                <w:sz w:val="24"/>
              </w:rPr>
            </w:pPr>
            <w:r>
              <w:rPr>
                <w:spacing w:val="-5"/>
                <w:sz w:val="24"/>
              </w:rPr>
              <w:t>60</w:t>
            </w:r>
          </w:p>
        </w:tc>
      </w:tr>
    </w:tbl>
    <w:p>
      <w:pPr>
        <w:pStyle w:val="BodyText"/>
        <w:spacing w:before="180"/>
      </w:pPr>
    </w:p>
    <w:p>
      <w:pPr>
        <w:pStyle w:val="Heading2"/>
        <w:spacing w:before="1"/>
        <w:ind w:left="23"/>
        <w:jc w:val="left"/>
      </w:pPr>
      <w:r>
        <w:rPr/>
        <w:t>Lampiran</w:t>
      </w:r>
      <w:r>
        <w:rPr>
          <w:spacing w:val="-2"/>
        </w:rPr>
        <w:t> </w:t>
      </w:r>
      <w:r>
        <w:rPr/>
        <w:t>3.</w:t>
      </w:r>
      <w:r>
        <w:rPr>
          <w:spacing w:val="-1"/>
        </w:rPr>
        <w:t> </w:t>
      </w:r>
      <w:r>
        <w:rPr/>
        <w:t>Hasil Uji</w:t>
      </w:r>
      <w:r>
        <w:rPr>
          <w:spacing w:val="-3"/>
        </w:rPr>
        <w:t> </w:t>
      </w:r>
      <w:r>
        <w:rPr/>
        <w:t>Asumsi </w:t>
      </w:r>
      <w:r>
        <w:rPr>
          <w:spacing w:val="-2"/>
        </w:rPr>
        <w:t>Klasik</w:t>
      </w:r>
    </w:p>
    <w:p>
      <w:pPr>
        <w:pStyle w:val="ListParagraph"/>
        <w:numPr>
          <w:ilvl w:val="0"/>
          <w:numId w:val="27"/>
        </w:numPr>
        <w:tabs>
          <w:tab w:pos="983" w:val="left" w:leader="none"/>
        </w:tabs>
        <w:spacing w:line="240" w:lineRule="auto" w:before="182" w:after="0"/>
        <w:ind w:left="983" w:right="0" w:hanging="240"/>
        <w:jc w:val="left"/>
        <w:rPr>
          <w:b/>
          <w:sz w:val="24"/>
        </w:rPr>
      </w:pPr>
      <w:r>
        <w:rPr>
          <w:b/>
          <w:sz w:val="24"/>
        </w:rPr>
        <w:t>Hasil</w:t>
      </w:r>
      <w:r>
        <w:rPr>
          <w:b/>
          <w:spacing w:val="-2"/>
          <w:sz w:val="24"/>
        </w:rPr>
        <w:t> </w:t>
      </w:r>
      <w:r>
        <w:rPr>
          <w:b/>
          <w:sz w:val="24"/>
        </w:rPr>
        <w:t>Uji</w:t>
      </w:r>
      <w:r>
        <w:rPr>
          <w:b/>
          <w:spacing w:val="-2"/>
          <w:sz w:val="24"/>
        </w:rPr>
        <w:t> Normalitas</w:t>
      </w:r>
    </w:p>
    <w:p>
      <w:pPr>
        <w:pStyle w:val="BodyText"/>
        <w:rPr>
          <w:b/>
          <w:sz w:val="15"/>
        </w:rPr>
      </w:pPr>
    </w:p>
    <w:p>
      <w:pPr>
        <w:spacing w:before="0"/>
        <w:ind w:left="743" w:right="0" w:firstLine="0"/>
        <w:jc w:val="left"/>
        <w:rPr>
          <w:rFonts w:ascii="Arial MT"/>
          <w:sz w:val="15"/>
        </w:rPr>
      </w:pPr>
      <w:r>
        <w:rPr>
          <w:rFonts w:ascii="Arial MT"/>
          <w:sz w:val="15"/>
        </w:rPr>
        <mc:AlternateContent>
          <mc:Choice Requires="wps">
            <w:drawing>
              <wp:anchor distT="0" distB="0" distL="0" distR="0" allowOverlap="1" layoutInCell="1" locked="0" behindDoc="0" simplePos="0" relativeHeight="15766528">
                <wp:simplePos x="0" y="0"/>
                <wp:positionH relativeFrom="page">
                  <wp:posOffset>1515379</wp:posOffset>
                </wp:positionH>
                <wp:positionV relativeFrom="paragraph">
                  <wp:posOffset>80808</wp:posOffset>
                </wp:positionV>
                <wp:extent cx="3481070" cy="2113915"/>
                <wp:effectExtent l="0" t="0" r="0" b="0"/>
                <wp:wrapNone/>
                <wp:docPr id="351" name="Group 351"/>
                <wp:cNvGraphicFramePr>
                  <a:graphicFrameLocks/>
                </wp:cNvGraphicFramePr>
                <a:graphic>
                  <a:graphicData uri="http://schemas.microsoft.com/office/word/2010/wordprocessingGroup">
                    <wpg:wgp>
                      <wpg:cNvPr id="351" name="Group 351"/>
                      <wpg:cNvGrpSpPr/>
                      <wpg:grpSpPr>
                        <a:xfrm>
                          <a:off x="0" y="0"/>
                          <a:ext cx="3481070" cy="2113915"/>
                          <a:chExt cx="3481070" cy="2113915"/>
                        </a:xfrm>
                      </wpg:grpSpPr>
                      <wps:wsp>
                        <wps:cNvPr id="352" name="Graphic 352"/>
                        <wps:cNvSpPr/>
                        <wps:spPr>
                          <a:xfrm>
                            <a:off x="42935" y="2203"/>
                            <a:ext cx="3435350" cy="2064385"/>
                          </a:xfrm>
                          <a:custGeom>
                            <a:avLst/>
                            <a:gdLst/>
                            <a:ahLst/>
                            <a:cxnLst/>
                            <a:rect l="l" t="t" r="r" b="b"/>
                            <a:pathLst>
                              <a:path w="3435350" h="2064385">
                                <a:moveTo>
                                  <a:pt x="0" y="0"/>
                                </a:moveTo>
                                <a:lnTo>
                                  <a:pt x="0" y="2063953"/>
                                </a:lnTo>
                              </a:path>
                              <a:path w="3435350" h="2064385">
                                <a:moveTo>
                                  <a:pt x="0" y="2063953"/>
                                </a:moveTo>
                                <a:lnTo>
                                  <a:pt x="3435304" y="2063953"/>
                                </a:lnTo>
                              </a:path>
                              <a:path w="3435350" h="2064385">
                                <a:moveTo>
                                  <a:pt x="3435304" y="2063953"/>
                                </a:moveTo>
                                <a:lnTo>
                                  <a:pt x="3435304" y="0"/>
                                </a:lnTo>
                              </a:path>
                              <a:path w="3435350" h="2064385">
                                <a:moveTo>
                                  <a:pt x="3435304" y="0"/>
                                </a:moveTo>
                                <a:lnTo>
                                  <a:pt x="0" y="0"/>
                                </a:lnTo>
                              </a:path>
                            </a:pathLst>
                          </a:custGeom>
                          <a:ln w="4413">
                            <a:solidFill>
                              <a:srgbClr val="000000"/>
                            </a:solidFill>
                            <a:prstDash val="solid"/>
                          </a:ln>
                        </wps:spPr>
                        <wps:bodyPr wrap="square" lIns="0" tIns="0" rIns="0" bIns="0" rtlCol="0">
                          <a:prstTxWarp prst="textNoShape">
                            <a:avLst/>
                          </a:prstTxWarp>
                          <a:noAutofit/>
                        </wps:bodyPr>
                      </wps:wsp>
                      <wps:wsp>
                        <wps:cNvPr id="353" name="Graphic 353"/>
                        <wps:cNvSpPr/>
                        <wps:spPr>
                          <a:xfrm>
                            <a:off x="0" y="4373"/>
                            <a:ext cx="40005" cy="2059939"/>
                          </a:xfrm>
                          <a:custGeom>
                            <a:avLst/>
                            <a:gdLst/>
                            <a:ahLst/>
                            <a:cxnLst/>
                            <a:rect l="l" t="t" r="r" b="b"/>
                            <a:pathLst>
                              <a:path w="40005" h="2059939">
                                <a:moveTo>
                                  <a:pt x="39466" y="2059574"/>
                                </a:moveTo>
                                <a:lnTo>
                                  <a:pt x="0" y="2059574"/>
                                </a:lnTo>
                              </a:path>
                              <a:path w="40005" h="2059939">
                                <a:moveTo>
                                  <a:pt x="39466" y="1764767"/>
                                </a:moveTo>
                                <a:lnTo>
                                  <a:pt x="0" y="1764767"/>
                                </a:lnTo>
                              </a:path>
                              <a:path w="40005" h="2059939">
                                <a:moveTo>
                                  <a:pt x="39466" y="1470586"/>
                                </a:moveTo>
                                <a:lnTo>
                                  <a:pt x="0" y="1470586"/>
                                </a:lnTo>
                              </a:path>
                              <a:path w="40005" h="2059939">
                                <a:moveTo>
                                  <a:pt x="39466" y="1176724"/>
                                </a:moveTo>
                                <a:lnTo>
                                  <a:pt x="0" y="1176724"/>
                                </a:lnTo>
                              </a:path>
                              <a:path w="40005" h="2059939">
                                <a:moveTo>
                                  <a:pt x="39466" y="881930"/>
                                </a:moveTo>
                                <a:lnTo>
                                  <a:pt x="0" y="881930"/>
                                </a:lnTo>
                              </a:path>
                              <a:path w="40005" h="2059939">
                                <a:moveTo>
                                  <a:pt x="39466" y="588081"/>
                                </a:moveTo>
                                <a:lnTo>
                                  <a:pt x="0" y="588081"/>
                                </a:lnTo>
                              </a:path>
                              <a:path w="40005" h="2059939">
                                <a:moveTo>
                                  <a:pt x="39466" y="293849"/>
                                </a:moveTo>
                                <a:lnTo>
                                  <a:pt x="0" y="293849"/>
                                </a:lnTo>
                              </a:path>
                              <a:path w="40005" h="2059939">
                                <a:moveTo>
                                  <a:pt x="39466" y="0"/>
                                </a:moveTo>
                                <a:lnTo>
                                  <a:pt x="0" y="0"/>
                                </a:lnTo>
                              </a:path>
                            </a:pathLst>
                          </a:custGeom>
                          <a:ln w="3152">
                            <a:solidFill>
                              <a:srgbClr val="000000"/>
                            </a:solidFill>
                            <a:prstDash val="solid"/>
                          </a:ln>
                        </wps:spPr>
                        <wps:bodyPr wrap="square" lIns="0" tIns="0" rIns="0" bIns="0" rtlCol="0">
                          <a:prstTxWarp prst="textNoShape">
                            <a:avLst/>
                          </a:prstTxWarp>
                          <a:noAutofit/>
                        </wps:bodyPr>
                      </wps:wsp>
                      <wps:wsp>
                        <wps:cNvPr id="354" name="Graphic 354"/>
                        <wps:cNvSpPr/>
                        <wps:spPr>
                          <a:xfrm>
                            <a:off x="77986" y="2069628"/>
                            <a:ext cx="3365500" cy="44450"/>
                          </a:xfrm>
                          <a:custGeom>
                            <a:avLst/>
                            <a:gdLst/>
                            <a:ahLst/>
                            <a:cxnLst/>
                            <a:rect l="l" t="t" r="r" b="b"/>
                            <a:pathLst>
                              <a:path w="3365500" h="44450">
                                <a:moveTo>
                                  <a:pt x="0" y="0"/>
                                </a:moveTo>
                                <a:lnTo>
                                  <a:pt x="0" y="43824"/>
                                </a:lnTo>
                              </a:path>
                              <a:path w="3365500" h="44450">
                                <a:moveTo>
                                  <a:pt x="152477" y="0"/>
                                </a:moveTo>
                                <a:lnTo>
                                  <a:pt x="152477" y="23015"/>
                                </a:lnTo>
                              </a:path>
                              <a:path w="3365500" h="44450">
                                <a:moveTo>
                                  <a:pt x="305914" y="0"/>
                                </a:moveTo>
                                <a:lnTo>
                                  <a:pt x="305914" y="23015"/>
                                </a:lnTo>
                              </a:path>
                              <a:path w="3365500" h="44450">
                                <a:moveTo>
                                  <a:pt x="458097" y="0"/>
                                </a:moveTo>
                                <a:lnTo>
                                  <a:pt x="458097" y="23015"/>
                                </a:lnTo>
                              </a:path>
                              <a:path w="3365500" h="44450">
                                <a:moveTo>
                                  <a:pt x="611522" y="0"/>
                                </a:moveTo>
                                <a:lnTo>
                                  <a:pt x="611522" y="43824"/>
                                </a:lnTo>
                              </a:path>
                              <a:path w="3365500" h="44450">
                                <a:moveTo>
                                  <a:pt x="764012" y="0"/>
                                </a:moveTo>
                                <a:lnTo>
                                  <a:pt x="764012" y="23015"/>
                                </a:lnTo>
                              </a:path>
                              <a:path w="3365500" h="44450">
                                <a:moveTo>
                                  <a:pt x="917450" y="0"/>
                                </a:moveTo>
                                <a:lnTo>
                                  <a:pt x="917450" y="23015"/>
                                </a:lnTo>
                              </a:path>
                              <a:path w="3365500" h="44450">
                                <a:moveTo>
                                  <a:pt x="1069889" y="0"/>
                                </a:moveTo>
                                <a:lnTo>
                                  <a:pt x="1069889" y="23015"/>
                                </a:lnTo>
                              </a:path>
                              <a:path w="3365500" h="44450">
                                <a:moveTo>
                                  <a:pt x="1223377" y="0"/>
                                </a:moveTo>
                                <a:lnTo>
                                  <a:pt x="1223377" y="43824"/>
                                </a:lnTo>
                              </a:path>
                              <a:path w="3365500" h="44450">
                                <a:moveTo>
                                  <a:pt x="1375586" y="0"/>
                                </a:moveTo>
                                <a:lnTo>
                                  <a:pt x="1375586" y="23015"/>
                                </a:lnTo>
                              </a:path>
                              <a:path w="3365500" h="44450">
                                <a:moveTo>
                                  <a:pt x="1528947" y="0"/>
                                </a:moveTo>
                                <a:lnTo>
                                  <a:pt x="1528947" y="23015"/>
                                </a:lnTo>
                              </a:path>
                              <a:path w="3365500" h="44450">
                                <a:moveTo>
                                  <a:pt x="1682435" y="0"/>
                                </a:moveTo>
                                <a:lnTo>
                                  <a:pt x="1682435" y="23015"/>
                                </a:lnTo>
                              </a:path>
                              <a:path w="3365500" h="44450">
                                <a:moveTo>
                                  <a:pt x="1834900" y="0"/>
                                </a:moveTo>
                                <a:lnTo>
                                  <a:pt x="1834900" y="43824"/>
                                </a:lnTo>
                              </a:path>
                              <a:path w="3365500" h="44450">
                                <a:moveTo>
                                  <a:pt x="1988389" y="0"/>
                                </a:moveTo>
                                <a:lnTo>
                                  <a:pt x="1988389" y="23015"/>
                                </a:lnTo>
                              </a:path>
                              <a:path w="3365500" h="44450">
                                <a:moveTo>
                                  <a:pt x="2140853" y="0"/>
                                </a:moveTo>
                                <a:lnTo>
                                  <a:pt x="2140853" y="23015"/>
                                </a:lnTo>
                              </a:path>
                              <a:path w="3365500" h="44450">
                                <a:moveTo>
                                  <a:pt x="2294214" y="0"/>
                                </a:moveTo>
                                <a:lnTo>
                                  <a:pt x="2294214" y="23015"/>
                                </a:lnTo>
                              </a:path>
                              <a:path w="3365500" h="44450">
                                <a:moveTo>
                                  <a:pt x="2446807" y="0"/>
                                </a:moveTo>
                                <a:lnTo>
                                  <a:pt x="2446807" y="43824"/>
                                </a:lnTo>
                              </a:path>
                              <a:path w="3365500" h="44450">
                                <a:moveTo>
                                  <a:pt x="2600167" y="0"/>
                                </a:moveTo>
                                <a:lnTo>
                                  <a:pt x="2600167" y="23015"/>
                                </a:lnTo>
                              </a:path>
                              <a:path w="3365500" h="44450">
                                <a:moveTo>
                                  <a:pt x="2752376" y="0"/>
                                </a:moveTo>
                                <a:lnTo>
                                  <a:pt x="2752376" y="23015"/>
                                </a:lnTo>
                              </a:path>
                              <a:path w="3365500" h="44450">
                                <a:moveTo>
                                  <a:pt x="2905864" y="0"/>
                                </a:moveTo>
                                <a:lnTo>
                                  <a:pt x="2905864" y="23015"/>
                                </a:lnTo>
                              </a:path>
                              <a:path w="3365500" h="44450">
                                <a:moveTo>
                                  <a:pt x="3058329" y="0"/>
                                </a:moveTo>
                                <a:lnTo>
                                  <a:pt x="3058329" y="43824"/>
                                </a:lnTo>
                              </a:path>
                              <a:path w="3365500" h="44450">
                                <a:moveTo>
                                  <a:pt x="3211690" y="0"/>
                                </a:moveTo>
                                <a:lnTo>
                                  <a:pt x="3211690" y="23015"/>
                                </a:lnTo>
                              </a:path>
                              <a:path w="3365500" h="44450">
                                <a:moveTo>
                                  <a:pt x="3365178" y="0"/>
                                </a:moveTo>
                                <a:lnTo>
                                  <a:pt x="3365178" y="23015"/>
                                </a:lnTo>
                              </a:path>
                            </a:pathLst>
                          </a:custGeom>
                          <a:ln w="3152">
                            <a:solidFill>
                              <a:srgbClr val="000000"/>
                            </a:solidFill>
                            <a:prstDash val="solid"/>
                          </a:ln>
                        </wps:spPr>
                        <wps:bodyPr wrap="square" lIns="0" tIns="0" rIns="0" bIns="0" rtlCol="0">
                          <a:prstTxWarp prst="textNoShape">
                            <a:avLst/>
                          </a:prstTxWarp>
                          <a:noAutofit/>
                        </wps:bodyPr>
                      </wps:wsp>
                      <wps:wsp>
                        <wps:cNvPr id="355" name="Graphic 355"/>
                        <wps:cNvSpPr/>
                        <wps:spPr>
                          <a:xfrm>
                            <a:off x="77986" y="1916066"/>
                            <a:ext cx="153035" cy="142875"/>
                          </a:xfrm>
                          <a:custGeom>
                            <a:avLst/>
                            <a:gdLst/>
                            <a:ahLst/>
                            <a:cxnLst/>
                            <a:rect l="l" t="t" r="r" b="b"/>
                            <a:pathLst>
                              <a:path w="153035" h="142875">
                                <a:moveTo>
                                  <a:pt x="152490" y="0"/>
                                </a:moveTo>
                                <a:lnTo>
                                  <a:pt x="0" y="0"/>
                                </a:lnTo>
                                <a:lnTo>
                                  <a:pt x="0" y="142559"/>
                                </a:lnTo>
                                <a:lnTo>
                                  <a:pt x="152490" y="142559"/>
                                </a:lnTo>
                                <a:lnTo>
                                  <a:pt x="152490" y="0"/>
                                </a:lnTo>
                                <a:close/>
                              </a:path>
                            </a:pathLst>
                          </a:custGeom>
                          <a:solidFill>
                            <a:srgbClr val="93BDFF"/>
                          </a:solidFill>
                        </wps:spPr>
                        <wps:bodyPr wrap="square" lIns="0" tIns="0" rIns="0" bIns="0" rtlCol="0">
                          <a:prstTxWarp prst="textNoShape">
                            <a:avLst/>
                          </a:prstTxWarp>
                          <a:noAutofit/>
                        </wps:bodyPr>
                      </wps:wsp>
                      <wps:wsp>
                        <wps:cNvPr id="356" name="Graphic 356"/>
                        <wps:cNvSpPr/>
                        <wps:spPr>
                          <a:xfrm>
                            <a:off x="77986" y="1916066"/>
                            <a:ext cx="153035" cy="142875"/>
                          </a:xfrm>
                          <a:custGeom>
                            <a:avLst/>
                            <a:gdLst/>
                            <a:ahLst/>
                            <a:cxnLst/>
                            <a:rect l="l" t="t" r="r" b="b"/>
                            <a:pathLst>
                              <a:path w="153035" h="142875">
                                <a:moveTo>
                                  <a:pt x="152490" y="142559"/>
                                </a:moveTo>
                                <a:lnTo>
                                  <a:pt x="152490" y="0"/>
                                </a:lnTo>
                                <a:lnTo>
                                  <a:pt x="0" y="0"/>
                                </a:lnTo>
                                <a:lnTo>
                                  <a:pt x="0" y="142559"/>
                                </a:lnTo>
                              </a:path>
                            </a:pathLst>
                          </a:custGeom>
                          <a:ln w="3152">
                            <a:solidFill>
                              <a:srgbClr val="000000"/>
                            </a:solidFill>
                            <a:prstDash val="solid"/>
                          </a:ln>
                        </wps:spPr>
                        <wps:bodyPr wrap="square" lIns="0" tIns="0" rIns="0" bIns="0" rtlCol="0">
                          <a:prstTxWarp prst="textNoShape">
                            <a:avLst/>
                          </a:prstTxWarp>
                          <a:noAutofit/>
                        </wps:bodyPr>
                      </wps:wsp>
                      <wps:wsp>
                        <wps:cNvPr id="357" name="Graphic 357"/>
                        <wps:cNvSpPr/>
                        <wps:spPr>
                          <a:xfrm>
                            <a:off x="1301363" y="1916066"/>
                            <a:ext cx="152400" cy="142875"/>
                          </a:xfrm>
                          <a:custGeom>
                            <a:avLst/>
                            <a:gdLst/>
                            <a:ahLst/>
                            <a:cxnLst/>
                            <a:rect l="l" t="t" r="r" b="b"/>
                            <a:pathLst>
                              <a:path w="152400" h="142875">
                                <a:moveTo>
                                  <a:pt x="152170" y="0"/>
                                </a:moveTo>
                                <a:lnTo>
                                  <a:pt x="0" y="0"/>
                                </a:lnTo>
                                <a:lnTo>
                                  <a:pt x="0" y="142559"/>
                                </a:lnTo>
                                <a:lnTo>
                                  <a:pt x="152170" y="142559"/>
                                </a:lnTo>
                                <a:lnTo>
                                  <a:pt x="152170" y="0"/>
                                </a:lnTo>
                                <a:close/>
                              </a:path>
                            </a:pathLst>
                          </a:custGeom>
                          <a:solidFill>
                            <a:srgbClr val="93BDFF"/>
                          </a:solidFill>
                        </wps:spPr>
                        <wps:bodyPr wrap="square" lIns="0" tIns="0" rIns="0" bIns="0" rtlCol="0">
                          <a:prstTxWarp prst="textNoShape">
                            <a:avLst/>
                          </a:prstTxWarp>
                          <a:noAutofit/>
                        </wps:bodyPr>
                      </wps:wsp>
                      <wps:wsp>
                        <wps:cNvPr id="358" name="Graphic 358"/>
                        <wps:cNvSpPr/>
                        <wps:spPr>
                          <a:xfrm>
                            <a:off x="1301363" y="1916066"/>
                            <a:ext cx="152400" cy="142875"/>
                          </a:xfrm>
                          <a:custGeom>
                            <a:avLst/>
                            <a:gdLst/>
                            <a:ahLst/>
                            <a:cxnLst/>
                            <a:rect l="l" t="t" r="r" b="b"/>
                            <a:pathLst>
                              <a:path w="152400" h="142875">
                                <a:moveTo>
                                  <a:pt x="152170" y="142559"/>
                                </a:moveTo>
                                <a:lnTo>
                                  <a:pt x="152170" y="0"/>
                                </a:lnTo>
                                <a:lnTo>
                                  <a:pt x="0" y="0"/>
                                </a:lnTo>
                                <a:lnTo>
                                  <a:pt x="0" y="142559"/>
                                </a:lnTo>
                              </a:path>
                            </a:pathLst>
                          </a:custGeom>
                          <a:ln w="3152">
                            <a:solidFill>
                              <a:srgbClr val="000000"/>
                            </a:solidFill>
                            <a:prstDash val="solid"/>
                          </a:ln>
                        </wps:spPr>
                        <wps:bodyPr wrap="square" lIns="0" tIns="0" rIns="0" bIns="0" rtlCol="0">
                          <a:prstTxWarp prst="textNoShape">
                            <a:avLst/>
                          </a:prstTxWarp>
                          <a:noAutofit/>
                        </wps:bodyPr>
                      </wps:wsp>
                      <wps:wsp>
                        <wps:cNvPr id="359" name="Graphic 359"/>
                        <wps:cNvSpPr/>
                        <wps:spPr>
                          <a:xfrm>
                            <a:off x="1760421" y="1769142"/>
                            <a:ext cx="153035" cy="289560"/>
                          </a:xfrm>
                          <a:custGeom>
                            <a:avLst/>
                            <a:gdLst/>
                            <a:ahLst/>
                            <a:cxnLst/>
                            <a:rect l="l" t="t" r="r" b="b"/>
                            <a:pathLst>
                              <a:path w="153035" h="289560">
                                <a:moveTo>
                                  <a:pt x="152490" y="0"/>
                                </a:moveTo>
                                <a:lnTo>
                                  <a:pt x="0" y="0"/>
                                </a:lnTo>
                                <a:lnTo>
                                  <a:pt x="0" y="289483"/>
                                </a:lnTo>
                                <a:lnTo>
                                  <a:pt x="152490" y="289483"/>
                                </a:lnTo>
                                <a:lnTo>
                                  <a:pt x="152490" y="0"/>
                                </a:lnTo>
                                <a:close/>
                              </a:path>
                            </a:pathLst>
                          </a:custGeom>
                          <a:solidFill>
                            <a:srgbClr val="93BDFF"/>
                          </a:solidFill>
                        </wps:spPr>
                        <wps:bodyPr wrap="square" lIns="0" tIns="0" rIns="0" bIns="0" rtlCol="0">
                          <a:prstTxWarp prst="textNoShape">
                            <a:avLst/>
                          </a:prstTxWarp>
                          <a:noAutofit/>
                        </wps:bodyPr>
                      </wps:wsp>
                      <wps:wsp>
                        <wps:cNvPr id="360" name="Graphic 360"/>
                        <wps:cNvSpPr/>
                        <wps:spPr>
                          <a:xfrm>
                            <a:off x="1760421" y="1769142"/>
                            <a:ext cx="153035" cy="289560"/>
                          </a:xfrm>
                          <a:custGeom>
                            <a:avLst/>
                            <a:gdLst/>
                            <a:ahLst/>
                            <a:cxnLst/>
                            <a:rect l="l" t="t" r="r" b="b"/>
                            <a:pathLst>
                              <a:path w="153035" h="289560">
                                <a:moveTo>
                                  <a:pt x="152490" y="289483"/>
                                </a:moveTo>
                                <a:lnTo>
                                  <a:pt x="152490" y="0"/>
                                </a:lnTo>
                                <a:lnTo>
                                  <a:pt x="0" y="0"/>
                                </a:lnTo>
                                <a:lnTo>
                                  <a:pt x="0" y="289483"/>
                                </a:lnTo>
                              </a:path>
                            </a:pathLst>
                          </a:custGeom>
                          <a:ln w="3155">
                            <a:solidFill>
                              <a:srgbClr val="000000"/>
                            </a:solidFill>
                            <a:prstDash val="solid"/>
                          </a:ln>
                        </wps:spPr>
                        <wps:bodyPr wrap="square" lIns="0" tIns="0" rIns="0" bIns="0" rtlCol="0">
                          <a:prstTxWarp prst="textNoShape">
                            <a:avLst/>
                          </a:prstTxWarp>
                          <a:noAutofit/>
                        </wps:bodyPr>
                      </wps:wsp>
                      <wps:wsp>
                        <wps:cNvPr id="361" name="Graphic 361"/>
                        <wps:cNvSpPr/>
                        <wps:spPr>
                          <a:xfrm>
                            <a:off x="2066375" y="1474960"/>
                            <a:ext cx="153035" cy="584200"/>
                          </a:xfrm>
                          <a:custGeom>
                            <a:avLst/>
                            <a:gdLst/>
                            <a:ahLst/>
                            <a:cxnLst/>
                            <a:rect l="l" t="t" r="r" b="b"/>
                            <a:pathLst>
                              <a:path w="153035" h="584200">
                                <a:moveTo>
                                  <a:pt x="152490" y="0"/>
                                </a:moveTo>
                                <a:lnTo>
                                  <a:pt x="0" y="0"/>
                                </a:lnTo>
                                <a:lnTo>
                                  <a:pt x="0" y="583664"/>
                                </a:lnTo>
                                <a:lnTo>
                                  <a:pt x="152490" y="583664"/>
                                </a:lnTo>
                                <a:lnTo>
                                  <a:pt x="152490" y="0"/>
                                </a:lnTo>
                                <a:close/>
                              </a:path>
                            </a:pathLst>
                          </a:custGeom>
                          <a:solidFill>
                            <a:srgbClr val="93BDFF"/>
                          </a:solidFill>
                        </wps:spPr>
                        <wps:bodyPr wrap="square" lIns="0" tIns="0" rIns="0" bIns="0" rtlCol="0">
                          <a:prstTxWarp prst="textNoShape">
                            <a:avLst/>
                          </a:prstTxWarp>
                          <a:noAutofit/>
                        </wps:bodyPr>
                      </wps:wsp>
                      <wps:wsp>
                        <wps:cNvPr id="362" name="Graphic 362"/>
                        <wps:cNvSpPr/>
                        <wps:spPr>
                          <a:xfrm>
                            <a:off x="2066375" y="1474960"/>
                            <a:ext cx="153035" cy="584200"/>
                          </a:xfrm>
                          <a:custGeom>
                            <a:avLst/>
                            <a:gdLst/>
                            <a:ahLst/>
                            <a:cxnLst/>
                            <a:rect l="l" t="t" r="r" b="b"/>
                            <a:pathLst>
                              <a:path w="153035" h="584200">
                                <a:moveTo>
                                  <a:pt x="152490" y="583664"/>
                                </a:moveTo>
                                <a:lnTo>
                                  <a:pt x="152490" y="0"/>
                                </a:lnTo>
                                <a:lnTo>
                                  <a:pt x="0" y="0"/>
                                </a:lnTo>
                                <a:lnTo>
                                  <a:pt x="0" y="583664"/>
                                </a:lnTo>
                              </a:path>
                            </a:pathLst>
                          </a:custGeom>
                          <a:ln w="3156">
                            <a:solidFill>
                              <a:srgbClr val="000000"/>
                            </a:solidFill>
                            <a:prstDash val="solid"/>
                          </a:ln>
                        </wps:spPr>
                        <wps:bodyPr wrap="square" lIns="0" tIns="0" rIns="0" bIns="0" rtlCol="0">
                          <a:prstTxWarp prst="textNoShape">
                            <a:avLst/>
                          </a:prstTxWarp>
                          <a:noAutofit/>
                        </wps:bodyPr>
                      </wps:wsp>
                      <wps:wsp>
                        <wps:cNvPr id="363" name="Graphic 363"/>
                        <wps:cNvSpPr/>
                        <wps:spPr>
                          <a:xfrm>
                            <a:off x="2218839" y="1034161"/>
                            <a:ext cx="153670" cy="1024890"/>
                          </a:xfrm>
                          <a:custGeom>
                            <a:avLst/>
                            <a:gdLst/>
                            <a:ahLst/>
                            <a:cxnLst/>
                            <a:rect l="l" t="t" r="r" b="b"/>
                            <a:pathLst>
                              <a:path w="153670" h="1024890">
                                <a:moveTo>
                                  <a:pt x="153437" y="0"/>
                                </a:moveTo>
                                <a:lnTo>
                                  <a:pt x="0" y="0"/>
                                </a:lnTo>
                                <a:lnTo>
                                  <a:pt x="0" y="1024464"/>
                                </a:lnTo>
                                <a:lnTo>
                                  <a:pt x="153437" y="1024464"/>
                                </a:lnTo>
                                <a:lnTo>
                                  <a:pt x="153437" y="0"/>
                                </a:lnTo>
                                <a:close/>
                              </a:path>
                            </a:pathLst>
                          </a:custGeom>
                          <a:solidFill>
                            <a:srgbClr val="93BDFF"/>
                          </a:solidFill>
                        </wps:spPr>
                        <wps:bodyPr wrap="square" lIns="0" tIns="0" rIns="0" bIns="0" rtlCol="0">
                          <a:prstTxWarp prst="textNoShape">
                            <a:avLst/>
                          </a:prstTxWarp>
                          <a:noAutofit/>
                        </wps:bodyPr>
                      </wps:wsp>
                      <wps:wsp>
                        <wps:cNvPr id="364" name="Graphic 364"/>
                        <wps:cNvSpPr/>
                        <wps:spPr>
                          <a:xfrm>
                            <a:off x="2218839" y="1034161"/>
                            <a:ext cx="153670" cy="1024890"/>
                          </a:xfrm>
                          <a:custGeom>
                            <a:avLst/>
                            <a:gdLst/>
                            <a:ahLst/>
                            <a:cxnLst/>
                            <a:rect l="l" t="t" r="r" b="b"/>
                            <a:pathLst>
                              <a:path w="153670" h="1024890">
                                <a:moveTo>
                                  <a:pt x="153437" y="1024464"/>
                                </a:moveTo>
                                <a:lnTo>
                                  <a:pt x="153437" y="0"/>
                                </a:lnTo>
                                <a:lnTo>
                                  <a:pt x="0" y="0"/>
                                </a:lnTo>
                                <a:lnTo>
                                  <a:pt x="0" y="1024464"/>
                                </a:lnTo>
                              </a:path>
                            </a:pathLst>
                          </a:custGeom>
                          <a:ln w="3156">
                            <a:solidFill>
                              <a:srgbClr val="000000"/>
                            </a:solidFill>
                            <a:prstDash val="solid"/>
                          </a:ln>
                        </wps:spPr>
                        <wps:bodyPr wrap="square" lIns="0" tIns="0" rIns="0" bIns="0" rtlCol="0">
                          <a:prstTxWarp prst="textNoShape">
                            <a:avLst/>
                          </a:prstTxWarp>
                          <a:noAutofit/>
                        </wps:bodyPr>
                      </wps:wsp>
                      <wps:wsp>
                        <wps:cNvPr id="365" name="Graphic 365"/>
                        <wps:cNvSpPr/>
                        <wps:spPr>
                          <a:xfrm>
                            <a:off x="2372200" y="151247"/>
                            <a:ext cx="153035" cy="1907539"/>
                          </a:xfrm>
                          <a:custGeom>
                            <a:avLst/>
                            <a:gdLst/>
                            <a:ahLst/>
                            <a:cxnLst/>
                            <a:rect l="l" t="t" r="r" b="b"/>
                            <a:pathLst>
                              <a:path w="153035" h="1907539">
                                <a:moveTo>
                                  <a:pt x="152490" y="0"/>
                                </a:moveTo>
                                <a:lnTo>
                                  <a:pt x="0" y="0"/>
                                </a:lnTo>
                                <a:lnTo>
                                  <a:pt x="0" y="1907378"/>
                                </a:lnTo>
                                <a:lnTo>
                                  <a:pt x="152490" y="1907378"/>
                                </a:lnTo>
                                <a:lnTo>
                                  <a:pt x="152490" y="0"/>
                                </a:lnTo>
                                <a:close/>
                              </a:path>
                            </a:pathLst>
                          </a:custGeom>
                          <a:solidFill>
                            <a:srgbClr val="93BDFF"/>
                          </a:solidFill>
                        </wps:spPr>
                        <wps:bodyPr wrap="square" lIns="0" tIns="0" rIns="0" bIns="0" rtlCol="0">
                          <a:prstTxWarp prst="textNoShape">
                            <a:avLst/>
                          </a:prstTxWarp>
                          <a:noAutofit/>
                        </wps:bodyPr>
                      </wps:wsp>
                      <wps:wsp>
                        <wps:cNvPr id="366" name="Graphic 366"/>
                        <wps:cNvSpPr/>
                        <wps:spPr>
                          <a:xfrm>
                            <a:off x="2372200" y="151247"/>
                            <a:ext cx="153035" cy="1907539"/>
                          </a:xfrm>
                          <a:custGeom>
                            <a:avLst/>
                            <a:gdLst/>
                            <a:ahLst/>
                            <a:cxnLst/>
                            <a:rect l="l" t="t" r="r" b="b"/>
                            <a:pathLst>
                              <a:path w="153035" h="1907539">
                                <a:moveTo>
                                  <a:pt x="152490" y="1907378"/>
                                </a:moveTo>
                                <a:lnTo>
                                  <a:pt x="152490" y="0"/>
                                </a:lnTo>
                                <a:lnTo>
                                  <a:pt x="0" y="0"/>
                                </a:lnTo>
                                <a:lnTo>
                                  <a:pt x="0" y="1907378"/>
                                </a:lnTo>
                              </a:path>
                            </a:pathLst>
                          </a:custGeom>
                          <a:ln w="3157">
                            <a:solidFill>
                              <a:srgbClr val="000000"/>
                            </a:solidFill>
                            <a:prstDash val="solid"/>
                          </a:ln>
                        </wps:spPr>
                        <wps:bodyPr wrap="square" lIns="0" tIns="0" rIns="0" bIns="0" rtlCol="0">
                          <a:prstTxWarp prst="textNoShape">
                            <a:avLst/>
                          </a:prstTxWarp>
                          <a:noAutofit/>
                        </wps:bodyPr>
                      </wps:wsp>
                      <wps:wsp>
                        <wps:cNvPr id="367" name="Graphic 367"/>
                        <wps:cNvSpPr/>
                        <wps:spPr>
                          <a:xfrm>
                            <a:off x="2524792" y="445224"/>
                            <a:ext cx="153670" cy="1613535"/>
                          </a:xfrm>
                          <a:custGeom>
                            <a:avLst/>
                            <a:gdLst/>
                            <a:ahLst/>
                            <a:cxnLst/>
                            <a:rect l="l" t="t" r="r" b="b"/>
                            <a:pathLst>
                              <a:path w="153670" h="1613535">
                                <a:moveTo>
                                  <a:pt x="153437" y="0"/>
                                </a:moveTo>
                                <a:lnTo>
                                  <a:pt x="0" y="0"/>
                                </a:lnTo>
                                <a:lnTo>
                                  <a:pt x="0" y="1613401"/>
                                </a:lnTo>
                                <a:lnTo>
                                  <a:pt x="153437" y="1613401"/>
                                </a:lnTo>
                                <a:lnTo>
                                  <a:pt x="153437" y="0"/>
                                </a:lnTo>
                                <a:close/>
                              </a:path>
                            </a:pathLst>
                          </a:custGeom>
                          <a:solidFill>
                            <a:srgbClr val="93BDFF"/>
                          </a:solidFill>
                        </wps:spPr>
                        <wps:bodyPr wrap="square" lIns="0" tIns="0" rIns="0" bIns="0" rtlCol="0">
                          <a:prstTxWarp prst="textNoShape">
                            <a:avLst/>
                          </a:prstTxWarp>
                          <a:noAutofit/>
                        </wps:bodyPr>
                      </wps:wsp>
                      <wps:wsp>
                        <wps:cNvPr id="368" name="Graphic 368"/>
                        <wps:cNvSpPr/>
                        <wps:spPr>
                          <a:xfrm>
                            <a:off x="2524792" y="445224"/>
                            <a:ext cx="153670" cy="1613535"/>
                          </a:xfrm>
                          <a:custGeom>
                            <a:avLst/>
                            <a:gdLst/>
                            <a:ahLst/>
                            <a:cxnLst/>
                            <a:rect l="l" t="t" r="r" b="b"/>
                            <a:pathLst>
                              <a:path w="153670" h="1613535">
                                <a:moveTo>
                                  <a:pt x="153437" y="1613401"/>
                                </a:moveTo>
                                <a:lnTo>
                                  <a:pt x="153437" y="0"/>
                                </a:lnTo>
                                <a:lnTo>
                                  <a:pt x="0" y="0"/>
                                </a:lnTo>
                                <a:lnTo>
                                  <a:pt x="0" y="1613401"/>
                                </a:lnTo>
                              </a:path>
                            </a:pathLst>
                          </a:custGeom>
                          <a:ln w="3156">
                            <a:solidFill>
                              <a:srgbClr val="000000"/>
                            </a:solidFill>
                            <a:prstDash val="solid"/>
                          </a:ln>
                        </wps:spPr>
                        <wps:bodyPr wrap="square" lIns="0" tIns="0" rIns="0" bIns="0" rtlCol="0">
                          <a:prstTxWarp prst="textNoShape">
                            <a:avLst/>
                          </a:prstTxWarp>
                          <a:noAutofit/>
                        </wps:bodyPr>
                      </wps:wsp>
                      <wps:wsp>
                        <wps:cNvPr id="369" name="Graphic 369"/>
                        <wps:cNvSpPr/>
                        <wps:spPr>
                          <a:xfrm>
                            <a:off x="2678153" y="739329"/>
                            <a:ext cx="152400" cy="1319530"/>
                          </a:xfrm>
                          <a:custGeom>
                            <a:avLst/>
                            <a:gdLst/>
                            <a:ahLst/>
                            <a:cxnLst/>
                            <a:rect l="l" t="t" r="r" b="b"/>
                            <a:pathLst>
                              <a:path w="152400" h="1319530">
                                <a:moveTo>
                                  <a:pt x="152170" y="0"/>
                                </a:moveTo>
                                <a:lnTo>
                                  <a:pt x="0" y="0"/>
                                </a:lnTo>
                                <a:lnTo>
                                  <a:pt x="0" y="1319296"/>
                                </a:lnTo>
                                <a:lnTo>
                                  <a:pt x="152170" y="1319296"/>
                                </a:lnTo>
                                <a:lnTo>
                                  <a:pt x="152170" y="0"/>
                                </a:lnTo>
                                <a:close/>
                              </a:path>
                            </a:pathLst>
                          </a:custGeom>
                          <a:solidFill>
                            <a:srgbClr val="93BDFF"/>
                          </a:solidFill>
                        </wps:spPr>
                        <wps:bodyPr wrap="square" lIns="0" tIns="0" rIns="0" bIns="0" rtlCol="0">
                          <a:prstTxWarp prst="textNoShape">
                            <a:avLst/>
                          </a:prstTxWarp>
                          <a:noAutofit/>
                        </wps:bodyPr>
                      </wps:wsp>
                      <wps:wsp>
                        <wps:cNvPr id="370" name="Graphic 370"/>
                        <wps:cNvSpPr/>
                        <wps:spPr>
                          <a:xfrm>
                            <a:off x="2678153" y="739329"/>
                            <a:ext cx="152400" cy="1319530"/>
                          </a:xfrm>
                          <a:custGeom>
                            <a:avLst/>
                            <a:gdLst/>
                            <a:ahLst/>
                            <a:cxnLst/>
                            <a:rect l="l" t="t" r="r" b="b"/>
                            <a:pathLst>
                              <a:path w="152400" h="1319530">
                                <a:moveTo>
                                  <a:pt x="152170" y="1319296"/>
                                </a:moveTo>
                                <a:lnTo>
                                  <a:pt x="152170" y="0"/>
                                </a:lnTo>
                                <a:lnTo>
                                  <a:pt x="0" y="0"/>
                                </a:lnTo>
                                <a:lnTo>
                                  <a:pt x="0" y="1319296"/>
                                </a:lnTo>
                              </a:path>
                            </a:pathLst>
                          </a:custGeom>
                          <a:ln w="3156">
                            <a:solidFill>
                              <a:srgbClr val="000000"/>
                            </a:solidFill>
                            <a:prstDash val="solid"/>
                          </a:ln>
                        </wps:spPr>
                        <wps:bodyPr wrap="square" lIns="0" tIns="0" rIns="0" bIns="0" rtlCol="0">
                          <a:prstTxWarp prst="textNoShape">
                            <a:avLst/>
                          </a:prstTxWarp>
                          <a:noAutofit/>
                        </wps:bodyPr>
                      </wps:wsp>
                      <wps:wsp>
                        <wps:cNvPr id="371" name="Graphic 371"/>
                        <wps:cNvSpPr/>
                        <wps:spPr>
                          <a:xfrm>
                            <a:off x="2830362" y="1474960"/>
                            <a:ext cx="153670" cy="584200"/>
                          </a:xfrm>
                          <a:custGeom>
                            <a:avLst/>
                            <a:gdLst/>
                            <a:ahLst/>
                            <a:cxnLst/>
                            <a:rect l="l" t="t" r="r" b="b"/>
                            <a:pathLst>
                              <a:path w="153670" h="584200">
                                <a:moveTo>
                                  <a:pt x="153437" y="0"/>
                                </a:moveTo>
                                <a:lnTo>
                                  <a:pt x="0" y="0"/>
                                </a:lnTo>
                                <a:lnTo>
                                  <a:pt x="0" y="583664"/>
                                </a:lnTo>
                                <a:lnTo>
                                  <a:pt x="153437" y="583664"/>
                                </a:lnTo>
                                <a:lnTo>
                                  <a:pt x="153437" y="0"/>
                                </a:lnTo>
                                <a:close/>
                              </a:path>
                            </a:pathLst>
                          </a:custGeom>
                          <a:solidFill>
                            <a:srgbClr val="93BDFF"/>
                          </a:solidFill>
                        </wps:spPr>
                        <wps:bodyPr wrap="square" lIns="0" tIns="0" rIns="0" bIns="0" rtlCol="0">
                          <a:prstTxWarp prst="textNoShape">
                            <a:avLst/>
                          </a:prstTxWarp>
                          <a:noAutofit/>
                        </wps:bodyPr>
                      </wps:wsp>
                      <wps:wsp>
                        <wps:cNvPr id="372" name="Graphic 372"/>
                        <wps:cNvSpPr/>
                        <wps:spPr>
                          <a:xfrm>
                            <a:off x="2830362" y="1474960"/>
                            <a:ext cx="153670" cy="584200"/>
                          </a:xfrm>
                          <a:custGeom>
                            <a:avLst/>
                            <a:gdLst/>
                            <a:ahLst/>
                            <a:cxnLst/>
                            <a:rect l="l" t="t" r="r" b="b"/>
                            <a:pathLst>
                              <a:path w="153670" h="584200">
                                <a:moveTo>
                                  <a:pt x="153437" y="583664"/>
                                </a:moveTo>
                                <a:lnTo>
                                  <a:pt x="153437" y="0"/>
                                </a:lnTo>
                                <a:lnTo>
                                  <a:pt x="0" y="0"/>
                                </a:lnTo>
                                <a:lnTo>
                                  <a:pt x="0" y="583664"/>
                                </a:lnTo>
                              </a:path>
                            </a:pathLst>
                          </a:custGeom>
                          <a:ln w="3156">
                            <a:solidFill>
                              <a:srgbClr val="000000"/>
                            </a:solidFill>
                            <a:prstDash val="solid"/>
                          </a:ln>
                        </wps:spPr>
                        <wps:bodyPr wrap="square" lIns="0" tIns="0" rIns="0" bIns="0" rtlCol="0">
                          <a:prstTxWarp prst="textNoShape">
                            <a:avLst/>
                          </a:prstTxWarp>
                          <a:noAutofit/>
                        </wps:bodyPr>
                      </wps:wsp>
                      <wps:wsp>
                        <wps:cNvPr id="373" name="Graphic 373"/>
                        <wps:cNvSpPr/>
                        <wps:spPr>
                          <a:xfrm>
                            <a:off x="2983851" y="1181085"/>
                            <a:ext cx="153035" cy="877569"/>
                          </a:xfrm>
                          <a:custGeom>
                            <a:avLst/>
                            <a:gdLst/>
                            <a:ahLst/>
                            <a:cxnLst/>
                            <a:rect l="l" t="t" r="r" b="b"/>
                            <a:pathLst>
                              <a:path w="153035" h="877569">
                                <a:moveTo>
                                  <a:pt x="152490" y="0"/>
                                </a:moveTo>
                                <a:lnTo>
                                  <a:pt x="0" y="0"/>
                                </a:lnTo>
                                <a:lnTo>
                                  <a:pt x="0" y="877539"/>
                                </a:lnTo>
                                <a:lnTo>
                                  <a:pt x="152490" y="877539"/>
                                </a:lnTo>
                                <a:lnTo>
                                  <a:pt x="152490" y="0"/>
                                </a:lnTo>
                                <a:close/>
                              </a:path>
                            </a:pathLst>
                          </a:custGeom>
                          <a:solidFill>
                            <a:srgbClr val="93BDFF"/>
                          </a:solidFill>
                        </wps:spPr>
                        <wps:bodyPr wrap="square" lIns="0" tIns="0" rIns="0" bIns="0" rtlCol="0">
                          <a:prstTxWarp prst="textNoShape">
                            <a:avLst/>
                          </a:prstTxWarp>
                          <a:noAutofit/>
                        </wps:bodyPr>
                      </wps:wsp>
                      <wps:wsp>
                        <wps:cNvPr id="374" name="Graphic 374"/>
                        <wps:cNvSpPr/>
                        <wps:spPr>
                          <a:xfrm>
                            <a:off x="2983851" y="1181085"/>
                            <a:ext cx="153035" cy="877569"/>
                          </a:xfrm>
                          <a:custGeom>
                            <a:avLst/>
                            <a:gdLst/>
                            <a:ahLst/>
                            <a:cxnLst/>
                            <a:rect l="l" t="t" r="r" b="b"/>
                            <a:pathLst>
                              <a:path w="153035" h="877569">
                                <a:moveTo>
                                  <a:pt x="152490" y="877539"/>
                                </a:moveTo>
                                <a:lnTo>
                                  <a:pt x="152490" y="0"/>
                                </a:lnTo>
                                <a:lnTo>
                                  <a:pt x="0" y="0"/>
                                </a:lnTo>
                                <a:lnTo>
                                  <a:pt x="0" y="877539"/>
                                </a:lnTo>
                              </a:path>
                            </a:pathLst>
                          </a:custGeom>
                          <a:ln w="3156">
                            <a:solidFill>
                              <a:srgbClr val="000000"/>
                            </a:solidFill>
                            <a:prstDash val="solid"/>
                          </a:ln>
                        </wps:spPr>
                        <wps:bodyPr wrap="square" lIns="0" tIns="0" rIns="0" bIns="0" rtlCol="0">
                          <a:prstTxWarp prst="textNoShape">
                            <a:avLst/>
                          </a:prstTxWarp>
                          <a:noAutofit/>
                        </wps:bodyPr>
                      </wps:wsp>
                      <wps:wsp>
                        <wps:cNvPr id="375" name="Graphic 375"/>
                        <wps:cNvSpPr/>
                        <wps:spPr>
                          <a:xfrm>
                            <a:off x="3136315" y="1916066"/>
                            <a:ext cx="153670" cy="142875"/>
                          </a:xfrm>
                          <a:custGeom>
                            <a:avLst/>
                            <a:gdLst/>
                            <a:ahLst/>
                            <a:cxnLst/>
                            <a:rect l="l" t="t" r="r" b="b"/>
                            <a:pathLst>
                              <a:path w="153670" h="142875">
                                <a:moveTo>
                                  <a:pt x="153437" y="0"/>
                                </a:moveTo>
                                <a:lnTo>
                                  <a:pt x="0" y="0"/>
                                </a:lnTo>
                                <a:lnTo>
                                  <a:pt x="0" y="142559"/>
                                </a:lnTo>
                                <a:lnTo>
                                  <a:pt x="153437" y="142559"/>
                                </a:lnTo>
                                <a:lnTo>
                                  <a:pt x="153437" y="0"/>
                                </a:lnTo>
                                <a:close/>
                              </a:path>
                            </a:pathLst>
                          </a:custGeom>
                          <a:solidFill>
                            <a:srgbClr val="93BDFF"/>
                          </a:solidFill>
                        </wps:spPr>
                        <wps:bodyPr wrap="square" lIns="0" tIns="0" rIns="0" bIns="0" rtlCol="0">
                          <a:prstTxWarp prst="textNoShape">
                            <a:avLst/>
                          </a:prstTxWarp>
                          <a:noAutofit/>
                        </wps:bodyPr>
                      </wps:wsp>
                      <wps:wsp>
                        <wps:cNvPr id="376" name="Graphic 376"/>
                        <wps:cNvSpPr/>
                        <wps:spPr>
                          <a:xfrm>
                            <a:off x="3136315" y="1916066"/>
                            <a:ext cx="153670" cy="142875"/>
                          </a:xfrm>
                          <a:custGeom>
                            <a:avLst/>
                            <a:gdLst/>
                            <a:ahLst/>
                            <a:cxnLst/>
                            <a:rect l="l" t="t" r="r" b="b"/>
                            <a:pathLst>
                              <a:path w="153670" h="142875">
                                <a:moveTo>
                                  <a:pt x="153437" y="142559"/>
                                </a:moveTo>
                                <a:lnTo>
                                  <a:pt x="153437" y="0"/>
                                </a:lnTo>
                                <a:lnTo>
                                  <a:pt x="0" y="0"/>
                                </a:lnTo>
                                <a:lnTo>
                                  <a:pt x="0" y="142559"/>
                                </a:lnTo>
                              </a:path>
                            </a:pathLst>
                          </a:custGeom>
                          <a:ln w="3152">
                            <a:solidFill>
                              <a:srgbClr val="000000"/>
                            </a:solidFill>
                            <a:prstDash val="solid"/>
                          </a:ln>
                        </wps:spPr>
                        <wps:bodyPr wrap="square" lIns="0" tIns="0" rIns="0" bIns="0" rtlCol="0">
                          <a:prstTxWarp prst="textNoShape">
                            <a:avLst/>
                          </a:prstTxWarp>
                          <a:noAutofit/>
                        </wps:bodyPr>
                      </wps:wsp>
                      <wps:wsp>
                        <wps:cNvPr id="377" name="Graphic 377"/>
                        <wps:cNvSpPr/>
                        <wps:spPr>
                          <a:xfrm>
                            <a:off x="3289676" y="1916066"/>
                            <a:ext cx="153670" cy="142875"/>
                          </a:xfrm>
                          <a:custGeom>
                            <a:avLst/>
                            <a:gdLst/>
                            <a:ahLst/>
                            <a:cxnLst/>
                            <a:rect l="l" t="t" r="r" b="b"/>
                            <a:pathLst>
                              <a:path w="153670" h="142875">
                                <a:moveTo>
                                  <a:pt x="153437" y="0"/>
                                </a:moveTo>
                                <a:lnTo>
                                  <a:pt x="0" y="0"/>
                                </a:lnTo>
                                <a:lnTo>
                                  <a:pt x="0" y="142559"/>
                                </a:lnTo>
                                <a:lnTo>
                                  <a:pt x="153437" y="142559"/>
                                </a:lnTo>
                                <a:lnTo>
                                  <a:pt x="153437" y="0"/>
                                </a:lnTo>
                                <a:close/>
                              </a:path>
                            </a:pathLst>
                          </a:custGeom>
                          <a:solidFill>
                            <a:srgbClr val="93BDFF"/>
                          </a:solidFill>
                        </wps:spPr>
                        <wps:bodyPr wrap="square" lIns="0" tIns="0" rIns="0" bIns="0" rtlCol="0">
                          <a:prstTxWarp prst="textNoShape">
                            <a:avLst/>
                          </a:prstTxWarp>
                          <a:noAutofit/>
                        </wps:bodyPr>
                      </wps:wsp>
                      <wps:wsp>
                        <wps:cNvPr id="378" name="Graphic 378"/>
                        <wps:cNvSpPr/>
                        <wps:spPr>
                          <a:xfrm>
                            <a:off x="3289676" y="1916066"/>
                            <a:ext cx="153670" cy="142875"/>
                          </a:xfrm>
                          <a:custGeom>
                            <a:avLst/>
                            <a:gdLst/>
                            <a:ahLst/>
                            <a:cxnLst/>
                            <a:rect l="l" t="t" r="r" b="b"/>
                            <a:pathLst>
                              <a:path w="153670" h="142875">
                                <a:moveTo>
                                  <a:pt x="153437" y="142559"/>
                                </a:moveTo>
                                <a:lnTo>
                                  <a:pt x="153437" y="0"/>
                                </a:lnTo>
                                <a:lnTo>
                                  <a:pt x="0" y="0"/>
                                </a:lnTo>
                                <a:lnTo>
                                  <a:pt x="0" y="142559"/>
                                </a:lnTo>
                              </a:path>
                            </a:pathLst>
                          </a:custGeom>
                          <a:ln w="3152">
                            <a:solidFill>
                              <a:srgbClr val="000000"/>
                            </a:solidFill>
                            <a:prstDash val="solid"/>
                          </a:ln>
                        </wps:spPr>
                        <wps:bodyPr wrap="square" lIns="0" tIns="0" rIns="0" bIns="0" rtlCol="0">
                          <a:prstTxWarp prst="textNoShape">
                            <a:avLst/>
                          </a:prstTxWarp>
                          <a:noAutofit/>
                        </wps:bodyPr>
                      </wps:wsp>
                      <wps:wsp>
                        <wps:cNvPr id="379" name="Graphic 379"/>
                        <wps:cNvSpPr/>
                        <wps:spPr>
                          <a:xfrm>
                            <a:off x="42935" y="2203"/>
                            <a:ext cx="3435350" cy="2064385"/>
                          </a:xfrm>
                          <a:custGeom>
                            <a:avLst/>
                            <a:gdLst/>
                            <a:ahLst/>
                            <a:cxnLst/>
                            <a:rect l="l" t="t" r="r" b="b"/>
                            <a:pathLst>
                              <a:path w="3435350" h="2064385">
                                <a:moveTo>
                                  <a:pt x="0" y="0"/>
                                </a:moveTo>
                                <a:lnTo>
                                  <a:pt x="0" y="2063953"/>
                                </a:lnTo>
                              </a:path>
                              <a:path w="3435350" h="2064385">
                                <a:moveTo>
                                  <a:pt x="0" y="2063953"/>
                                </a:moveTo>
                                <a:lnTo>
                                  <a:pt x="3435304" y="2063953"/>
                                </a:lnTo>
                              </a:path>
                              <a:path w="3435350" h="2064385">
                                <a:moveTo>
                                  <a:pt x="3435304" y="2063953"/>
                                </a:moveTo>
                                <a:lnTo>
                                  <a:pt x="3435304" y="0"/>
                                </a:lnTo>
                              </a:path>
                              <a:path w="3435350" h="2064385">
                                <a:moveTo>
                                  <a:pt x="3435304" y="0"/>
                                </a:moveTo>
                                <a:lnTo>
                                  <a:pt x="0" y="0"/>
                                </a:lnTo>
                              </a:path>
                            </a:pathLst>
                          </a:custGeom>
                          <a:ln w="441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9.321198pt;margin-top:6.362857pt;width:274.1pt;height:166.45pt;mso-position-horizontal-relative:page;mso-position-vertical-relative:paragraph;z-index:15766528" id="docshapegroup323" coordorigin="2386,127" coordsize="5482,3329">
                <v:shape style="position:absolute;left:2454;top:130;width:5410;height:3251" id="docshape324" coordorigin="2454,131" coordsize="5410,3251" path="m2454,131l2454,3381m2454,3381l7864,3381m7864,3381l7864,131m7864,131l2454,131e" filled="false" stroked="true" strokeweight=".347531pt" strokecolor="#000000">
                  <v:path arrowok="t"/>
                  <v:stroke dashstyle="solid"/>
                </v:shape>
                <v:shape style="position:absolute;left:2386;top:134;width:63;height:3244" id="docshape325" coordorigin="2386,134" coordsize="63,3244" path="m2449,3378l2386,3378m2449,2913l2386,2913m2449,2450l2386,2450m2449,1987l2386,1987m2449,1523l2386,1523m2449,1060l2386,1060m2449,597l2386,597m2449,134l2386,134e" filled="false" stroked="true" strokeweight=".248235pt" strokecolor="#000000">
                  <v:path arrowok="t"/>
                  <v:stroke dashstyle="solid"/>
                </v:shape>
                <v:shape style="position:absolute;left:2509;top:3386;width:5300;height:70" id="docshape326" coordorigin="2509,3387" coordsize="5300,70" path="m2509,3387l2509,3456m2749,3387l2749,3423m2991,3387l2991,3423m3231,3387l3231,3423m3472,3387l3472,3456m3712,3387l3712,3423m3954,3387l3954,3423m4194,3387l4194,3423m4436,3387l4436,3456m4676,3387l4676,3423m4917,3387l4917,3423m5159,3387l5159,3423m5399,3387l5399,3456m5641,3387l5641,3423m5881,3387l5881,3423m6122,3387l6122,3423m6362,3387l6362,3456m6604,3387l6604,3423m6844,3387l6844,3423m7085,3387l7085,3423m7326,3387l7326,3456m7567,3387l7567,3423m7809,3387l7809,3423e" filled="false" stroked="true" strokeweight=".248235pt" strokecolor="#000000">
                  <v:path arrowok="t"/>
                  <v:stroke dashstyle="solid"/>
                </v:shape>
                <v:rect style="position:absolute;left:2509;top:3144;width:241;height:225" id="docshape327" filled="true" fillcolor="#93bdff" stroked="false">
                  <v:fill type="solid"/>
                </v:rect>
                <v:shape style="position:absolute;left:2509;top:3144;width:241;height:225" id="docshape328" coordorigin="2509,3145" coordsize="241,225" path="m2749,3369l2749,3145,2509,3145,2509,3369e" filled="false" stroked="true" strokeweight=".248211pt" strokecolor="#000000">
                  <v:path arrowok="t"/>
                  <v:stroke dashstyle="solid"/>
                </v:shape>
                <v:rect style="position:absolute;left:4435;top:3144;width:240;height:225" id="docshape329" filled="true" fillcolor="#93bdff" stroked="false">
                  <v:fill type="solid"/>
                </v:rect>
                <v:shape style="position:absolute;left:4435;top:3144;width:240;height:225" id="docshape330" coordorigin="4436,3145" coordsize="240,225" path="m4675,3369l4675,3145,4436,3145,4436,3369e" filled="false" stroked="true" strokeweight=".248212pt" strokecolor="#000000">
                  <v:path arrowok="t"/>
                  <v:stroke dashstyle="solid"/>
                </v:shape>
                <v:rect style="position:absolute;left:5158;top:2913;width:241;height:456" id="docshape331" filled="true" fillcolor="#93bdff" stroked="false">
                  <v:fill type="solid"/>
                </v:rect>
                <v:shape style="position:absolute;left:5158;top:2913;width:241;height:456" id="docshape332" coordorigin="5159,2913" coordsize="241,456" path="m5399,3369l5399,2913,5159,2913,5159,3369e" filled="false" stroked="true" strokeweight=".248435pt" strokecolor="#000000">
                  <v:path arrowok="t"/>
                  <v:stroke dashstyle="solid"/>
                </v:shape>
                <v:rect style="position:absolute;left:5640;top:2450;width:241;height:920" id="docshape333" filled="true" fillcolor="#93bdff" stroked="false">
                  <v:fill type="solid"/>
                </v:rect>
                <v:shape style="position:absolute;left:5640;top:2450;width:241;height:920" id="docshape334" coordorigin="5641,2450" coordsize="241,920" path="m5881,3369l5881,2450,5641,2450,5641,3369e" filled="false" stroked="true" strokeweight=".248544pt" strokecolor="#000000">
                  <v:path arrowok="t"/>
                  <v:stroke dashstyle="solid"/>
                </v:shape>
                <v:rect style="position:absolute;left:5880;top:1755;width:242;height:1614" id="docshape335" filled="true" fillcolor="#93bdff" stroked="false">
                  <v:fill type="solid"/>
                </v:rect>
                <v:shape style="position:absolute;left:5880;top:1755;width:242;height:1614" id="docshape336" coordorigin="5881,1756" coordsize="242,1614" path="m6122,3369l6122,1756,5881,1756,5881,3369e" filled="false" stroked="true" strokeweight=".248573pt" strokecolor="#000000">
                  <v:path arrowok="t"/>
                  <v:stroke dashstyle="solid"/>
                </v:shape>
                <v:rect style="position:absolute;left:6122;top:365;width:241;height:3004" id="docshape337" filled="true" fillcolor="#93bdff" stroked="false">
                  <v:fill type="solid"/>
                </v:rect>
                <v:shape style="position:absolute;left:6122;top:365;width:241;height:3004" id="docshape338" coordorigin="6122,365" coordsize="241,3004" path="m6362,3369l6362,365,6122,365,6122,3369e" filled="false" stroked="true" strokeweight=".248584pt" strokecolor="#000000">
                  <v:path arrowok="t"/>
                  <v:stroke dashstyle="solid"/>
                </v:shape>
                <v:rect style="position:absolute;left:6362;top:828;width:242;height:2541" id="docshape339" filled="true" fillcolor="#93bdff" stroked="false">
                  <v:fill type="solid"/>
                </v:rect>
                <v:shape style="position:absolute;left:6362;top:828;width:242;height:2541" id="docshape340" coordorigin="6362,828" coordsize="242,2541" path="m6604,3369l6604,828,6362,828,6362,3369e" filled="false" stroked="true" strokeweight=".248583pt" strokecolor="#000000">
                  <v:path arrowok="t"/>
                  <v:stroke dashstyle="solid"/>
                </v:shape>
                <v:rect style="position:absolute;left:6603;top:1291;width:240;height:2078" id="docshape341" filled="true" fillcolor="#93bdff" stroked="false">
                  <v:fill type="solid"/>
                </v:rect>
                <v:shape style="position:absolute;left:6603;top:1291;width:240;height:2078" id="docshape342" coordorigin="6604,1292" coordsize="240,2078" path="m6844,3369l6844,1292,6604,1292,6604,3369e" filled="false" stroked="true" strokeweight=".24858pt" strokecolor="#000000">
                  <v:path arrowok="t"/>
                  <v:stroke dashstyle="solid"/>
                </v:shape>
                <v:rect style="position:absolute;left:6843;top:2450;width:242;height:920" id="docshape343" filled="true" fillcolor="#93bdff" stroked="false">
                  <v:fill type="solid"/>
                </v:rect>
                <v:shape style="position:absolute;left:6843;top:2450;width:242;height:920" id="docshape344" coordorigin="6844,2450" coordsize="242,920" path="m7085,3369l7085,2450,6844,2450,6844,3369e" filled="false" stroked="true" strokeweight=".248543pt" strokecolor="#000000">
                  <v:path arrowok="t"/>
                  <v:stroke dashstyle="solid"/>
                </v:shape>
                <v:rect style="position:absolute;left:7085;top:1987;width:241;height:1382" id="docshape345" filled="true" fillcolor="#93bdff" stroked="false">
                  <v:fill type="solid"/>
                </v:rect>
                <v:shape style="position:absolute;left:7085;top:1987;width:241;height:1382" id="docshape346" coordorigin="7085,1987" coordsize="241,1382" path="m7326,3369l7326,1987,7085,1987,7085,3369e" filled="false" stroked="true" strokeweight=".248568pt" strokecolor="#000000">
                  <v:path arrowok="t"/>
                  <v:stroke dashstyle="solid"/>
                </v:shape>
                <v:rect style="position:absolute;left:7325;top:3144;width:242;height:225" id="docshape347" filled="true" fillcolor="#93bdff" stroked="false">
                  <v:fill type="solid"/>
                </v:rect>
                <v:shape style="position:absolute;left:7325;top:3144;width:242;height:225" id="docshape348" coordorigin="7326,3145" coordsize="242,225" path="m7567,3369l7567,3145,7326,3145,7326,3369e" filled="false" stroked="true" strokeweight=".248209pt" strokecolor="#000000">
                  <v:path arrowok="t"/>
                  <v:stroke dashstyle="solid"/>
                </v:shape>
                <v:rect style="position:absolute;left:7567;top:3144;width:242;height:225" id="docshape349" filled="true" fillcolor="#93bdff" stroked="false">
                  <v:fill type="solid"/>
                </v:rect>
                <v:shape style="position:absolute;left:7567;top:3144;width:242;height:225" id="docshape350" coordorigin="7567,3145" coordsize="242,225" path="m7809,3369l7809,3145,7567,3145,7567,3369e" filled="false" stroked="true" strokeweight=".248209pt" strokecolor="#000000">
                  <v:path arrowok="t"/>
                  <v:stroke dashstyle="solid"/>
                </v:shape>
                <v:shape style="position:absolute;left:2454;top:130;width:5410;height:3251" id="docshape351" coordorigin="2454,131" coordsize="5410,3251" path="m2454,131l2454,3381m2454,3381l7864,3381m7864,3381l7864,131m7864,131l2454,131e" filled="false" stroked="true" strokeweight=".347531pt" strokecolor="#000000">
                  <v:path arrowok="t"/>
                  <v:stroke dashstyle="solid"/>
                </v:shape>
                <w10:wrap type="none"/>
              </v:group>
            </w:pict>
          </mc:Fallback>
        </mc:AlternateContent>
      </w:r>
      <w:r>
        <w:rPr>
          <w:rFonts w:ascii="Arial MT"/>
          <w:sz w:val="15"/>
        </w:rPr>
        <mc:AlternateContent>
          <mc:Choice Requires="wps">
            <w:drawing>
              <wp:anchor distT="0" distB="0" distL="0" distR="0" allowOverlap="1" layoutInCell="1" locked="0" behindDoc="0" simplePos="0" relativeHeight="15767040">
                <wp:simplePos x="0" y="0"/>
                <wp:positionH relativeFrom="page">
                  <wp:posOffset>5161158</wp:posOffset>
                </wp:positionH>
                <wp:positionV relativeFrom="paragraph">
                  <wp:posOffset>82066</wp:posOffset>
                </wp:positionV>
                <wp:extent cx="1491615" cy="2152015"/>
                <wp:effectExtent l="0" t="0" r="0" b="0"/>
                <wp:wrapNone/>
                <wp:docPr id="380" name="Group 380"/>
                <wp:cNvGraphicFramePr>
                  <a:graphicFrameLocks/>
                </wp:cNvGraphicFramePr>
                <a:graphic>
                  <a:graphicData uri="http://schemas.microsoft.com/office/word/2010/wordprocessingGroup">
                    <wpg:wgp>
                      <wpg:cNvPr id="380" name="Group 380"/>
                      <wpg:cNvGrpSpPr/>
                      <wpg:grpSpPr>
                        <a:xfrm>
                          <a:off x="0" y="0"/>
                          <a:ext cx="1491615" cy="2152015"/>
                          <a:chExt cx="1491615" cy="2152015"/>
                        </a:xfrm>
                      </wpg:grpSpPr>
                      <wps:wsp>
                        <wps:cNvPr id="381" name="Graphic 381"/>
                        <wps:cNvSpPr/>
                        <wps:spPr>
                          <a:xfrm>
                            <a:off x="2207" y="2207"/>
                            <a:ext cx="1478915" cy="2147570"/>
                          </a:xfrm>
                          <a:custGeom>
                            <a:avLst/>
                            <a:gdLst/>
                            <a:ahLst/>
                            <a:cxnLst/>
                            <a:rect l="l" t="t" r="r" b="b"/>
                            <a:pathLst>
                              <a:path w="1478915" h="2147570">
                                <a:moveTo>
                                  <a:pt x="1478816" y="0"/>
                                </a:moveTo>
                                <a:lnTo>
                                  <a:pt x="0" y="0"/>
                                </a:lnTo>
                                <a:lnTo>
                                  <a:pt x="0" y="2147193"/>
                                </a:lnTo>
                                <a:lnTo>
                                  <a:pt x="1478816" y="2147193"/>
                                </a:lnTo>
                              </a:path>
                            </a:pathLst>
                          </a:custGeom>
                          <a:ln w="4415">
                            <a:solidFill>
                              <a:srgbClr val="000000"/>
                            </a:solidFill>
                            <a:prstDash val="solid"/>
                          </a:ln>
                        </wps:spPr>
                        <wps:bodyPr wrap="square" lIns="0" tIns="0" rIns="0" bIns="0" rtlCol="0">
                          <a:prstTxWarp prst="textNoShape">
                            <a:avLst/>
                          </a:prstTxWarp>
                          <a:noAutofit/>
                        </wps:bodyPr>
                      </wps:wsp>
                      <wps:wsp>
                        <wps:cNvPr id="382" name="Textbox 382"/>
                        <wps:cNvSpPr txBox="1"/>
                        <wps:spPr>
                          <a:xfrm>
                            <a:off x="66983" y="42405"/>
                            <a:ext cx="1424940" cy="423545"/>
                          </a:xfrm>
                          <a:prstGeom prst="rect">
                            <a:avLst/>
                          </a:prstGeom>
                        </wps:spPr>
                        <wps:txbx>
                          <w:txbxContent>
                            <w:p>
                              <w:pPr>
                                <w:spacing w:line="201" w:lineRule="exact" w:before="0"/>
                                <w:ind w:left="0" w:right="0" w:firstLine="0"/>
                                <w:jc w:val="left"/>
                                <w:rPr>
                                  <w:rFonts w:ascii="Arial MT"/>
                                  <w:sz w:val="18"/>
                                </w:rPr>
                              </w:pPr>
                              <w:r>
                                <w:rPr>
                                  <w:rFonts w:ascii="Arial MT"/>
                                  <w:sz w:val="18"/>
                                </w:rPr>
                                <w:t>Series:</w:t>
                              </w:r>
                              <w:r>
                                <w:rPr>
                                  <w:rFonts w:ascii="Arial MT"/>
                                  <w:spacing w:val="-1"/>
                                  <w:sz w:val="18"/>
                                </w:rPr>
                                <w:t> </w:t>
                              </w:r>
                              <w:r>
                                <w:rPr>
                                  <w:rFonts w:ascii="Arial MT"/>
                                  <w:spacing w:val="-2"/>
                                  <w:sz w:val="18"/>
                                </w:rPr>
                                <w:t>Residuals</w:t>
                              </w:r>
                            </w:p>
                            <w:p>
                              <w:pPr>
                                <w:spacing w:before="26"/>
                                <w:ind w:left="0" w:right="0" w:firstLine="0"/>
                                <w:jc w:val="left"/>
                                <w:rPr>
                                  <w:rFonts w:ascii="Arial MT"/>
                                  <w:sz w:val="18"/>
                                </w:rPr>
                              </w:pPr>
                              <w:r>
                                <w:rPr>
                                  <w:rFonts w:ascii="Arial MT"/>
                                  <w:sz w:val="18"/>
                                </w:rPr>
                                <w:t>Sample</w:t>
                              </w:r>
                              <w:r>
                                <w:rPr>
                                  <w:rFonts w:ascii="Arial MT"/>
                                  <w:spacing w:val="-9"/>
                                  <w:sz w:val="18"/>
                                </w:rPr>
                                <w:t> </w:t>
                              </w:r>
                              <w:r>
                                <w:rPr>
                                  <w:rFonts w:ascii="Arial MT"/>
                                  <w:sz w:val="18"/>
                                </w:rPr>
                                <w:t>2020M01</w:t>
                              </w:r>
                              <w:r>
                                <w:rPr>
                                  <w:rFonts w:ascii="Arial MT"/>
                                  <w:spacing w:val="-7"/>
                                  <w:sz w:val="18"/>
                                </w:rPr>
                                <w:t> </w:t>
                              </w:r>
                              <w:r>
                                <w:rPr>
                                  <w:rFonts w:ascii="Arial MT"/>
                                  <w:spacing w:val="-2"/>
                                  <w:sz w:val="18"/>
                                </w:rPr>
                                <w:t>2024M12</w:t>
                              </w:r>
                            </w:p>
                            <w:p>
                              <w:pPr>
                                <w:spacing w:before="26"/>
                                <w:ind w:left="0" w:right="0" w:firstLine="0"/>
                                <w:jc w:val="left"/>
                                <w:rPr>
                                  <w:rFonts w:ascii="Arial MT"/>
                                  <w:sz w:val="18"/>
                                </w:rPr>
                              </w:pPr>
                              <w:r>
                                <w:rPr>
                                  <w:rFonts w:ascii="Arial MT"/>
                                  <w:sz w:val="18"/>
                                </w:rPr>
                                <w:t>Observations</w:t>
                              </w:r>
                              <w:r>
                                <w:rPr>
                                  <w:rFonts w:ascii="Arial MT"/>
                                  <w:spacing w:val="7"/>
                                  <w:sz w:val="18"/>
                                </w:rPr>
                                <w:t> </w:t>
                              </w:r>
                              <w:r>
                                <w:rPr>
                                  <w:rFonts w:ascii="Arial MT"/>
                                  <w:spacing w:val="-5"/>
                                  <w:sz w:val="18"/>
                                </w:rPr>
                                <w:t>60</w:t>
                              </w:r>
                            </w:p>
                          </w:txbxContent>
                        </wps:txbx>
                        <wps:bodyPr wrap="square" lIns="0" tIns="0" rIns="0" bIns="0" rtlCol="0">
                          <a:noAutofit/>
                        </wps:bodyPr>
                      </wps:wsp>
                      <wps:wsp>
                        <wps:cNvPr id="383" name="Textbox 383"/>
                        <wps:cNvSpPr txBox="1"/>
                        <wps:spPr>
                          <a:xfrm>
                            <a:off x="66983" y="634954"/>
                            <a:ext cx="530225" cy="1016000"/>
                          </a:xfrm>
                          <a:prstGeom prst="rect">
                            <a:avLst/>
                          </a:prstGeom>
                        </wps:spPr>
                        <wps:txbx>
                          <w:txbxContent>
                            <w:p>
                              <w:pPr>
                                <w:spacing w:line="271" w:lineRule="auto" w:before="0"/>
                                <w:ind w:left="0" w:right="10" w:firstLine="0"/>
                                <w:jc w:val="left"/>
                                <w:rPr>
                                  <w:rFonts w:ascii="Arial MT"/>
                                  <w:sz w:val="18"/>
                                </w:rPr>
                              </w:pPr>
                              <w:r>
                                <w:rPr>
                                  <w:rFonts w:ascii="Arial MT"/>
                                  <w:spacing w:val="-4"/>
                                  <w:sz w:val="18"/>
                                </w:rPr>
                                <w:t>Mean </w:t>
                              </w:r>
                              <w:r>
                                <w:rPr>
                                  <w:rFonts w:ascii="Arial MT"/>
                                  <w:spacing w:val="-2"/>
                                  <w:sz w:val="18"/>
                                </w:rPr>
                                <w:t>Median Maximum Minimum </w:t>
                              </w:r>
                              <w:r>
                                <w:rPr>
                                  <w:rFonts w:ascii="Arial MT"/>
                                  <w:sz w:val="18"/>
                                </w:rPr>
                                <w:t>Std. Dev. </w:t>
                              </w:r>
                              <w:r>
                                <w:rPr>
                                  <w:rFonts w:ascii="Arial MT"/>
                                  <w:spacing w:val="-2"/>
                                  <w:sz w:val="18"/>
                                </w:rPr>
                                <w:t>Skewness</w:t>
                              </w:r>
                            </w:p>
                            <w:p>
                              <w:pPr>
                                <w:spacing w:line="202" w:lineRule="exact" w:before="0"/>
                                <w:ind w:left="0" w:right="0" w:firstLine="0"/>
                                <w:jc w:val="left"/>
                                <w:rPr>
                                  <w:rFonts w:ascii="Arial MT"/>
                                  <w:sz w:val="18"/>
                                </w:rPr>
                              </w:pPr>
                              <w:r>
                                <w:rPr>
                                  <w:rFonts w:ascii="Arial MT"/>
                                  <w:spacing w:val="-2"/>
                                  <w:sz w:val="18"/>
                                </w:rPr>
                                <w:t>Kurtosis</w:t>
                              </w:r>
                            </w:p>
                          </w:txbxContent>
                        </wps:txbx>
                        <wps:bodyPr wrap="square" lIns="0" tIns="0" rIns="0" bIns="0" rtlCol="0">
                          <a:noAutofit/>
                        </wps:bodyPr>
                      </wps:wsp>
                      <wps:wsp>
                        <wps:cNvPr id="384" name="Textbox 384"/>
                        <wps:cNvSpPr txBox="1"/>
                        <wps:spPr>
                          <a:xfrm>
                            <a:off x="856316" y="634954"/>
                            <a:ext cx="544195" cy="1016000"/>
                          </a:xfrm>
                          <a:prstGeom prst="rect">
                            <a:avLst/>
                          </a:prstGeom>
                        </wps:spPr>
                        <wps:txbx>
                          <w:txbxContent>
                            <w:p>
                              <w:pPr>
                                <w:spacing w:line="268" w:lineRule="auto" w:before="0"/>
                                <w:ind w:left="51" w:right="32" w:hanging="52"/>
                                <w:jc w:val="left"/>
                                <w:rPr>
                                  <w:rFonts w:ascii="Arial MT"/>
                                  <w:sz w:val="18"/>
                                </w:rPr>
                              </w:pPr>
                              <w:r>
                                <w:rPr>
                                  <w:rFonts w:ascii="Arial MT"/>
                                  <w:spacing w:val="-2"/>
                                  <w:sz w:val="18"/>
                                </w:rPr>
                                <w:t>-2.37e-15 0.004535</w:t>
                              </w:r>
                            </w:p>
                            <w:p>
                              <w:pPr>
                                <w:spacing w:before="0"/>
                                <w:ind w:left="51" w:right="0" w:firstLine="0"/>
                                <w:jc w:val="left"/>
                                <w:rPr>
                                  <w:rFonts w:ascii="Arial MT"/>
                                  <w:sz w:val="18"/>
                                </w:rPr>
                              </w:pPr>
                              <w:r>
                                <w:rPr>
                                  <w:rFonts w:ascii="Arial MT"/>
                                  <w:spacing w:val="-2"/>
                                  <w:sz w:val="18"/>
                                </w:rPr>
                                <w:t>0.140112</w:t>
                              </w:r>
                            </w:p>
                            <w:p>
                              <w:pPr>
                                <w:spacing w:before="22"/>
                                <w:ind w:left="0" w:right="0" w:firstLine="0"/>
                                <w:jc w:val="left"/>
                                <w:rPr>
                                  <w:rFonts w:ascii="Arial MT"/>
                                  <w:sz w:val="18"/>
                                </w:rPr>
                              </w:pPr>
                              <w:r>
                                <w:rPr>
                                  <w:rFonts w:ascii="Arial MT"/>
                                  <w:sz w:val="18"/>
                                </w:rPr>
                                <w:t>-</w:t>
                              </w:r>
                              <w:r>
                                <w:rPr>
                                  <w:rFonts w:ascii="Arial MT"/>
                                  <w:spacing w:val="-2"/>
                                  <w:sz w:val="18"/>
                                </w:rPr>
                                <w:t>0.392881</w:t>
                              </w:r>
                            </w:p>
                            <w:p>
                              <w:pPr>
                                <w:spacing w:before="26"/>
                                <w:ind w:left="51" w:right="0" w:firstLine="0"/>
                                <w:jc w:val="left"/>
                                <w:rPr>
                                  <w:rFonts w:ascii="Arial MT"/>
                                  <w:sz w:val="18"/>
                                </w:rPr>
                              </w:pPr>
                              <w:r>
                                <w:rPr>
                                  <w:rFonts w:ascii="Arial MT"/>
                                  <w:spacing w:val="-2"/>
                                  <w:sz w:val="18"/>
                                </w:rPr>
                                <w:t>0.076147</w:t>
                              </w:r>
                            </w:p>
                            <w:p>
                              <w:pPr>
                                <w:spacing w:before="26"/>
                                <w:ind w:left="0" w:right="0" w:firstLine="0"/>
                                <w:jc w:val="left"/>
                                <w:rPr>
                                  <w:rFonts w:ascii="Arial MT"/>
                                  <w:sz w:val="18"/>
                                </w:rPr>
                              </w:pPr>
                              <w:r>
                                <w:rPr>
                                  <w:rFonts w:ascii="Arial MT"/>
                                  <w:sz w:val="18"/>
                                </w:rPr>
                                <w:t>-</w:t>
                              </w:r>
                              <w:r>
                                <w:rPr>
                                  <w:rFonts w:ascii="Arial MT"/>
                                  <w:spacing w:val="-2"/>
                                  <w:sz w:val="18"/>
                                </w:rPr>
                                <w:t>2.423107</w:t>
                              </w:r>
                            </w:p>
                            <w:p>
                              <w:pPr>
                                <w:spacing w:before="26"/>
                                <w:ind w:left="51" w:right="0" w:firstLine="0"/>
                                <w:jc w:val="left"/>
                                <w:rPr>
                                  <w:rFonts w:ascii="Arial MT"/>
                                  <w:sz w:val="18"/>
                                </w:rPr>
                              </w:pPr>
                              <w:r>
                                <w:rPr>
                                  <w:rFonts w:ascii="Arial MT"/>
                                  <w:spacing w:val="-2"/>
                                  <w:sz w:val="18"/>
                                </w:rPr>
                                <w:t>13.49155</w:t>
                              </w:r>
                            </w:p>
                          </w:txbxContent>
                        </wps:txbx>
                        <wps:bodyPr wrap="square" lIns="0" tIns="0" rIns="0" bIns="0" rtlCol="0">
                          <a:noAutofit/>
                        </wps:bodyPr>
                      </wps:wsp>
                      <wps:wsp>
                        <wps:cNvPr id="385" name="Textbox 385"/>
                        <wps:cNvSpPr txBox="1"/>
                        <wps:spPr>
                          <a:xfrm>
                            <a:off x="66983" y="1819211"/>
                            <a:ext cx="1324610" cy="275590"/>
                          </a:xfrm>
                          <a:prstGeom prst="rect">
                            <a:avLst/>
                          </a:prstGeom>
                        </wps:spPr>
                        <wps:txbx>
                          <w:txbxContent>
                            <w:p>
                              <w:pPr>
                                <w:tabs>
                                  <w:tab w:pos="1294" w:val="left" w:leader="none"/>
                                </w:tabs>
                                <w:spacing w:line="201" w:lineRule="exact" w:before="0"/>
                                <w:ind w:left="0" w:right="0" w:firstLine="0"/>
                                <w:jc w:val="left"/>
                                <w:rPr>
                                  <w:rFonts w:ascii="Arial MT"/>
                                  <w:sz w:val="18"/>
                                </w:rPr>
                              </w:pPr>
                              <w:r>
                                <w:rPr>
                                  <w:rFonts w:ascii="Arial MT"/>
                                  <w:sz w:val="18"/>
                                </w:rPr>
                                <w:t>Jarque-</w:t>
                              </w:r>
                              <w:r>
                                <w:rPr>
                                  <w:rFonts w:ascii="Arial MT"/>
                                  <w:spacing w:val="-4"/>
                                  <w:sz w:val="18"/>
                                </w:rPr>
                                <w:t>Bera</w:t>
                              </w:r>
                              <w:r>
                                <w:rPr>
                                  <w:rFonts w:ascii="Arial MT"/>
                                  <w:sz w:val="18"/>
                                </w:rPr>
                                <w:tab/>
                              </w:r>
                              <w:r>
                                <w:rPr>
                                  <w:rFonts w:ascii="Arial MT"/>
                                  <w:spacing w:val="-2"/>
                                  <w:sz w:val="18"/>
                                </w:rPr>
                                <w:t>333.8963</w:t>
                              </w:r>
                            </w:p>
                            <w:p>
                              <w:pPr>
                                <w:tabs>
                                  <w:tab w:pos="1211" w:val="left" w:leader="none"/>
                                </w:tabs>
                                <w:spacing w:before="26"/>
                                <w:ind w:left="0" w:right="0" w:firstLine="0"/>
                                <w:jc w:val="left"/>
                                <w:rPr>
                                  <w:rFonts w:ascii="Arial MT"/>
                                  <w:sz w:val="18"/>
                                </w:rPr>
                              </w:pPr>
                              <w:r>
                                <w:rPr>
                                  <w:rFonts w:ascii="Arial MT"/>
                                  <w:spacing w:val="-2"/>
                                  <w:sz w:val="18"/>
                                </w:rPr>
                                <w:t>Probability</w:t>
                              </w:r>
                              <w:r>
                                <w:rPr>
                                  <w:rFonts w:ascii="Arial MT"/>
                                  <w:sz w:val="18"/>
                                </w:rPr>
                                <w:tab/>
                              </w:r>
                              <w:r>
                                <w:rPr>
                                  <w:rFonts w:ascii="Arial MT"/>
                                  <w:spacing w:val="-2"/>
                                  <w:sz w:val="18"/>
                                </w:rPr>
                                <w:t>0.000000</w:t>
                              </w:r>
                            </w:p>
                          </w:txbxContent>
                        </wps:txbx>
                        <wps:bodyPr wrap="square" lIns="0" tIns="0" rIns="0" bIns="0" rtlCol="0">
                          <a:noAutofit/>
                        </wps:bodyPr>
                      </wps:wsp>
                    </wpg:wgp>
                  </a:graphicData>
                </a:graphic>
              </wp:anchor>
            </w:drawing>
          </mc:Choice>
          <mc:Fallback>
            <w:pict>
              <v:group style="position:absolute;margin-left:406.390411pt;margin-top:6.46195pt;width:117.45pt;height:169.45pt;mso-position-horizontal-relative:page;mso-position-vertical-relative:paragraph;z-index:15767040" id="docshapegroup352" coordorigin="8128,129" coordsize="2349,3389">
                <v:shape style="position:absolute;left:8131;top:132;width:2329;height:3382" id="docshape353" coordorigin="8131,133" coordsize="2329,3382" path="m10460,133l8131,133,8131,3514,10460,3514e" filled="false" stroked="true" strokeweight=".347708pt" strokecolor="#000000">
                  <v:path arrowok="t"/>
                  <v:stroke dashstyle="solid"/>
                </v:shape>
                <v:shape style="position:absolute;left:8233;top:196;width:2244;height:667" type="#_x0000_t202" id="docshape354" filled="false" stroked="false">
                  <v:textbox inset="0,0,0,0">
                    <w:txbxContent>
                      <w:p>
                        <w:pPr>
                          <w:spacing w:line="201" w:lineRule="exact" w:before="0"/>
                          <w:ind w:left="0" w:right="0" w:firstLine="0"/>
                          <w:jc w:val="left"/>
                          <w:rPr>
                            <w:rFonts w:ascii="Arial MT"/>
                            <w:sz w:val="18"/>
                          </w:rPr>
                        </w:pPr>
                        <w:r>
                          <w:rPr>
                            <w:rFonts w:ascii="Arial MT"/>
                            <w:sz w:val="18"/>
                          </w:rPr>
                          <w:t>Series:</w:t>
                        </w:r>
                        <w:r>
                          <w:rPr>
                            <w:rFonts w:ascii="Arial MT"/>
                            <w:spacing w:val="-1"/>
                            <w:sz w:val="18"/>
                          </w:rPr>
                          <w:t> </w:t>
                        </w:r>
                        <w:r>
                          <w:rPr>
                            <w:rFonts w:ascii="Arial MT"/>
                            <w:spacing w:val="-2"/>
                            <w:sz w:val="18"/>
                          </w:rPr>
                          <w:t>Residuals</w:t>
                        </w:r>
                      </w:p>
                      <w:p>
                        <w:pPr>
                          <w:spacing w:before="26"/>
                          <w:ind w:left="0" w:right="0" w:firstLine="0"/>
                          <w:jc w:val="left"/>
                          <w:rPr>
                            <w:rFonts w:ascii="Arial MT"/>
                            <w:sz w:val="18"/>
                          </w:rPr>
                        </w:pPr>
                        <w:r>
                          <w:rPr>
                            <w:rFonts w:ascii="Arial MT"/>
                            <w:sz w:val="18"/>
                          </w:rPr>
                          <w:t>Sample</w:t>
                        </w:r>
                        <w:r>
                          <w:rPr>
                            <w:rFonts w:ascii="Arial MT"/>
                            <w:spacing w:val="-9"/>
                            <w:sz w:val="18"/>
                          </w:rPr>
                          <w:t> </w:t>
                        </w:r>
                        <w:r>
                          <w:rPr>
                            <w:rFonts w:ascii="Arial MT"/>
                            <w:sz w:val="18"/>
                          </w:rPr>
                          <w:t>2020M01</w:t>
                        </w:r>
                        <w:r>
                          <w:rPr>
                            <w:rFonts w:ascii="Arial MT"/>
                            <w:spacing w:val="-7"/>
                            <w:sz w:val="18"/>
                          </w:rPr>
                          <w:t> </w:t>
                        </w:r>
                        <w:r>
                          <w:rPr>
                            <w:rFonts w:ascii="Arial MT"/>
                            <w:spacing w:val="-2"/>
                            <w:sz w:val="18"/>
                          </w:rPr>
                          <w:t>2024M12</w:t>
                        </w:r>
                      </w:p>
                      <w:p>
                        <w:pPr>
                          <w:spacing w:before="26"/>
                          <w:ind w:left="0" w:right="0" w:firstLine="0"/>
                          <w:jc w:val="left"/>
                          <w:rPr>
                            <w:rFonts w:ascii="Arial MT"/>
                            <w:sz w:val="18"/>
                          </w:rPr>
                        </w:pPr>
                        <w:r>
                          <w:rPr>
                            <w:rFonts w:ascii="Arial MT"/>
                            <w:sz w:val="18"/>
                          </w:rPr>
                          <w:t>Observations</w:t>
                        </w:r>
                        <w:r>
                          <w:rPr>
                            <w:rFonts w:ascii="Arial MT"/>
                            <w:spacing w:val="7"/>
                            <w:sz w:val="18"/>
                          </w:rPr>
                          <w:t> </w:t>
                        </w:r>
                        <w:r>
                          <w:rPr>
                            <w:rFonts w:ascii="Arial MT"/>
                            <w:spacing w:val="-5"/>
                            <w:sz w:val="18"/>
                          </w:rPr>
                          <w:t>60</w:t>
                        </w:r>
                      </w:p>
                    </w:txbxContent>
                  </v:textbox>
                  <w10:wrap type="none"/>
                </v:shape>
                <v:shape style="position:absolute;left:8233;top:1129;width:835;height:1600" type="#_x0000_t202" id="docshape355" filled="false" stroked="false">
                  <v:textbox inset="0,0,0,0">
                    <w:txbxContent>
                      <w:p>
                        <w:pPr>
                          <w:spacing w:line="271" w:lineRule="auto" w:before="0"/>
                          <w:ind w:left="0" w:right="10" w:firstLine="0"/>
                          <w:jc w:val="left"/>
                          <w:rPr>
                            <w:rFonts w:ascii="Arial MT"/>
                            <w:sz w:val="18"/>
                          </w:rPr>
                        </w:pPr>
                        <w:r>
                          <w:rPr>
                            <w:rFonts w:ascii="Arial MT"/>
                            <w:spacing w:val="-4"/>
                            <w:sz w:val="18"/>
                          </w:rPr>
                          <w:t>Mean </w:t>
                        </w:r>
                        <w:r>
                          <w:rPr>
                            <w:rFonts w:ascii="Arial MT"/>
                            <w:spacing w:val="-2"/>
                            <w:sz w:val="18"/>
                          </w:rPr>
                          <w:t>Median Maximum Minimum </w:t>
                        </w:r>
                        <w:r>
                          <w:rPr>
                            <w:rFonts w:ascii="Arial MT"/>
                            <w:sz w:val="18"/>
                          </w:rPr>
                          <w:t>Std. Dev. </w:t>
                        </w:r>
                        <w:r>
                          <w:rPr>
                            <w:rFonts w:ascii="Arial MT"/>
                            <w:spacing w:val="-2"/>
                            <w:sz w:val="18"/>
                          </w:rPr>
                          <w:t>Skewness</w:t>
                        </w:r>
                      </w:p>
                      <w:p>
                        <w:pPr>
                          <w:spacing w:line="202" w:lineRule="exact" w:before="0"/>
                          <w:ind w:left="0" w:right="0" w:firstLine="0"/>
                          <w:jc w:val="left"/>
                          <w:rPr>
                            <w:rFonts w:ascii="Arial MT"/>
                            <w:sz w:val="18"/>
                          </w:rPr>
                        </w:pPr>
                        <w:r>
                          <w:rPr>
                            <w:rFonts w:ascii="Arial MT"/>
                            <w:spacing w:val="-2"/>
                            <w:sz w:val="18"/>
                          </w:rPr>
                          <w:t>Kurtosis</w:t>
                        </w:r>
                      </w:p>
                    </w:txbxContent>
                  </v:textbox>
                  <w10:wrap type="none"/>
                </v:shape>
                <v:shape style="position:absolute;left:9476;top:1129;width:857;height:1600" type="#_x0000_t202" id="docshape356" filled="false" stroked="false">
                  <v:textbox inset="0,0,0,0">
                    <w:txbxContent>
                      <w:p>
                        <w:pPr>
                          <w:spacing w:line="268" w:lineRule="auto" w:before="0"/>
                          <w:ind w:left="51" w:right="32" w:hanging="52"/>
                          <w:jc w:val="left"/>
                          <w:rPr>
                            <w:rFonts w:ascii="Arial MT"/>
                            <w:sz w:val="18"/>
                          </w:rPr>
                        </w:pPr>
                        <w:r>
                          <w:rPr>
                            <w:rFonts w:ascii="Arial MT"/>
                            <w:spacing w:val="-2"/>
                            <w:sz w:val="18"/>
                          </w:rPr>
                          <w:t>-2.37e-15 0.004535</w:t>
                        </w:r>
                      </w:p>
                      <w:p>
                        <w:pPr>
                          <w:spacing w:before="0"/>
                          <w:ind w:left="51" w:right="0" w:firstLine="0"/>
                          <w:jc w:val="left"/>
                          <w:rPr>
                            <w:rFonts w:ascii="Arial MT"/>
                            <w:sz w:val="18"/>
                          </w:rPr>
                        </w:pPr>
                        <w:r>
                          <w:rPr>
                            <w:rFonts w:ascii="Arial MT"/>
                            <w:spacing w:val="-2"/>
                            <w:sz w:val="18"/>
                          </w:rPr>
                          <w:t>0.140112</w:t>
                        </w:r>
                      </w:p>
                      <w:p>
                        <w:pPr>
                          <w:spacing w:before="22"/>
                          <w:ind w:left="0" w:right="0" w:firstLine="0"/>
                          <w:jc w:val="left"/>
                          <w:rPr>
                            <w:rFonts w:ascii="Arial MT"/>
                            <w:sz w:val="18"/>
                          </w:rPr>
                        </w:pPr>
                        <w:r>
                          <w:rPr>
                            <w:rFonts w:ascii="Arial MT"/>
                            <w:sz w:val="18"/>
                          </w:rPr>
                          <w:t>-</w:t>
                        </w:r>
                        <w:r>
                          <w:rPr>
                            <w:rFonts w:ascii="Arial MT"/>
                            <w:spacing w:val="-2"/>
                            <w:sz w:val="18"/>
                          </w:rPr>
                          <w:t>0.392881</w:t>
                        </w:r>
                      </w:p>
                      <w:p>
                        <w:pPr>
                          <w:spacing w:before="26"/>
                          <w:ind w:left="51" w:right="0" w:firstLine="0"/>
                          <w:jc w:val="left"/>
                          <w:rPr>
                            <w:rFonts w:ascii="Arial MT"/>
                            <w:sz w:val="18"/>
                          </w:rPr>
                        </w:pPr>
                        <w:r>
                          <w:rPr>
                            <w:rFonts w:ascii="Arial MT"/>
                            <w:spacing w:val="-2"/>
                            <w:sz w:val="18"/>
                          </w:rPr>
                          <w:t>0.076147</w:t>
                        </w:r>
                      </w:p>
                      <w:p>
                        <w:pPr>
                          <w:spacing w:before="26"/>
                          <w:ind w:left="0" w:right="0" w:firstLine="0"/>
                          <w:jc w:val="left"/>
                          <w:rPr>
                            <w:rFonts w:ascii="Arial MT"/>
                            <w:sz w:val="18"/>
                          </w:rPr>
                        </w:pPr>
                        <w:r>
                          <w:rPr>
                            <w:rFonts w:ascii="Arial MT"/>
                            <w:sz w:val="18"/>
                          </w:rPr>
                          <w:t>-</w:t>
                        </w:r>
                        <w:r>
                          <w:rPr>
                            <w:rFonts w:ascii="Arial MT"/>
                            <w:spacing w:val="-2"/>
                            <w:sz w:val="18"/>
                          </w:rPr>
                          <w:t>2.423107</w:t>
                        </w:r>
                      </w:p>
                      <w:p>
                        <w:pPr>
                          <w:spacing w:before="26"/>
                          <w:ind w:left="51" w:right="0" w:firstLine="0"/>
                          <w:jc w:val="left"/>
                          <w:rPr>
                            <w:rFonts w:ascii="Arial MT"/>
                            <w:sz w:val="18"/>
                          </w:rPr>
                        </w:pPr>
                        <w:r>
                          <w:rPr>
                            <w:rFonts w:ascii="Arial MT"/>
                            <w:spacing w:val="-2"/>
                            <w:sz w:val="18"/>
                          </w:rPr>
                          <w:t>13.49155</w:t>
                        </w:r>
                      </w:p>
                    </w:txbxContent>
                  </v:textbox>
                  <w10:wrap type="none"/>
                </v:shape>
                <v:shape style="position:absolute;left:8233;top:2994;width:2086;height:434" type="#_x0000_t202" id="docshape357" filled="false" stroked="false">
                  <v:textbox inset="0,0,0,0">
                    <w:txbxContent>
                      <w:p>
                        <w:pPr>
                          <w:tabs>
                            <w:tab w:pos="1294" w:val="left" w:leader="none"/>
                          </w:tabs>
                          <w:spacing w:line="201" w:lineRule="exact" w:before="0"/>
                          <w:ind w:left="0" w:right="0" w:firstLine="0"/>
                          <w:jc w:val="left"/>
                          <w:rPr>
                            <w:rFonts w:ascii="Arial MT"/>
                            <w:sz w:val="18"/>
                          </w:rPr>
                        </w:pPr>
                        <w:r>
                          <w:rPr>
                            <w:rFonts w:ascii="Arial MT"/>
                            <w:sz w:val="18"/>
                          </w:rPr>
                          <w:t>Jarque-</w:t>
                        </w:r>
                        <w:r>
                          <w:rPr>
                            <w:rFonts w:ascii="Arial MT"/>
                            <w:spacing w:val="-4"/>
                            <w:sz w:val="18"/>
                          </w:rPr>
                          <w:t>Bera</w:t>
                        </w:r>
                        <w:r>
                          <w:rPr>
                            <w:rFonts w:ascii="Arial MT"/>
                            <w:sz w:val="18"/>
                          </w:rPr>
                          <w:tab/>
                        </w:r>
                        <w:r>
                          <w:rPr>
                            <w:rFonts w:ascii="Arial MT"/>
                            <w:spacing w:val="-2"/>
                            <w:sz w:val="18"/>
                          </w:rPr>
                          <w:t>333.8963</w:t>
                        </w:r>
                      </w:p>
                      <w:p>
                        <w:pPr>
                          <w:tabs>
                            <w:tab w:pos="1211" w:val="left" w:leader="none"/>
                          </w:tabs>
                          <w:spacing w:before="26"/>
                          <w:ind w:left="0" w:right="0" w:firstLine="0"/>
                          <w:jc w:val="left"/>
                          <w:rPr>
                            <w:rFonts w:ascii="Arial MT"/>
                            <w:sz w:val="18"/>
                          </w:rPr>
                        </w:pPr>
                        <w:r>
                          <w:rPr>
                            <w:rFonts w:ascii="Arial MT"/>
                            <w:spacing w:val="-2"/>
                            <w:sz w:val="18"/>
                          </w:rPr>
                          <w:t>Probability</w:t>
                        </w:r>
                        <w:r>
                          <w:rPr>
                            <w:rFonts w:ascii="Arial MT"/>
                            <w:sz w:val="18"/>
                          </w:rPr>
                          <w:tab/>
                        </w:r>
                        <w:r>
                          <w:rPr>
                            <w:rFonts w:ascii="Arial MT"/>
                            <w:spacing w:val="-2"/>
                            <w:sz w:val="18"/>
                          </w:rPr>
                          <w:t>0.000000</w:t>
                        </w:r>
                      </w:p>
                    </w:txbxContent>
                  </v:textbox>
                  <w10:wrap type="none"/>
                </v:shape>
                <w10:wrap type="none"/>
              </v:group>
            </w:pict>
          </mc:Fallback>
        </mc:AlternateContent>
      </w:r>
      <w:r>
        <w:rPr>
          <w:rFonts w:ascii="Arial MT"/>
          <w:spacing w:val="-5"/>
          <w:sz w:val="15"/>
        </w:rPr>
        <w:t>14</w:t>
      </w:r>
    </w:p>
    <w:p>
      <w:pPr>
        <w:pStyle w:val="BodyText"/>
        <w:spacing w:before="118"/>
        <w:rPr>
          <w:rFonts w:ascii="Arial MT"/>
          <w:sz w:val="15"/>
        </w:rPr>
      </w:pPr>
    </w:p>
    <w:p>
      <w:pPr>
        <w:spacing w:before="0"/>
        <w:ind w:left="743" w:right="0" w:firstLine="0"/>
        <w:jc w:val="left"/>
        <w:rPr>
          <w:rFonts w:ascii="Arial MT"/>
          <w:sz w:val="15"/>
        </w:rPr>
      </w:pPr>
      <w:r>
        <w:rPr>
          <w:rFonts w:ascii="Arial MT"/>
          <w:spacing w:val="-5"/>
          <w:sz w:val="15"/>
        </w:rPr>
        <w:t>12</w:t>
      </w:r>
    </w:p>
    <w:p>
      <w:pPr>
        <w:pStyle w:val="BodyText"/>
        <w:spacing w:before="118"/>
        <w:rPr>
          <w:rFonts w:ascii="Arial MT"/>
          <w:sz w:val="15"/>
        </w:rPr>
      </w:pPr>
    </w:p>
    <w:p>
      <w:pPr>
        <w:spacing w:before="0"/>
        <w:ind w:left="743" w:right="0" w:firstLine="0"/>
        <w:jc w:val="left"/>
        <w:rPr>
          <w:rFonts w:ascii="Arial MT"/>
          <w:sz w:val="15"/>
        </w:rPr>
      </w:pPr>
      <w:r>
        <w:rPr>
          <w:rFonts w:ascii="Arial MT"/>
          <w:spacing w:val="-5"/>
          <w:sz w:val="15"/>
        </w:rPr>
        <w:t>10</w:t>
      </w:r>
    </w:p>
    <w:p>
      <w:pPr>
        <w:pStyle w:val="BodyText"/>
        <w:spacing w:before="118"/>
        <w:rPr>
          <w:rFonts w:ascii="Arial MT"/>
          <w:sz w:val="15"/>
        </w:rPr>
      </w:pPr>
    </w:p>
    <w:p>
      <w:pPr>
        <w:spacing w:before="0"/>
        <w:ind w:left="835" w:right="0" w:firstLine="0"/>
        <w:jc w:val="left"/>
        <w:rPr>
          <w:rFonts w:ascii="Arial MT"/>
          <w:sz w:val="15"/>
        </w:rPr>
      </w:pPr>
      <w:r>
        <w:rPr>
          <w:rFonts w:ascii="Arial MT"/>
          <w:spacing w:val="-10"/>
          <w:sz w:val="15"/>
        </w:rPr>
        <w:t>8</w:t>
      </w:r>
    </w:p>
    <w:p>
      <w:pPr>
        <w:pStyle w:val="BodyText"/>
        <w:spacing w:before="119"/>
        <w:rPr>
          <w:rFonts w:ascii="Arial MT"/>
          <w:sz w:val="15"/>
        </w:rPr>
      </w:pPr>
    </w:p>
    <w:p>
      <w:pPr>
        <w:spacing w:before="0"/>
        <w:ind w:left="835" w:right="0" w:firstLine="0"/>
        <w:jc w:val="left"/>
        <w:rPr>
          <w:rFonts w:ascii="Arial MT"/>
          <w:sz w:val="15"/>
        </w:rPr>
      </w:pPr>
      <w:r>
        <w:rPr>
          <w:rFonts w:ascii="Arial MT"/>
          <w:spacing w:val="-10"/>
          <w:sz w:val="15"/>
        </w:rPr>
        <w:t>6</w:t>
      </w:r>
    </w:p>
    <w:p>
      <w:pPr>
        <w:pStyle w:val="BodyText"/>
        <w:spacing w:before="118"/>
        <w:rPr>
          <w:rFonts w:ascii="Arial MT"/>
          <w:sz w:val="15"/>
        </w:rPr>
      </w:pPr>
    </w:p>
    <w:p>
      <w:pPr>
        <w:spacing w:before="0"/>
        <w:ind w:left="835" w:right="0" w:firstLine="0"/>
        <w:jc w:val="left"/>
        <w:rPr>
          <w:rFonts w:ascii="Arial MT"/>
          <w:sz w:val="15"/>
        </w:rPr>
      </w:pPr>
      <w:r>
        <w:rPr>
          <w:rFonts w:ascii="Arial MT"/>
          <w:spacing w:val="-10"/>
          <w:sz w:val="15"/>
        </w:rPr>
        <w:t>4</w:t>
      </w:r>
    </w:p>
    <w:p>
      <w:pPr>
        <w:pStyle w:val="BodyText"/>
        <w:spacing w:before="118"/>
        <w:rPr>
          <w:rFonts w:ascii="Arial MT"/>
          <w:sz w:val="15"/>
        </w:rPr>
      </w:pPr>
    </w:p>
    <w:p>
      <w:pPr>
        <w:spacing w:before="0"/>
        <w:ind w:left="835" w:right="0" w:firstLine="0"/>
        <w:jc w:val="left"/>
        <w:rPr>
          <w:rFonts w:ascii="Arial MT"/>
          <w:sz w:val="15"/>
        </w:rPr>
      </w:pPr>
      <w:r>
        <w:rPr>
          <w:rFonts w:ascii="Arial MT"/>
          <w:spacing w:val="-10"/>
          <w:sz w:val="15"/>
        </w:rPr>
        <w:t>2</w:t>
      </w:r>
    </w:p>
    <w:p>
      <w:pPr>
        <w:pStyle w:val="BodyText"/>
        <w:spacing w:before="120"/>
        <w:rPr>
          <w:rFonts w:ascii="Arial MT"/>
          <w:sz w:val="15"/>
        </w:rPr>
      </w:pPr>
    </w:p>
    <w:p>
      <w:pPr>
        <w:spacing w:before="0"/>
        <w:ind w:left="835" w:right="0" w:firstLine="0"/>
        <w:jc w:val="left"/>
        <w:rPr>
          <w:rFonts w:ascii="Arial MT"/>
          <w:sz w:val="15"/>
        </w:rPr>
      </w:pPr>
      <w:r>
        <w:rPr>
          <w:rFonts w:ascii="Arial MT"/>
          <w:spacing w:val="-10"/>
          <w:sz w:val="15"/>
        </w:rPr>
        <w:t>0</w:t>
      </w:r>
    </w:p>
    <w:p>
      <w:pPr>
        <w:tabs>
          <w:tab w:pos="1920" w:val="left" w:leader="none"/>
          <w:tab w:pos="2884" w:val="left" w:leader="none"/>
          <w:tab w:pos="3847" w:val="left" w:leader="none"/>
          <w:tab w:pos="4836" w:val="left" w:leader="none"/>
          <w:tab w:pos="6012" w:val="right" w:leader="none"/>
        </w:tabs>
        <w:spacing w:before="40"/>
        <w:ind w:left="957" w:right="0" w:firstLine="0"/>
        <w:jc w:val="left"/>
        <w:rPr>
          <w:rFonts w:ascii="Arial MT"/>
          <w:sz w:val="15"/>
        </w:rPr>
      </w:pPr>
      <w:r>
        <w:rPr>
          <w:rFonts w:ascii="Arial MT"/>
          <w:sz w:val="15"/>
        </w:rPr>
        <w:t>-</w:t>
      </w:r>
      <w:r>
        <w:rPr>
          <w:rFonts w:ascii="Arial MT"/>
          <w:spacing w:val="-5"/>
          <w:sz w:val="15"/>
        </w:rPr>
        <w:t>0.4</w:t>
      </w:r>
      <w:r>
        <w:rPr>
          <w:rFonts w:ascii="Arial MT"/>
          <w:sz w:val="15"/>
        </w:rPr>
        <w:tab/>
        <w:t>-</w:t>
      </w:r>
      <w:r>
        <w:rPr>
          <w:rFonts w:ascii="Arial MT"/>
          <w:spacing w:val="-5"/>
          <w:sz w:val="15"/>
        </w:rPr>
        <w:t>0.3</w:t>
      </w:r>
      <w:r>
        <w:rPr>
          <w:rFonts w:ascii="Arial MT"/>
          <w:sz w:val="15"/>
        </w:rPr>
        <w:tab/>
        <w:t>-</w:t>
      </w:r>
      <w:r>
        <w:rPr>
          <w:rFonts w:ascii="Arial MT"/>
          <w:spacing w:val="-5"/>
          <w:sz w:val="15"/>
        </w:rPr>
        <w:t>0.2</w:t>
      </w:r>
      <w:r>
        <w:rPr>
          <w:rFonts w:ascii="Arial MT"/>
          <w:sz w:val="15"/>
        </w:rPr>
        <w:tab/>
        <w:t>-</w:t>
      </w:r>
      <w:r>
        <w:rPr>
          <w:rFonts w:ascii="Arial MT"/>
          <w:spacing w:val="-5"/>
          <w:sz w:val="15"/>
        </w:rPr>
        <w:t>0.1</w:t>
      </w:r>
      <w:r>
        <w:rPr>
          <w:rFonts w:ascii="Arial MT"/>
          <w:sz w:val="15"/>
        </w:rPr>
        <w:tab/>
      </w:r>
      <w:r>
        <w:rPr>
          <w:rFonts w:ascii="Arial MT"/>
          <w:spacing w:val="-5"/>
          <w:sz w:val="15"/>
        </w:rPr>
        <w:t>0.0</w:t>
      </w:r>
      <w:r>
        <w:rPr>
          <w:rFonts w:ascii="Arial MT"/>
          <w:sz w:val="15"/>
        </w:rPr>
        <w:tab/>
      </w:r>
      <w:r>
        <w:rPr>
          <w:rFonts w:ascii="Arial MT"/>
          <w:spacing w:val="-5"/>
          <w:sz w:val="15"/>
        </w:rPr>
        <w:t>0.1</w:t>
      </w:r>
    </w:p>
    <w:p>
      <w:pPr>
        <w:pStyle w:val="BodyText"/>
        <w:rPr>
          <w:rFonts w:ascii="Arial MT"/>
        </w:rPr>
      </w:pPr>
    </w:p>
    <w:p>
      <w:pPr>
        <w:pStyle w:val="BodyText"/>
        <w:spacing w:before="97"/>
        <w:rPr>
          <w:rFonts w:ascii="Arial MT"/>
        </w:rPr>
      </w:pPr>
    </w:p>
    <w:p>
      <w:pPr>
        <w:pStyle w:val="Heading2"/>
        <w:numPr>
          <w:ilvl w:val="0"/>
          <w:numId w:val="27"/>
        </w:numPr>
        <w:tabs>
          <w:tab w:pos="983" w:val="left" w:leader="none"/>
        </w:tabs>
        <w:spacing w:line="240" w:lineRule="auto" w:before="1" w:after="0"/>
        <w:ind w:left="983" w:right="0" w:hanging="240"/>
        <w:jc w:val="left"/>
      </w:pPr>
      <w:r>
        <w:rPr/>
        <w:t>Hasil</w:t>
      </w:r>
      <w:r>
        <w:rPr>
          <w:spacing w:val="-2"/>
        </w:rPr>
        <w:t> </w:t>
      </w:r>
      <w:r>
        <w:rPr/>
        <w:t>Uji</w:t>
      </w:r>
      <w:r>
        <w:rPr>
          <w:spacing w:val="-2"/>
        </w:rPr>
        <w:t> Multikolinieritas</w:t>
      </w:r>
    </w:p>
    <w:p>
      <w:pPr>
        <w:pStyle w:val="BodyText"/>
        <w:spacing w:line="379" w:lineRule="auto" w:before="182"/>
        <w:ind w:left="2015" w:right="4371"/>
      </w:pPr>
      <w:r>
        <w:rPr/>
        <w:t>Variance Inflation Factors Date:</w:t>
      </w:r>
      <w:r>
        <w:rPr>
          <w:spacing w:val="-7"/>
        </w:rPr>
        <w:t> </w:t>
      </w:r>
      <w:r>
        <w:rPr/>
        <w:t>06/07/25</w:t>
      </w:r>
      <w:r>
        <w:rPr>
          <w:spacing w:val="80"/>
        </w:rPr>
        <w:t> </w:t>
      </w:r>
      <w:r>
        <w:rPr/>
        <w:t>Time:</w:t>
      </w:r>
      <w:r>
        <w:rPr>
          <w:spacing w:val="-7"/>
        </w:rPr>
        <w:t> </w:t>
      </w:r>
      <w:r>
        <w:rPr/>
        <w:t>14:49 Sample: 2020M01</w:t>
      </w:r>
      <w:r>
        <w:rPr>
          <w:spacing w:val="-1"/>
        </w:rPr>
        <w:t> </w:t>
      </w:r>
      <w:r>
        <w:rPr>
          <w:spacing w:val="-2"/>
        </w:rPr>
        <w:t>2024M12</w:t>
      </w:r>
    </w:p>
    <w:p>
      <w:pPr>
        <w:pStyle w:val="BodyText"/>
        <w:ind w:left="2015"/>
      </w:pPr>
      <w:r>
        <w:rPr/>
        <w:t>Included</w:t>
      </w:r>
      <w:r>
        <w:rPr>
          <w:spacing w:val="-4"/>
        </w:rPr>
        <w:t> </w:t>
      </w:r>
      <w:r>
        <w:rPr/>
        <w:t>observations:</w:t>
      </w:r>
      <w:r>
        <w:rPr>
          <w:spacing w:val="-2"/>
        </w:rPr>
        <w:t> </w:t>
      </w:r>
      <w:r>
        <w:rPr>
          <w:spacing w:val="-5"/>
        </w:rPr>
        <w:t>60</w:t>
      </w:r>
    </w:p>
    <w:p>
      <w:pPr>
        <w:pStyle w:val="BodyText"/>
        <w:spacing w:before="25"/>
        <w:rPr>
          <w:sz w:val="20"/>
        </w:rPr>
      </w:pPr>
    </w:p>
    <w:tbl>
      <w:tblPr>
        <w:tblW w:w="0" w:type="auto"/>
        <w:jc w:val="left"/>
        <w:tblInd w:w="1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75"/>
        <w:gridCol w:w="1842"/>
        <w:gridCol w:w="1739"/>
        <w:gridCol w:w="1837"/>
      </w:tblGrid>
      <w:tr>
        <w:trPr>
          <w:trHeight w:val="1008" w:hRule="atLeast"/>
        </w:trPr>
        <w:tc>
          <w:tcPr>
            <w:tcW w:w="1075" w:type="dxa"/>
            <w:tcBorders>
              <w:top w:val="double" w:sz="6" w:space="0" w:color="000000"/>
            </w:tcBorders>
          </w:tcPr>
          <w:p>
            <w:pPr>
              <w:pStyle w:val="TableParagraph"/>
              <w:spacing w:line="240" w:lineRule="auto" w:before="223"/>
              <w:ind w:left="0"/>
              <w:rPr>
                <w:sz w:val="24"/>
              </w:rPr>
            </w:pPr>
          </w:p>
          <w:p>
            <w:pPr>
              <w:pStyle w:val="TableParagraph"/>
              <w:spacing w:line="240" w:lineRule="auto" w:before="1"/>
              <w:ind w:left="0"/>
              <w:rPr>
                <w:sz w:val="24"/>
              </w:rPr>
            </w:pPr>
            <w:r>
              <w:rPr>
                <w:spacing w:val="-2"/>
                <w:sz w:val="24"/>
              </w:rPr>
              <w:t>Variable</w:t>
            </w:r>
          </w:p>
        </w:tc>
        <w:tc>
          <w:tcPr>
            <w:tcW w:w="1842" w:type="dxa"/>
            <w:tcBorders>
              <w:top w:val="double" w:sz="6" w:space="0" w:color="000000"/>
            </w:tcBorders>
          </w:tcPr>
          <w:p>
            <w:pPr>
              <w:pStyle w:val="TableParagraph"/>
              <w:spacing w:line="376" w:lineRule="auto" w:before="65"/>
              <w:ind w:left="130"/>
              <w:rPr>
                <w:sz w:val="24"/>
              </w:rPr>
            </w:pPr>
            <w:r>
              <w:rPr>
                <w:spacing w:val="-2"/>
                <w:sz w:val="24"/>
              </w:rPr>
              <w:t>Coefficient Variance</w:t>
            </w:r>
          </w:p>
        </w:tc>
        <w:tc>
          <w:tcPr>
            <w:tcW w:w="1739" w:type="dxa"/>
            <w:tcBorders>
              <w:top w:val="double" w:sz="6" w:space="0" w:color="000000"/>
            </w:tcBorders>
          </w:tcPr>
          <w:p>
            <w:pPr>
              <w:pStyle w:val="TableParagraph"/>
              <w:spacing w:line="376" w:lineRule="auto" w:before="65"/>
              <w:ind w:left="30" w:right="268"/>
              <w:rPr>
                <w:sz w:val="24"/>
              </w:rPr>
            </w:pPr>
            <w:r>
              <w:rPr>
                <w:spacing w:val="-2"/>
                <w:sz w:val="24"/>
              </w:rPr>
              <w:t>Uncentered </w:t>
            </w:r>
            <w:r>
              <w:rPr>
                <w:spacing w:val="-4"/>
                <w:sz w:val="24"/>
              </w:rPr>
              <w:t>VIF</w:t>
            </w:r>
          </w:p>
        </w:tc>
        <w:tc>
          <w:tcPr>
            <w:tcW w:w="1837" w:type="dxa"/>
            <w:tcBorders>
              <w:top w:val="double" w:sz="6" w:space="0" w:color="000000"/>
            </w:tcBorders>
          </w:tcPr>
          <w:p>
            <w:pPr>
              <w:pStyle w:val="TableParagraph"/>
              <w:spacing w:line="376" w:lineRule="auto" w:before="65"/>
              <w:ind w:left="27" w:right="939"/>
              <w:rPr>
                <w:sz w:val="24"/>
              </w:rPr>
            </w:pPr>
            <w:r>
              <w:rPr>
                <w:spacing w:val="-2"/>
                <w:sz w:val="24"/>
              </w:rPr>
              <w:t>Centered </w:t>
            </w:r>
            <w:r>
              <w:rPr>
                <w:spacing w:val="-4"/>
                <w:sz w:val="24"/>
              </w:rPr>
              <w:t>VIF</w:t>
            </w:r>
          </w:p>
        </w:tc>
      </w:tr>
      <w:tr>
        <w:trPr>
          <w:trHeight w:val="427" w:hRule="atLeast"/>
        </w:trPr>
        <w:tc>
          <w:tcPr>
            <w:tcW w:w="1075" w:type="dxa"/>
            <w:tcBorders>
              <w:top w:val="double" w:sz="6" w:space="0" w:color="000000"/>
            </w:tcBorders>
          </w:tcPr>
          <w:p>
            <w:pPr>
              <w:pStyle w:val="TableParagraph"/>
              <w:spacing w:line="240" w:lineRule="auto" w:before="65"/>
              <w:ind w:left="0"/>
              <w:rPr>
                <w:sz w:val="24"/>
              </w:rPr>
            </w:pPr>
            <w:r>
              <w:rPr>
                <w:spacing w:val="-10"/>
                <w:sz w:val="24"/>
              </w:rPr>
              <w:t>C</w:t>
            </w:r>
          </w:p>
        </w:tc>
        <w:tc>
          <w:tcPr>
            <w:tcW w:w="1842" w:type="dxa"/>
            <w:tcBorders>
              <w:top w:val="double" w:sz="6" w:space="0" w:color="000000"/>
            </w:tcBorders>
          </w:tcPr>
          <w:p>
            <w:pPr>
              <w:pStyle w:val="TableParagraph"/>
              <w:spacing w:line="240" w:lineRule="auto" w:before="65"/>
              <w:ind w:left="0" w:right="29"/>
              <w:jc w:val="right"/>
              <w:rPr>
                <w:sz w:val="24"/>
              </w:rPr>
            </w:pPr>
            <w:r>
              <w:rPr>
                <w:spacing w:val="-2"/>
                <w:sz w:val="24"/>
              </w:rPr>
              <w:t>5.624557</w:t>
            </w:r>
          </w:p>
        </w:tc>
        <w:tc>
          <w:tcPr>
            <w:tcW w:w="1739" w:type="dxa"/>
            <w:tcBorders>
              <w:top w:val="double" w:sz="6" w:space="0" w:color="000000"/>
            </w:tcBorders>
          </w:tcPr>
          <w:p>
            <w:pPr>
              <w:pStyle w:val="TableParagraph"/>
              <w:spacing w:line="240" w:lineRule="auto" w:before="65"/>
              <w:ind w:left="0" w:right="25"/>
              <w:jc w:val="right"/>
              <w:rPr>
                <w:sz w:val="24"/>
              </w:rPr>
            </w:pPr>
            <w:r>
              <w:rPr>
                <w:spacing w:val="-2"/>
                <w:sz w:val="24"/>
              </w:rPr>
              <w:t>54255.40</w:t>
            </w:r>
          </w:p>
        </w:tc>
        <w:tc>
          <w:tcPr>
            <w:tcW w:w="1837" w:type="dxa"/>
            <w:tcBorders>
              <w:top w:val="double" w:sz="6" w:space="0" w:color="000000"/>
            </w:tcBorders>
          </w:tcPr>
          <w:p>
            <w:pPr>
              <w:pStyle w:val="TableParagraph"/>
              <w:spacing w:line="240" w:lineRule="auto" w:before="65"/>
              <w:ind w:left="807"/>
              <w:rPr>
                <w:sz w:val="24"/>
              </w:rPr>
            </w:pPr>
            <w:r>
              <w:rPr>
                <w:spacing w:val="-5"/>
                <w:sz w:val="24"/>
              </w:rPr>
              <w:t>NA</w:t>
            </w:r>
          </w:p>
        </w:tc>
      </w:tr>
      <w:tr>
        <w:trPr>
          <w:trHeight w:val="436" w:hRule="atLeast"/>
        </w:trPr>
        <w:tc>
          <w:tcPr>
            <w:tcW w:w="1075" w:type="dxa"/>
          </w:tcPr>
          <w:p>
            <w:pPr>
              <w:pStyle w:val="TableParagraph"/>
              <w:spacing w:line="240" w:lineRule="auto" w:before="75"/>
              <w:ind w:left="0"/>
              <w:rPr>
                <w:sz w:val="24"/>
              </w:rPr>
            </w:pPr>
            <w:r>
              <w:rPr>
                <w:spacing w:val="-2"/>
                <w:sz w:val="24"/>
              </w:rPr>
              <w:t>LOG(X1)</w:t>
            </w:r>
          </w:p>
        </w:tc>
        <w:tc>
          <w:tcPr>
            <w:tcW w:w="1842" w:type="dxa"/>
          </w:tcPr>
          <w:p>
            <w:pPr>
              <w:pStyle w:val="TableParagraph"/>
              <w:spacing w:line="240" w:lineRule="auto" w:before="75"/>
              <w:ind w:left="0" w:right="29"/>
              <w:jc w:val="right"/>
              <w:rPr>
                <w:sz w:val="24"/>
              </w:rPr>
            </w:pPr>
            <w:r>
              <w:rPr>
                <w:spacing w:val="-2"/>
                <w:sz w:val="24"/>
              </w:rPr>
              <w:t>0.010142</w:t>
            </w:r>
          </w:p>
        </w:tc>
        <w:tc>
          <w:tcPr>
            <w:tcW w:w="1739" w:type="dxa"/>
          </w:tcPr>
          <w:p>
            <w:pPr>
              <w:pStyle w:val="TableParagraph"/>
              <w:spacing w:line="240" w:lineRule="auto" w:before="75"/>
              <w:ind w:left="0" w:right="25"/>
              <w:jc w:val="right"/>
              <w:rPr>
                <w:sz w:val="24"/>
              </w:rPr>
            </w:pPr>
            <w:r>
              <w:rPr>
                <w:spacing w:val="-2"/>
                <w:sz w:val="24"/>
              </w:rPr>
              <w:t>2170.794</w:t>
            </w:r>
          </w:p>
        </w:tc>
        <w:tc>
          <w:tcPr>
            <w:tcW w:w="1837" w:type="dxa"/>
          </w:tcPr>
          <w:p>
            <w:pPr>
              <w:pStyle w:val="TableParagraph"/>
              <w:spacing w:line="240" w:lineRule="auto" w:before="75"/>
              <w:ind w:left="807"/>
              <w:rPr>
                <w:sz w:val="24"/>
              </w:rPr>
            </w:pPr>
            <w:r>
              <w:rPr>
                <w:spacing w:val="-2"/>
                <w:sz w:val="24"/>
              </w:rPr>
              <w:t>2.489980</w:t>
            </w:r>
          </w:p>
        </w:tc>
      </w:tr>
      <w:tr>
        <w:trPr>
          <w:trHeight w:val="435" w:hRule="atLeast"/>
        </w:trPr>
        <w:tc>
          <w:tcPr>
            <w:tcW w:w="1075" w:type="dxa"/>
          </w:tcPr>
          <w:p>
            <w:pPr>
              <w:pStyle w:val="TableParagraph"/>
              <w:spacing w:line="240" w:lineRule="auto" w:before="75"/>
              <w:ind w:left="0"/>
              <w:rPr>
                <w:sz w:val="24"/>
              </w:rPr>
            </w:pPr>
            <w:r>
              <w:rPr>
                <w:spacing w:val="-2"/>
                <w:sz w:val="24"/>
              </w:rPr>
              <w:t>LOG(X2)</w:t>
            </w:r>
          </w:p>
        </w:tc>
        <w:tc>
          <w:tcPr>
            <w:tcW w:w="1842" w:type="dxa"/>
          </w:tcPr>
          <w:p>
            <w:pPr>
              <w:pStyle w:val="TableParagraph"/>
              <w:spacing w:line="240" w:lineRule="auto" w:before="75"/>
              <w:ind w:left="0" w:right="29"/>
              <w:jc w:val="right"/>
              <w:rPr>
                <w:sz w:val="24"/>
              </w:rPr>
            </w:pPr>
            <w:r>
              <w:rPr>
                <w:spacing w:val="-2"/>
                <w:sz w:val="24"/>
              </w:rPr>
              <w:t>0.068782</w:t>
            </w:r>
          </w:p>
        </w:tc>
        <w:tc>
          <w:tcPr>
            <w:tcW w:w="1739" w:type="dxa"/>
          </w:tcPr>
          <w:p>
            <w:pPr>
              <w:pStyle w:val="TableParagraph"/>
              <w:spacing w:line="240" w:lineRule="auto" w:before="75"/>
              <w:ind w:left="0" w:right="25"/>
              <w:jc w:val="right"/>
              <w:rPr>
                <w:sz w:val="24"/>
              </w:rPr>
            </w:pPr>
            <w:r>
              <w:rPr>
                <w:spacing w:val="-2"/>
                <w:sz w:val="24"/>
              </w:rPr>
              <w:t>61308.06</w:t>
            </w:r>
          </w:p>
        </w:tc>
        <w:tc>
          <w:tcPr>
            <w:tcW w:w="1837" w:type="dxa"/>
          </w:tcPr>
          <w:p>
            <w:pPr>
              <w:pStyle w:val="TableParagraph"/>
              <w:spacing w:line="240" w:lineRule="auto" w:before="75"/>
              <w:ind w:left="807"/>
              <w:rPr>
                <w:sz w:val="24"/>
              </w:rPr>
            </w:pPr>
            <w:r>
              <w:rPr>
                <w:spacing w:val="-2"/>
                <w:sz w:val="24"/>
              </w:rPr>
              <w:t>1.299190</w:t>
            </w:r>
          </w:p>
        </w:tc>
      </w:tr>
      <w:tr>
        <w:trPr>
          <w:trHeight w:val="435" w:hRule="atLeast"/>
        </w:trPr>
        <w:tc>
          <w:tcPr>
            <w:tcW w:w="1075" w:type="dxa"/>
          </w:tcPr>
          <w:p>
            <w:pPr>
              <w:pStyle w:val="TableParagraph"/>
              <w:spacing w:line="240" w:lineRule="auto" w:before="74"/>
              <w:ind w:left="0"/>
              <w:rPr>
                <w:sz w:val="24"/>
              </w:rPr>
            </w:pPr>
            <w:r>
              <w:rPr>
                <w:spacing w:val="-5"/>
                <w:sz w:val="24"/>
              </w:rPr>
              <w:t>X3</w:t>
            </w:r>
          </w:p>
        </w:tc>
        <w:tc>
          <w:tcPr>
            <w:tcW w:w="1842" w:type="dxa"/>
          </w:tcPr>
          <w:p>
            <w:pPr>
              <w:pStyle w:val="TableParagraph"/>
              <w:spacing w:line="240" w:lineRule="auto" w:before="74"/>
              <w:ind w:left="0" w:right="45"/>
              <w:jc w:val="right"/>
              <w:rPr>
                <w:sz w:val="24"/>
              </w:rPr>
            </w:pPr>
            <w:r>
              <w:rPr>
                <w:spacing w:val="-2"/>
                <w:sz w:val="24"/>
              </w:rPr>
              <w:t>8.41E-</w:t>
            </w:r>
            <w:r>
              <w:rPr>
                <w:spacing w:val="-5"/>
                <w:sz w:val="24"/>
              </w:rPr>
              <w:t>05</w:t>
            </w:r>
          </w:p>
        </w:tc>
        <w:tc>
          <w:tcPr>
            <w:tcW w:w="1739" w:type="dxa"/>
          </w:tcPr>
          <w:p>
            <w:pPr>
              <w:pStyle w:val="TableParagraph"/>
              <w:spacing w:line="240" w:lineRule="auto" w:before="74"/>
              <w:ind w:left="0" w:right="25"/>
              <w:jc w:val="right"/>
              <w:rPr>
                <w:sz w:val="24"/>
              </w:rPr>
            </w:pPr>
            <w:r>
              <w:rPr>
                <w:spacing w:val="-2"/>
                <w:sz w:val="24"/>
              </w:rPr>
              <w:t>7.582741</w:t>
            </w:r>
          </w:p>
        </w:tc>
        <w:tc>
          <w:tcPr>
            <w:tcW w:w="1837" w:type="dxa"/>
          </w:tcPr>
          <w:p>
            <w:pPr>
              <w:pStyle w:val="TableParagraph"/>
              <w:spacing w:line="240" w:lineRule="auto" w:before="74"/>
              <w:ind w:left="807"/>
              <w:rPr>
                <w:sz w:val="24"/>
              </w:rPr>
            </w:pPr>
            <w:r>
              <w:rPr>
                <w:spacing w:val="-2"/>
                <w:sz w:val="24"/>
              </w:rPr>
              <w:t>1.412405</w:t>
            </w:r>
          </w:p>
        </w:tc>
      </w:tr>
      <w:tr>
        <w:trPr>
          <w:trHeight w:val="351" w:hRule="atLeast"/>
        </w:trPr>
        <w:tc>
          <w:tcPr>
            <w:tcW w:w="1075" w:type="dxa"/>
          </w:tcPr>
          <w:p>
            <w:pPr>
              <w:pStyle w:val="TableParagraph"/>
              <w:spacing w:line="256" w:lineRule="exact" w:before="75"/>
              <w:ind w:left="0"/>
              <w:rPr>
                <w:sz w:val="24"/>
              </w:rPr>
            </w:pPr>
            <w:r>
              <w:rPr>
                <w:spacing w:val="-2"/>
                <w:sz w:val="24"/>
              </w:rPr>
              <w:t>LOG(X4)</w:t>
            </w:r>
          </w:p>
        </w:tc>
        <w:tc>
          <w:tcPr>
            <w:tcW w:w="1842" w:type="dxa"/>
          </w:tcPr>
          <w:p>
            <w:pPr>
              <w:pStyle w:val="TableParagraph"/>
              <w:spacing w:line="256" w:lineRule="exact" w:before="75"/>
              <w:ind w:left="0" w:right="29"/>
              <w:jc w:val="right"/>
              <w:rPr>
                <w:sz w:val="24"/>
              </w:rPr>
            </w:pPr>
            <w:r>
              <w:rPr>
                <w:spacing w:val="-2"/>
                <w:sz w:val="24"/>
              </w:rPr>
              <w:t>0.026666</w:t>
            </w:r>
          </w:p>
        </w:tc>
        <w:tc>
          <w:tcPr>
            <w:tcW w:w="1739" w:type="dxa"/>
          </w:tcPr>
          <w:p>
            <w:pPr>
              <w:pStyle w:val="TableParagraph"/>
              <w:spacing w:line="256" w:lineRule="exact" w:before="75"/>
              <w:ind w:left="0" w:right="25"/>
              <w:jc w:val="right"/>
              <w:rPr>
                <w:sz w:val="24"/>
              </w:rPr>
            </w:pPr>
            <w:r>
              <w:rPr>
                <w:spacing w:val="-2"/>
                <w:sz w:val="24"/>
              </w:rPr>
              <w:t>6403.017</w:t>
            </w:r>
          </w:p>
        </w:tc>
        <w:tc>
          <w:tcPr>
            <w:tcW w:w="1837" w:type="dxa"/>
          </w:tcPr>
          <w:p>
            <w:pPr>
              <w:pStyle w:val="TableParagraph"/>
              <w:spacing w:line="256" w:lineRule="exact" w:before="75"/>
              <w:ind w:left="807"/>
              <w:rPr>
                <w:sz w:val="24"/>
              </w:rPr>
            </w:pPr>
            <w:r>
              <w:rPr>
                <w:spacing w:val="-2"/>
                <w:sz w:val="24"/>
              </w:rPr>
              <w:t>1.906930</w:t>
            </w:r>
          </w:p>
        </w:tc>
      </w:tr>
    </w:tbl>
    <w:p>
      <w:pPr>
        <w:pStyle w:val="BodyText"/>
        <w:spacing w:before="6"/>
        <w:rPr>
          <w:sz w:val="16"/>
        </w:rPr>
      </w:pPr>
      <w:r>
        <w:rPr>
          <w:sz w:val="16"/>
        </w:rPr>
        <mc:AlternateContent>
          <mc:Choice Requires="wps">
            <w:drawing>
              <wp:anchor distT="0" distB="0" distL="0" distR="0" allowOverlap="1" layoutInCell="1" locked="0" behindDoc="1" simplePos="0" relativeHeight="487625216">
                <wp:simplePos x="0" y="0"/>
                <wp:positionH relativeFrom="page">
                  <wp:posOffset>1722374</wp:posOffset>
                </wp:positionH>
                <wp:positionV relativeFrom="paragraph">
                  <wp:posOffset>135880</wp:posOffset>
                </wp:positionV>
                <wp:extent cx="4123690" cy="27940"/>
                <wp:effectExtent l="0" t="0" r="0" b="0"/>
                <wp:wrapTopAndBottom/>
                <wp:docPr id="386" name="Graphic 386"/>
                <wp:cNvGraphicFramePr>
                  <a:graphicFrameLocks/>
                </wp:cNvGraphicFramePr>
                <a:graphic>
                  <a:graphicData uri="http://schemas.microsoft.com/office/word/2010/wordprocessingShape">
                    <wps:wsp>
                      <wps:cNvPr id="386" name="Graphic 386"/>
                      <wps:cNvSpPr/>
                      <wps:spPr>
                        <a:xfrm>
                          <a:off x="0" y="0"/>
                          <a:ext cx="4123690" cy="27940"/>
                        </a:xfrm>
                        <a:custGeom>
                          <a:avLst/>
                          <a:gdLst/>
                          <a:ahLst/>
                          <a:cxnLst/>
                          <a:rect l="l" t="t" r="r" b="b"/>
                          <a:pathLst>
                            <a:path w="4123690" h="27940">
                              <a:moveTo>
                                <a:pt x="765352" y="18237"/>
                              </a:moveTo>
                              <a:lnTo>
                                <a:pt x="0" y="18237"/>
                              </a:lnTo>
                              <a:lnTo>
                                <a:pt x="0" y="27381"/>
                              </a:lnTo>
                              <a:lnTo>
                                <a:pt x="765352" y="27381"/>
                              </a:lnTo>
                              <a:lnTo>
                                <a:pt x="765352" y="18237"/>
                              </a:lnTo>
                              <a:close/>
                            </a:path>
                            <a:path w="4123690" h="27940">
                              <a:moveTo>
                                <a:pt x="765352" y="0"/>
                              </a:moveTo>
                              <a:lnTo>
                                <a:pt x="0" y="0"/>
                              </a:lnTo>
                              <a:lnTo>
                                <a:pt x="0" y="9144"/>
                              </a:lnTo>
                              <a:lnTo>
                                <a:pt x="765352" y="9144"/>
                              </a:lnTo>
                              <a:lnTo>
                                <a:pt x="765352" y="0"/>
                              </a:lnTo>
                              <a:close/>
                            </a:path>
                            <a:path w="4123690" h="27940">
                              <a:moveTo>
                                <a:pt x="792848" y="18237"/>
                              </a:moveTo>
                              <a:lnTo>
                                <a:pt x="765429" y="18237"/>
                              </a:lnTo>
                              <a:lnTo>
                                <a:pt x="765429" y="27381"/>
                              </a:lnTo>
                              <a:lnTo>
                                <a:pt x="792848" y="27381"/>
                              </a:lnTo>
                              <a:lnTo>
                                <a:pt x="792848" y="18237"/>
                              </a:lnTo>
                              <a:close/>
                            </a:path>
                            <a:path w="4123690" h="27940">
                              <a:moveTo>
                                <a:pt x="792848" y="0"/>
                              </a:moveTo>
                              <a:lnTo>
                                <a:pt x="765429" y="0"/>
                              </a:lnTo>
                              <a:lnTo>
                                <a:pt x="765429" y="9144"/>
                              </a:lnTo>
                              <a:lnTo>
                                <a:pt x="792848" y="9144"/>
                              </a:lnTo>
                              <a:lnTo>
                                <a:pt x="792848" y="0"/>
                              </a:lnTo>
                              <a:close/>
                            </a:path>
                            <a:path w="4123690" h="27940">
                              <a:moveTo>
                                <a:pt x="4123359" y="18237"/>
                              </a:moveTo>
                              <a:lnTo>
                                <a:pt x="4123359" y="18237"/>
                              </a:lnTo>
                              <a:lnTo>
                                <a:pt x="792861" y="18237"/>
                              </a:lnTo>
                              <a:lnTo>
                                <a:pt x="792861" y="27381"/>
                              </a:lnTo>
                              <a:lnTo>
                                <a:pt x="4123359" y="27381"/>
                              </a:lnTo>
                              <a:lnTo>
                                <a:pt x="4123359" y="18237"/>
                              </a:lnTo>
                              <a:close/>
                            </a:path>
                            <a:path w="4123690" h="27940">
                              <a:moveTo>
                                <a:pt x="4123359" y="0"/>
                              </a:moveTo>
                              <a:lnTo>
                                <a:pt x="4123359" y="0"/>
                              </a:lnTo>
                              <a:lnTo>
                                <a:pt x="792861" y="0"/>
                              </a:lnTo>
                              <a:lnTo>
                                <a:pt x="792861" y="9144"/>
                              </a:lnTo>
                              <a:lnTo>
                                <a:pt x="4123359" y="9144"/>
                              </a:lnTo>
                              <a:lnTo>
                                <a:pt x="41233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5.62001pt;margin-top:10.699244pt;width:324.7pt;height:2.2pt;mso-position-horizontal-relative:page;mso-position-vertical-relative:paragraph;z-index:-15691264;mso-wrap-distance-left:0;mso-wrap-distance-right:0" id="docshape358" coordorigin="2712,214" coordsize="6494,44" path="m3918,243l2712,243,2712,257,3918,257,3918,243xm3918,214l2712,214,2712,228,3918,228,3918,214xm3961,243l3918,243,3918,257,3961,257,3961,243xm3961,214l3918,214,3918,228,3961,228,3961,214xm9206,243l7439,243,7396,243,7396,243,5703,243,5660,243,3961,243,3961,257,5660,257,5703,257,7396,257,7396,257,7439,257,9206,257,9206,243xm9206,214l7439,214,7396,214,7396,214,5703,214,5660,214,3961,214,3961,228,5660,228,5703,228,7396,228,7396,228,7439,228,9206,228,9206,214xe" filled="true" fillcolor="#000000" stroked="false">
                <v:path arrowok="t"/>
                <v:fill type="solid"/>
                <w10:wrap type="topAndBottom"/>
              </v:shape>
            </w:pict>
          </mc:Fallback>
        </mc:AlternateContent>
      </w:r>
    </w:p>
    <w:p>
      <w:pPr>
        <w:pStyle w:val="BodyText"/>
        <w:spacing w:after="0"/>
        <w:rPr>
          <w:sz w:val="16"/>
        </w:rPr>
        <w:sectPr>
          <w:pgSz w:w="11910" w:h="16840"/>
          <w:pgMar w:header="0" w:footer="1000" w:top="1840" w:bottom="1200" w:left="1417" w:right="1275"/>
        </w:sectPr>
      </w:pPr>
    </w:p>
    <w:p>
      <w:pPr>
        <w:pStyle w:val="Heading2"/>
        <w:numPr>
          <w:ilvl w:val="0"/>
          <w:numId w:val="27"/>
        </w:numPr>
        <w:tabs>
          <w:tab w:pos="983" w:val="left" w:leader="none"/>
        </w:tabs>
        <w:spacing w:line="240" w:lineRule="auto" w:before="60" w:after="0"/>
        <w:ind w:left="983" w:right="0" w:hanging="240"/>
        <w:jc w:val="left"/>
      </w:pPr>
      <w:r>
        <w:rPr/>
        <w:t>Hasil</w:t>
      </w:r>
      <w:r>
        <w:rPr>
          <w:spacing w:val="-2"/>
        </w:rPr>
        <w:t> </w:t>
      </w:r>
      <w:r>
        <w:rPr/>
        <w:t>Uji</w:t>
      </w:r>
      <w:r>
        <w:rPr>
          <w:spacing w:val="-2"/>
        </w:rPr>
        <w:t> Autokorelasi</w:t>
      </w:r>
    </w:p>
    <w:p>
      <w:pPr>
        <w:pStyle w:val="BodyText"/>
        <w:spacing w:before="183"/>
        <w:ind w:left="1595"/>
      </w:pPr>
      <w:r>
        <w:rPr/>
        <w:t>Breusch-Godfrey</w:t>
      </w:r>
      <w:r>
        <w:rPr>
          <w:spacing w:val="-5"/>
        </w:rPr>
        <w:t> </w:t>
      </w:r>
      <w:r>
        <w:rPr/>
        <w:t>Serial</w:t>
      </w:r>
      <w:r>
        <w:rPr>
          <w:spacing w:val="-1"/>
        </w:rPr>
        <w:t> </w:t>
      </w:r>
      <w:r>
        <w:rPr/>
        <w:t>Correlation</w:t>
      </w:r>
      <w:r>
        <w:rPr>
          <w:spacing w:val="-3"/>
        </w:rPr>
        <w:t> </w:t>
      </w:r>
      <w:r>
        <w:rPr/>
        <w:t>LM</w:t>
      </w:r>
      <w:r>
        <w:rPr>
          <w:spacing w:val="-3"/>
        </w:rPr>
        <w:t> </w:t>
      </w:r>
      <w:r>
        <w:rPr>
          <w:spacing w:val="-2"/>
        </w:rPr>
        <w:t>Test:</w:t>
      </w:r>
    </w:p>
    <w:p>
      <w:pPr>
        <w:pStyle w:val="BodyText"/>
        <w:spacing w:before="64"/>
        <w:rPr>
          <w:sz w:val="20"/>
        </w:rPr>
      </w:pPr>
    </w:p>
    <w:tbl>
      <w:tblPr>
        <w:tblW w:w="0" w:type="auto"/>
        <w:jc w:val="left"/>
        <w:tblInd w:w="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47"/>
        <w:gridCol w:w="1563"/>
        <w:gridCol w:w="2620"/>
        <w:gridCol w:w="1214"/>
      </w:tblGrid>
      <w:tr>
        <w:trPr>
          <w:trHeight w:val="461" w:hRule="atLeast"/>
        </w:trPr>
        <w:tc>
          <w:tcPr>
            <w:tcW w:w="1947" w:type="dxa"/>
            <w:tcBorders>
              <w:top w:val="double" w:sz="6" w:space="0" w:color="000000"/>
            </w:tcBorders>
          </w:tcPr>
          <w:p>
            <w:pPr>
              <w:pStyle w:val="TableParagraph"/>
              <w:spacing w:line="240" w:lineRule="auto" w:before="89"/>
              <w:ind w:left="0"/>
              <w:rPr>
                <w:sz w:val="24"/>
              </w:rPr>
            </w:pPr>
            <w:r>
              <w:rPr>
                <w:spacing w:val="-2"/>
                <w:sz w:val="24"/>
              </w:rPr>
              <w:t>F-statistic</w:t>
            </w:r>
          </w:p>
        </w:tc>
        <w:tc>
          <w:tcPr>
            <w:tcW w:w="1563" w:type="dxa"/>
            <w:tcBorders>
              <w:top w:val="double" w:sz="6" w:space="0" w:color="000000"/>
            </w:tcBorders>
          </w:tcPr>
          <w:p>
            <w:pPr>
              <w:pStyle w:val="TableParagraph"/>
              <w:spacing w:line="240" w:lineRule="auto" w:before="89"/>
              <w:ind w:left="0" w:right="206"/>
              <w:jc w:val="right"/>
              <w:rPr>
                <w:sz w:val="24"/>
              </w:rPr>
            </w:pPr>
            <w:r>
              <w:rPr>
                <w:spacing w:val="-2"/>
                <w:sz w:val="24"/>
              </w:rPr>
              <w:t>13.33721</w:t>
            </w:r>
          </w:p>
        </w:tc>
        <w:tc>
          <w:tcPr>
            <w:tcW w:w="2620" w:type="dxa"/>
            <w:tcBorders>
              <w:top w:val="double" w:sz="6" w:space="0" w:color="000000"/>
            </w:tcBorders>
          </w:tcPr>
          <w:p>
            <w:pPr>
              <w:pStyle w:val="TableParagraph"/>
              <w:spacing w:line="240" w:lineRule="auto" w:before="89"/>
              <w:ind w:left="205"/>
              <w:rPr>
                <w:sz w:val="24"/>
              </w:rPr>
            </w:pPr>
            <w:r>
              <w:rPr>
                <w:sz w:val="24"/>
              </w:rPr>
              <w:t>Prob. </w:t>
            </w:r>
            <w:r>
              <w:rPr>
                <w:spacing w:val="-2"/>
                <w:sz w:val="24"/>
              </w:rPr>
              <w:t>F(2,53)</w:t>
            </w:r>
          </w:p>
        </w:tc>
        <w:tc>
          <w:tcPr>
            <w:tcW w:w="1214" w:type="dxa"/>
            <w:tcBorders>
              <w:top w:val="double" w:sz="6" w:space="0" w:color="000000"/>
            </w:tcBorders>
          </w:tcPr>
          <w:p>
            <w:pPr>
              <w:pStyle w:val="TableParagraph"/>
              <w:spacing w:line="240" w:lineRule="auto" w:before="89"/>
              <w:ind w:left="0" w:right="85"/>
              <w:jc w:val="right"/>
              <w:rPr>
                <w:sz w:val="24"/>
              </w:rPr>
            </w:pPr>
            <w:r>
              <w:rPr>
                <w:spacing w:val="-2"/>
                <w:sz w:val="24"/>
              </w:rPr>
              <w:t>0.0000</w:t>
            </w:r>
          </w:p>
        </w:tc>
      </w:tr>
      <w:tr>
        <w:trPr>
          <w:trHeight w:val="362" w:hRule="atLeast"/>
        </w:trPr>
        <w:tc>
          <w:tcPr>
            <w:tcW w:w="1947" w:type="dxa"/>
          </w:tcPr>
          <w:p>
            <w:pPr>
              <w:pStyle w:val="TableParagraph"/>
              <w:spacing w:line="256" w:lineRule="exact" w:before="86"/>
              <w:ind w:left="0"/>
              <w:rPr>
                <w:sz w:val="24"/>
              </w:rPr>
            </w:pPr>
            <w:r>
              <w:rPr>
                <w:spacing w:val="-2"/>
                <w:sz w:val="24"/>
              </w:rPr>
              <w:t>Obs*R-squared</w:t>
            </w:r>
          </w:p>
        </w:tc>
        <w:tc>
          <w:tcPr>
            <w:tcW w:w="1563" w:type="dxa"/>
          </w:tcPr>
          <w:p>
            <w:pPr>
              <w:pStyle w:val="TableParagraph"/>
              <w:spacing w:line="256" w:lineRule="exact" w:before="86"/>
              <w:ind w:left="0" w:right="206"/>
              <w:jc w:val="right"/>
              <w:rPr>
                <w:sz w:val="24"/>
              </w:rPr>
            </w:pPr>
            <w:r>
              <w:rPr>
                <w:spacing w:val="-2"/>
                <w:sz w:val="24"/>
              </w:rPr>
              <w:t>20.08757</w:t>
            </w:r>
          </w:p>
        </w:tc>
        <w:tc>
          <w:tcPr>
            <w:tcW w:w="2620" w:type="dxa"/>
          </w:tcPr>
          <w:p>
            <w:pPr>
              <w:pStyle w:val="TableParagraph"/>
              <w:spacing w:line="256" w:lineRule="exact" w:before="86"/>
              <w:ind w:left="205"/>
              <w:rPr>
                <w:sz w:val="24"/>
              </w:rPr>
            </w:pPr>
            <w:r>
              <w:rPr>
                <w:sz w:val="24"/>
              </w:rPr>
              <w:t>Prob. Chi-</w:t>
            </w:r>
            <w:r>
              <w:rPr>
                <w:spacing w:val="-2"/>
                <w:sz w:val="24"/>
              </w:rPr>
              <w:t>Square(2)</w:t>
            </w:r>
          </w:p>
        </w:tc>
        <w:tc>
          <w:tcPr>
            <w:tcW w:w="1214" w:type="dxa"/>
          </w:tcPr>
          <w:p>
            <w:pPr>
              <w:pStyle w:val="TableParagraph"/>
              <w:spacing w:line="256" w:lineRule="exact" w:before="86"/>
              <w:ind w:left="0" w:right="85"/>
              <w:jc w:val="right"/>
              <w:rPr>
                <w:sz w:val="24"/>
              </w:rPr>
            </w:pPr>
            <w:r>
              <w:rPr>
                <w:spacing w:val="-2"/>
                <w:sz w:val="24"/>
              </w:rPr>
              <w:t>0.0000</w:t>
            </w:r>
          </w:p>
        </w:tc>
      </w:tr>
    </w:tbl>
    <w:p>
      <w:pPr>
        <w:pStyle w:val="BodyText"/>
        <w:spacing w:before="7"/>
        <w:rPr>
          <w:sz w:val="19"/>
        </w:rPr>
      </w:pPr>
      <w:r>
        <w:rPr>
          <w:sz w:val="19"/>
        </w:rPr>
        <mc:AlternateContent>
          <mc:Choice Requires="wps">
            <w:drawing>
              <wp:anchor distT="0" distB="0" distL="0" distR="0" allowOverlap="1" layoutInCell="1" locked="0" behindDoc="1" simplePos="0" relativeHeight="487626752">
                <wp:simplePos x="0" y="0"/>
                <wp:positionH relativeFrom="page">
                  <wp:posOffset>1455674</wp:posOffset>
                </wp:positionH>
                <wp:positionV relativeFrom="paragraph">
                  <wp:posOffset>159003</wp:posOffset>
                </wp:positionV>
                <wp:extent cx="4663440" cy="27940"/>
                <wp:effectExtent l="0" t="0" r="0" b="0"/>
                <wp:wrapTopAndBottom/>
                <wp:docPr id="387" name="Graphic 387"/>
                <wp:cNvGraphicFramePr>
                  <a:graphicFrameLocks/>
                </wp:cNvGraphicFramePr>
                <a:graphic>
                  <a:graphicData uri="http://schemas.microsoft.com/office/word/2010/wordprocessingShape">
                    <wps:wsp>
                      <wps:cNvPr id="387" name="Graphic 387"/>
                      <wps:cNvSpPr/>
                      <wps:spPr>
                        <a:xfrm>
                          <a:off x="0" y="0"/>
                          <a:ext cx="4663440" cy="27940"/>
                        </a:xfrm>
                        <a:custGeom>
                          <a:avLst/>
                          <a:gdLst/>
                          <a:ahLst/>
                          <a:cxnLst/>
                          <a:rect l="l" t="t" r="r" b="b"/>
                          <a:pathLst>
                            <a:path w="4663440" h="27940">
                              <a:moveTo>
                                <a:pt x="1525778" y="18288"/>
                              </a:moveTo>
                              <a:lnTo>
                                <a:pt x="0" y="18288"/>
                              </a:lnTo>
                              <a:lnTo>
                                <a:pt x="0" y="27432"/>
                              </a:lnTo>
                              <a:lnTo>
                                <a:pt x="1525778" y="27432"/>
                              </a:lnTo>
                              <a:lnTo>
                                <a:pt x="1525778" y="18288"/>
                              </a:lnTo>
                              <a:close/>
                            </a:path>
                            <a:path w="4663440" h="27940">
                              <a:moveTo>
                                <a:pt x="1525778" y="0"/>
                              </a:moveTo>
                              <a:lnTo>
                                <a:pt x="0" y="0"/>
                              </a:lnTo>
                              <a:lnTo>
                                <a:pt x="0" y="9144"/>
                              </a:lnTo>
                              <a:lnTo>
                                <a:pt x="1525778" y="9144"/>
                              </a:lnTo>
                              <a:lnTo>
                                <a:pt x="1525778" y="0"/>
                              </a:lnTo>
                              <a:close/>
                            </a:path>
                            <a:path w="4663440" h="27940">
                              <a:moveTo>
                                <a:pt x="2359520" y="18288"/>
                              </a:moveTo>
                              <a:lnTo>
                                <a:pt x="1577721" y="18288"/>
                              </a:lnTo>
                              <a:lnTo>
                                <a:pt x="1525905" y="18288"/>
                              </a:lnTo>
                              <a:lnTo>
                                <a:pt x="1525905" y="27432"/>
                              </a:lnTo>
                              <a:lnTo>
                                <a:pt x="1577721" y="27432"/>
                              </a:lnTo>
                              <a:lnTo>
                                <a:pt x="2359520" y="27432"/>
                              </a:lnTo>
                              <a:lnTo>
                                <a:pt x="2359520" y="18288"/>
                              </a:lnTo>
                              <a:close/>
                            </a:path>
                            <a:path w="4663440" h="27940">
                              <a:moveTo>
                                <a:pt x="2359520" y="0"/>
                              </a:moveTo>
                              <a:lnTo>
                                <a:pt x="1577721" y="0"/>
                              </a:lnTo>
                              <a:lnTo>
                                <a:pt x="1525905" y="0"/>
                              </a:lnTo>
                              <a:lnTo>
                                <a:pt x="1525905" y="9144"/>
                              </a:lnTo>
                              <a:lnTo>
                                <a:pt x="1577721" y="9144"/>
                              </a:lnTo>
                              <a:lnTo>
                                <a:pt x="2359520" y="9144"/>
                              </a:lnTo>
                              <a:lnTo>
                                <a:pt x="2359520" y="0"/>
                              </a:lnTo>
                              <a:close/>
                            </a:path>
                            <a:path w="4663440" h="27940">
                              <a:moveTo>
                                <a:pt x="4188879" y="18288"/>
                              </a:moveTo>
                              <a:lnTo>
                                <a:pt x="4188879" y="18288"/>
                              </a:lnTo>
                              <a:lnTo>
                                <a:pt x="2359533" y="18288"/>
                              </a:lnTo>
                              <a:lnTo>
                                <a:pt x="2359533" y="27432"/>
                              </a:lnTo>
                              <a:lnTo>
                                <a:pt x="4188879" y="27432"/>
                              </a:lnTo>
                              <a:lnTo>
                                <a:pt x="4188879" y="18288"/>
                              </a:lnTo>
                              <a:close/>
                            </a:path>
                            <a:path w="4663440" h="27940">
                              <a:moveTo>
                                <a:pt x="4188879" y="0"/>
                              </a:moveTo>
                              <a:lnTo>
                                <a:pt x="4188879" y="0"/>
                              </a:lnTo>
                              <a:lnTo>
                                <a:pt x="2359533" y="0"/>
                              </a:lnTo>
                              <a:lnTo>
                                <a:pt x="2359533" y="9144"/>
                              </a:lnTo>
                              <a:lnTo>
                                <a:pt x="4188879" y="9144"/>
                              </a:lnTo>
                              <a:lnTo>
                                <a:pt x="4188879" y="0"/>
                              </a:lnTo>
                              <a:close/>
                            </a:path>
                            <a:path w="4663440" h="27940">
                              <a:moveTo>
                                <a:pt x="4240771" y="18288"/>
                              </a:moveTo>
                              <a:lnTo>
                                <a:pt x="4188968" y="18288"/>
                              </a:lnTo>
                              <a:lnTo>
                                <a:pt x="4188968" y="27432"/>
                              </a:lnTo>
                              <a:lnTo>
                                <a:pt x="4240771" y="27432"/>
                              </a:lnTo>
                              <a:lnTo>
                                <a:pt x="4240771" y="18288"/>
                              </a:lnTo>
                              <a:close/>
                            </a:path>
                            <a:path w="4663440" h="27940">
                              <a:moveTo>
                                <a:pt x="4240771" y="0"/>
                              </a:moveTo>
                              <a:lnTo>
                                <a:pt x="4188968" y="0"/>
                              </a:lnTo>
                              <a:lnTo>
                                <a:pt x="4188968" y="9144"/>
                              </a:lnTo>
                              <a:lnTo>
                                <a:pt x="4240771" y="9144"/>
                              </a:lnTo>
                              <a:lnTo>
                                <a:pt x="4240771" y="0"/>
                              </a:lnTo>
                              <a:close/>
                            </a:path>
                            <a:path w="4663440" h="27940">
                              <a:moveTo>
                                <a:pt x="4662932" y="18288"/>
                              </a:moveTo>
                              <a:lnTo>
                                <a:pt x="4240784" y="18288"/>
                              </a:lnTo>
                              <a:lnTo>
                                <a:pt x="4240784" y="27432"/>
                              </a:lnTo>
                              <a:lnTo>
                                <a:pt x="4662932" y="27432"/>
                              </a:lnTo>
                              <a:lnTo>
                                <a:pt x="4662932" y="18288"/>
                              </a:lnTo>
                              <a:close/>
                            </a:path>
                            <a:path w="4663440" h="27940">
                              <a:moveTo>
                                <a:pt x="4662932" y="0"/>
                              </a:moveTo>
                              <a:lnTo>
                                <a:pt x="4240784" y="0"/>
                              </a:lnTo>
                              <a:lnTo>
                                <a:pt x="4240784" y="9144"/>
                              </a:lnTo>
                              <a:lnTo>
                                <a:pt x="4662932" y="9144"/>
                              </a:lnTo>
                              <a:lnTo>
                                <a:pt x="46629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4.620003pt;margin-top:12.519969pt;width:367.2pt;height:2.2pt;mso-position-horizontal-relative:page;mso-position-vertical-relative:paragraph;z-index:-15689728;mso-wrap-distance-left:0;mso-wrap-distance-right:0" id="docshape359" coordorigin="2292,250" coordsize="7344,44" path="m4695,279l2292,279,2292,294,4695,294,4695,279xm4695,250l2292,250,2292,265,4695,265,4695,250xm6008,279l4777,279,4695,279,4695,294,4777,294,6008,294,6008,279xm6008,250l4777,250,4695,250,4695,265,4777,265,6008,265,6008,250xm8889,279l7528,279,7446,279,7446,279,6090,279,6008,279,6008,294,6090,294,7446,294,7446,294,7528,294,8889,294,8889,279xm8889,250l7528,250,7446,250,7446,250,6090,250,6008,250,6008,265,6090,265,7446,265,7446,265,7528,265,8889,265,8889,250xm8971,279l8889,279,8889,294,8971,294,8971,279xm8971,250l8889,250,8889,265,8971,265,8971,250xm9636,279l8971,279,8971,294,9636,294,9636,279xm9636,250l8971,250,8971,265,9636,265,9636,250xe" filled="true" fillcolor="#000000" stroked="false">
                <v:path arrowok="t"/>
                <v:fill type="solid"/>
                <w10:wrap type="topAndBottom"/>
              </v:shape>
            </w:pict>
          </mc:Fallback>
        </mc:AlternateContent>
      </w:r>
    </w:p>
    <w:p>
      <w:pPr>
        <w:pStyle w:val="BodyText"/>
      </w:pPr>
    </w:p>
    <w:p>
      <w:pPr>
        <w:pStyle w:val="BodyText"/>
        <w:spacing w:before="133"/>
      </w:pPr>
    </w:p>
    <w:p>
      <w:pPr>
        <w:pStyle w:val="Heading2"/>
        <w:numPr>
          <w:ilvl w:val="0"/>
          <w:numId w:val="27"/>
        </w:numPr>
        <w:tabs>
          <w:tab w:pos="983" w:val="left" w:leader="none"/>
        </w:tabs>
        <w:spacing w:line="240" w:lineRule="auto" w:before="0" w:after="0"/>
        <w:ind w:left="983" w:right="0" w:hanging="240"/>
        <w:jc w:val="left"/>
      </w:pPr>
      <w:r>
        <w:rPr/>
        <w:t>Hasil</w:t>
      </w:r>
      <w:r>
        <w:rPr>
          <w:spacing w:val="-4"/>
        </w:rPr>
        <w:t> </w:t>
      </w:r>
      <w:r>
        <w:rPr/>
        <w:t>Mengatasi</w:t>
      </w:r>
      <w:r>
        <w:rPr>
          <w:spacing w:val="-3"/>
        </w:rPr>
        <w:t> </w:t>
      </w:r>
      <w:r>
        <w:rPr/>
        <w:t>Permasalahan </w:t>
      </w:r>
      <w:r>
        <w:rPr>
          <w:spacing w:val="-2"/>
        </w:rPr>
        <w:t>Autokorelasi</w:t>
      </w:r>
    </w:p>
    <w:p>
      <w:pPr>
        <w:pStyle w:val="BodyText"/>
        <w:spacing w:before="204"/>
        <w:rPr>
          <w:b/>
        </w:rPr>
      </w:pPr>
    </w:p>
    <w:p>
      <w:pPr>
        <w:pStyle w:val="BodyText"/>
        <w:ind w:left="1583"/>
      </w:pPr>
      <w:r>
        <w:rPr/>
        <w:t>Breusch-Godfrey</w:t>
      </w:r>
      <w:r>
        <w:rPr>
          <w:spacing w:val="-5"/>
        </w:rPr>
        <w:t> </w:t>
      </w:r>
      <w:r>
        <w:rPr/>
        <w:t>Serial</w:t>
      </w:r>
      <w:r>
        <w:rPr>
          <w:spacing w:val="-1"/>
        </w:rPr>
        <w:t> </w:t>
      </w:r>
      <w:r>
        <w:rPr/>
        <w:t>Correlation</w:t>
      </w:r>
      <w:r>
        <w:rPr>
          <w:spacing w:val="-3"/>
        </w:rPr>
        <w:t> </w:t>
      </w:r>
      <w:r>
        <w:rPr/>
        <w:t>LM</w:t>
      </w:r>
      <w:r>
        <w:rPr>
          <w:spacing w:val="-3"/>
        </w:rPr>
        <w:t> </w:t>
      </w:r>
      <w:r>
        <w:rPr>
          <w:spacing w:val="-2"/>
        </w:rPr>
        <w:t>Test:</w:t>
      </w:r>
    </w:p>
    <w:p>
      <w:pPr>
        <w:pStyle w:val="BodyText"/>
        <w:spacing w:before="67"/>
        <w:rPr>
          <w:sz w:val="20"/>
        </w:rPr>
      </w:pPr>
    </w:p>
    <w:tbl>
      <w:tblPr>
        <w:tblW w:w="0" w:type="auto"/>
        <w:jc w:val="left"/>
        <w:tblInd w:w="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54"/>
        <w:gridCol w:w="3548"/>
        <w:gridCol w:w="1234"/>
      </w:tblGrid>
      <w:tr>
        <w:trPr>
          <w:trHeight w:val="461" w:hRule="atLeast"/>
        </w:trPr>
        <w:tc>
          <w:tcPr>
            <w:tcW w:w="1754" w:type="dxa"/>
            <w:tcBorders>
              <w:top w:val="double" w:sz="6" w:space="0" w:color="000000"/>
            </w:tcBorders>
          </w:tcPr>
          <w:p>
            <w:pPr>
              <w:pStyle w:val="TableParagraph"/>
              <w:spacing w:line="240" w:lineRule="auto" w:before="89"/>
              <w:ind w:left="0"/>
              <w:rPr>
                <w:sz w:val="24"/>
              </w:rPr>
            </w:pPr>
            <w:r>
              <w:rPr>
                <w:spacing w:val="-2"/>
                <w:sz w:val="24"/>
              </w:rPr>
              <w:t>F-statistic</w:t>
            </w:r>
          </w:p>
        </w:tc>
        <w:tc>
          <w:tcPr>
            <w:tcW w:w="3548" w:type="dxa"/>
            <w:tcBorders>
              <w:top w:val="double" w:sz="6" w:space="0" w:color="000000"/>
            </w:tcBorders>
          </w:tcPr>
          <w:p>
            <w:pPr>
              <w:pStyle w:val="TableParagraph"/>
              <w:tabs>
                <w:tab w:pos="1366" w:val="left" w:leader="none"/>
              </w:tabs>
              <w:spacing w:line="240" w:lineRule="auto" w:before="89"/>
              <w:ind w:left="262"/>
              <w:rPr>
                <w:sz w:val="24"/>
              </w:rPr>
            </w:pPr>
            <w:r>
              <w:rPr>
                <w:spacing w:val="-2"/>
                <w:sz w:val="24"/>
              </w:rPr>
              <w:t>1.885833</w:t>
            </w:r>
            <w:r>
              <w:rPr>
                <w:sz w:val="24"/>
              </w:rPr>
              <w:tab/>
              <w:t>Prob. </w:t>
            </w:r>
            <w:r>
              <w:rPr>
                <w:spacing w:val="-2"/>
                <w:sz w:val="24"/>
              </w:rPr>
              <w:t>F(2,52)</w:t>
            </w:r>
          </w:p>
        </w:tc>
        <w:tc>
          <w:tcPr>
            <w:tcW w:w="1234" w:type="dxa"/>
            <w:tcBorders>
              <w:top w:val="double" w:sz="6" w:space="0" w:color="000000"/>
            </w:tcBorders>
          </w:tcPr>
          <w:p>
            <w:pPr>
              <w:pStyle w:val="TableParagraph"/>
              <w:spacing w:line="240" w:lineRule="auto" w:before="89"/>
              <w:ind w:left="0" w:right="105"/>
              <w:jc w:val="center"/>
              <w:rPr>
                <w:sz w:val="24"/>
              </w:rPr>
            </w:pPr>
            <w:r>
              <w:rPr>
                <w:spacing w:val="-2"/>
                <w:sz w:val="24"/>
              </w:rPr>
              <w:t>0.1619</w:t>
            </w:r>
          </w:p>
        </w:tc>
      </w:tr>
      <w:tr>
        <w:trPr>
          <w:trHeight w:val="362" w:hRule="atLeast"/>
        </w:trPr>
        <w:tc>
          <w:tcPr>
            <w:tcW w:w="1754" w:type="dxa"/>
          </w:tcPr>
          <w:p>
            <w:pPr>
              <w:pStyle w:val="TableParagraph"/>
              <w:spacing w:line="256" w:lineRule="exact" w:before="86"/>
              <w:ind w:left="0"/>
              <w:rPr>
                <w:sz w:val="24"/>
              </w:rPr>
            </w:pPr>
            <w:r>
              <w:rPr>
                <w:spacing w:val="-2"/>
                <w:sz w:val="24"/>
              </w:rPr>
              <w:t>Obs*R-squared</w:t>
            </w:r>
          </w:p>
        </w:tc>
        <w:tc>
          <w:tcPr>
            <w:tcW w:w="3548" w:type="dxa"/>
          </w:tcPr>
          <w:p>
            <w:pPr>
              <w:pStyle w:val="TableParagraph"/>
              <w:tabs>
                <w:tab w:pos="1366" w:val="left" w:leader="none"/>
              </w:tabs>
              <w:spacing w:line="256" w:lineRule="exact" w:before="86"/>
              <w:ind w:left="262"/>
              <w:rPr>
                <w:sz w:val="24"/>
              </w:rPr>
            </w:pPr>
            <w:r>
              <w:rPr>
                <w:spacing w:val="-2"/>
                <w:sz w:val="24"/>
              </w:rPr>
              <w:t>3.989988</w:t>
            </w:r>
            <w:r>
              <w:rPr>
                <w:sz w:val="24"/>
              </w:rPr>
              <w:tab/>
              <w:t>Prob. Chi-</w:t>
            </w:r>
            <w:r>
              <w:rPr>
                <w:spacing w:val="-2"/>
                <w:sz w:val="24"/>
              </w:rPr>
              <w:t>Square(2)</w:t>
            </w:r>
          </w:p>
        </w:tc>
        <w:tc>
          <w:tcPr>
            <w:tcW w:w="1234" w:type="dxa"/>
          </w:tcPr>
          <w:p>
            <w:pPr>
              <w:pStyle w:val="TableParagraph"/>
              <w:spacing w:line="256" w:lineRule="exact" w:before="86"/>
              <w:ind w:left="0" w:right="105"/>
              <w:jc w:val="center"/>
              <w:rPr>
                <w:sz w:val="24"/>
              </w:rPr>
            </w:pPr>
            <w:r>
              <w:rPr>
                <w:spacing w:val="-2"/>
                <w:sz w:val="24"/>
              </w:rPr>
              <w:t>0.1360</w:t>
            </w:r>
          </w:p>
        </w:tc>
      </w:tr>
    </w:tbl>
    <w:p>
      <w:pPr>
        <w:pStyle w:val="BodyText"/>
        <w:spacing w:before="7"/>
        <w:rPr>
          <w:sz w:val="19"/>
        </w:rPr>
      </w:pPr>
      <w:r>
        <w:rPr>
          <w:sz w:val="19"/>
        </w:rPr>
        <mc:AlternateContent>
          <mc:Choice Requires="wps">
            <w:drawing>
              <wp:anchor distT="0" distB="0" distL="0" distR="0" allowOverlap="1" layoutInCell="1" locked="0" behindDoc="1" simplePos="0" relativeHeight="487627264">
                <wp:simplePos x="0" y="0"/>
                <wp:positionH relativeFrom="page">
                  <wp:posOffset>1448054</wp:posOffset>
                </wp:positionH>
                <wp:positionV relativeFrom="paragraph">
                  <wp:posOffset>159003</wp:posOffset>
                </wp:positionV>
                <wp:extent cx="4149090" cy="27940"/>
                <wp:effectExtent l="0" t="0" r="0" b="0"/>
                <wp:wrapTopAndBottom/>
                <wp:docPr id="388" name="Graphic 388"/>
                <wp:cNvGraphicFramePr>
                  <a:graphicFrameLocks/>
                </wp:cNvGraphicFramePr>
                <a:graphic>
                  <a:graphicData uri="http://schemas.microsoft.com/office/word/2010/wordprocessingShape">
                    <wps:wsp>
                      <wps:cNvPr id="388" name="Graphic 388"/>
                      <wps:cNvSpPr/>
                      <wps:spPr>
                        <a:xfrm>
                          <a:off x="0" y="0"/>
                          <a:ext cx="4149090" cy="27940"/>
                        </a:xfrm>
                        <a:custGeom>
                          <a:avLst/>
                          <a:gdLst/>
                          <a:ahLst/>
                          <a:cxnLst/>
                          <a:rect l="l" t="t" r="r" b="b"/>
                          <a:pathLst>
                            <a:path w="4149090" h="27940">
                              <a:moveTo>
                                <a:pt x="1280401" y="18288"/>
                              </a:moveTo>
                              <a:lnTo>
                                <a:pt x="0" y="18288"/>
                              </a:lnTo>
                              <a:lnTo>
                                <a:pt x="0" y="27432"/>
                              </a:lnTo>
                              <a:lnTo>
                                <a:pt x="1280401" y="27432"/>
                              </a:lnTo>
                              <a:lnTo>
                                <a:pt x="1280401" y="18288"/>
                              </a:lnTo>
                              <a:close/>
                            </a:path>
                            <a:path w="4149090" h="27940">
                              <a:moveTo>
                                <a:pt x="1280401" y="0"/>
                              </a:moveTo>
                              <a:lnTo>
                                <a:pt x="0" y="0"/>
                              </a:lnTo>
                              <a:lnTo>
                                <a:pt x="0" y="9144"/>
                              </a:lnTo>
                              <a:lnTo>
                                <a:pt x="1280401" y="9144"/>
                              </a:lnTo>
                              <a:lnTo>
                                <a:pt x="1280401" y="0"/>
                              </a:lnTo>
                              <a:close/>
                            </a:path>
                            <a:path w="4149090" h="27940">
                              <a:moveTo>
                                <a:pt x="3514966" y="18288"/>
                              </a:moveTo>
                              <a:lnTo>
                                <a:pt x="3514966" y="18288"/>
                              </a:lnTo>
                              <a:lnTo>
                                <a:pt x="1280541" y="18288"/>
                              </a:lnTo>
                              <a:lnTo>
                                <a:pt x="1280541" y="27432"/>
                              </a:lnTo>
                              <a:lnTo>
                                <a:pt x="3514966" y="27432"/>
                              </a:lnTo>
                              <a:lnTo>
                                <a:pt x="3514966" y="18288"/>
                              </a:lnTo>
                              <a:close/>
                            </a:path>
                            <a:path w="4149090" h="27940">
                              <a:moveTo>
                                <a:pt x="3514966" y="0"/>
                              </a:moveTo>
                              <a:lnTo>
                                <a:pt x="3514966" y="0"/>
                              </a:lnTo>
                              <a:lnTo>
                                <a:pt x="1280541" y="0"/>
                              </a:lnTo>
                              <a:lnTo>
                                <a:pt x="1280541" y="9144"/>
                              </a:lnTo>
                              <a:lnTo>
                                <a:pt x="3514966" y="9144"/>
                              </a:lnTo>
                              <a:lnTo>
                                <a:pt x="3514966" y="0"/>
                              </a:lnTo>
                              <a:close/>
                            </a:path>
                            <a:path w="4149090" h="27940">
                              <a:moveTo>
                                <a:pt x="4148963" y="18288"/>
                              </a:moveTo>
                              <a:lnTo>
                                <a:pt x="3542411" y="18288"/>
                              </a:lnTo>
                              <a:lnTo>
                                <a:pt x="3514979" y="18288"/>
                              </a:lnTo>
                              <a:lnTo>
                                <a:pt x="3514979" y="27432"/>
                              </a:lnTo>
                              <a:lnTo>
                                <a:pt x="3542411" y="27432"/>
                              </a:lnTo>
                              <a:lnTo>
                                <a:pt x="4148963" y="27432"/>
                              </a:lnTo>
                              <a:lnTo>
                                <a:pt x="4148963" y="18288"/>
                              </a:lnTo>
                              <a:close/>
                            </a:path>
                            <a:path w="4149090" h="27940">
                              <a:moveTo>
                                <a:pt x="4148963" y="0"/>
                              </a:moveTo>
                              <a:lnTo>
                                <a:pt x="3542411" y="0"/>
                              </a:lnTo>
                              <a:lnTo>
                                <a:pt x="3514979" y="0"/>
                              </a:lnTo>
                              <a:lnTo>
                                <a:pt x="3514979" y="9144"/>
                              </a:lnTo>
                              <a:lnTo>
                                <a:pt x="3542411" y="9144"/>
                              </a:lnTo>
                              <a:lnTo>
                                <a:pt x="4148963" y="9144"/>
                              </a:lnTo>
                              <a:lnTo>
                                <a:pt x="41489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4.020004pt;margin-top:12.519976pt;width:326.7pt;height:2.2pt;mso-position-horizontal-relative:page;mso-position-vertical-relative:paragraph;z-index:-15689216;mso-wrap-distance-left:0;mso-wrap-distance-right:0" id="docshape360" coordorigin="2280,250" coordsize="6534,44" path="m4297,279l2280,279,2280,294,4297,294,4297,279xm4297,250l2280,250,2280,265,4297,265,4297,250xm7816,279l6652,279,6609,279,6609,279,5444,279,5401,279,4340,279,4297,279,4297,294,4340,294,5401,294,5444,294,6609,294,6609,294,6652,294,7816,294,7816,279xm7816,250l6652,250,6609,250,6609,250,5444,250,5401,250,4340,250,4297,250,4297,265,4340,265,5401,265,5444,265,6609,265,6609,265,6652,265,7816,265,7816,250xm8814,279l7859,279,7816,279,7816,294,7859,294,8814,294,8814,279xm8814,250l7859,250,7816,250,7816,265,7859,265,8814,265,8814,250xe" filled="true" fillcolor="#000000" stroked="false">
                <v:path arrowok="t"/>
                <v:fill type="solid"/>
                <w10:wrap type="topAndBottom"/>
              </v:shape>
            </w:pict>
          </mc:Fallback>
        </mc:AlternateContent>
      </w:r>
    </w:p>
    <w:p>
      <w:pPr>
        <w:pStyle w:val="BodyText"/>
      </w:pPr>
    </w:p>
    <w:p>
      <w:pPr>
        <w:pStyle w:val="BodyText"/>
      </w:pPr>
    </w:p>
    <w:p>
      <w:pPr>
        <w:pStyle w:val="BodyText"/>
        <w:spacing w:before="23"/>
      </w:pPr>
    </w:p>
    <w:p>
      <w:pPr>
        <w:spacing w:before="0"/>
        <w:ind w:left="23" w:right="0" w:firstLine="0"/>
        <w:jc w:val="left"/>
        <w:rPr>
          <w:b/>
          <w:sz w:val="24"/>
        </w:rPr>
      </w:pPr>
      <w:r>
        <w:rPr>
          <w:b/>
          <w:sz w:val="24"/>
        </w:rPr>
        <w:t>Lampiran</w:t>
      </w:r>
      <w:r>
        <w:rPr>
          <w:b/>
          <w:spacing w:val="-3"/>
          <w:sz w:val="24"/>
        </w:rPr>
        <w:t> </w:t>
      </w:r>
      <w:r>
        <w:rPr>
          <w:b/>
          <w:sz w:val="24"/>
        </w:rPr>
        <w:t>4.</w:t>
      </w:r>
      <w:r>
        <w:rPr>
          <w:b/>
          <w:spacing w:val="-2"/>
          <w:sz w:val="24"/>
        </w:rPr>
        <w:t> </w:t>
      </w:r>
      <w:r>
        <w:rPr>
          <w:b/>
          <w:sz w:val="24"/>
        </w:rPr>
        <w:t>Uji </w:t>
      </w:r>
      <w:r>
        <w:rPr>
          <w:b/>
          <w:spacing w:val="-2"/>
          <w:sz w:val="24"/>
        </w:rPr>
        <w:t>Hipotesis</w:t>
      </w:r>
    </w:p>
    <w:p>
      <w:pPr>
        <w:pStyle w:val="ListParagraph"/>
        <w:numPr>
          <w:ilvl w:val="0"/>
          <w:numId w:val="28"/>
        </w:numPr>
        <w:tabs>
          <w:tab w:pos="983" w:val="left" w:leader="none"/>
        </w:tabs>
        <w:spacing w:line="240" w:lineRule="auto" w:before="182" w:after="0"/>
        <w:ind w:left="983" w:right="0" w:hanging="240"/>
        <w:jc w:val="left"/>
        <w:rPr>
          <w:b/>
          <w:sz w:val="24"/>
        </w:rPr>
      </w:pPr>
      <w:r>
        <w:rPr>
          <w:b/>
          <w:sz w:val="24"/>
        </w:rPr>
        <w:t>Uji</w:t>
      </w:r>
      <w:r>
        <w:rPr>
          <w:b/>
          <w:spacing w:val="-5"/>
          <w:sz w:val="24"/>
        </w:rPr>
        <w:t> </w:t>
      </w:r>
      <w:r>
        <w:rPr>
          <w:b/>
          <w:sz w:val="24"/>
        </w:rPr>
        <w:t>Koefisien</w:t>
      </w:r>
      <w:r>
        <w:rPr>
          <w:b/>
          <w:spacing w:val="-4"/>
          <w:sz w:val="24"/>
        </w:rPr>
        <w:t> </w:t>
      </w:r>
      <w:r>
        <w:rPr>
          <w:b/>
          <w:spacing w:val="-2"/>
          <w:sz w:val="24"/>
        </w:rPr>
        <w:t>Determinasi</w:t>
      </w:r>
    </w:p>
    <w:p>
      <w:pPr>
        <w:pStyle w:val="BodyText"/>
        <w:spacing w:before="64"/>
        <w:rPr>
          <w:b/>
          <w:sz w:val="20"/>
        </w:rPr>
      </w:pPr>
    </w:p>
    <w:tbl>
      <w:tblPr>
        <w:tblW w:w="0" w:type="auto"/>
        <w:jc w:val="left"/>
        <w:tblInd w:w="1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65"/>
        <w:gridCol w:w="1175"/>
        <w:gridCol w:w="2287"/>
        <w:gridCol w:w="1108"/>
      </w:tblGrid>
      <w:tr>
        <w:trPr>
          <w:trHeight w:val="463" w:hRule="atLeast"/>
        </w:trPr>
        <w:tc>
          <w:tcPr>
            <w:tcW w:w="1965" w:type="dxa"/>
            <w:tcBorders>
              <w:top w:val="double" w:sz="6" w:space="0" w:color="000000"/>
            </w:tcBorders>
          </w:tcPr>
          <w:p>
            <w:pPr>
              <w:pStyle w:val="TableParagraph"/>
              <w:spacing w:line="240" w:lineRule="auto" w:before="92"/>
              <w:ind w:left="0"/>
              <w:rPr>
                <w:sz w:val="24"/>
              </w:rPr>
            </w:pPr>
            <w:r>
              <w:rPr>
                <w:spacing w:val="-2"/>
                <w:sz w:val="24"/>
              </w:rPr>
              <w:t>R-squared</w:t>
            </w:r>
          </w:p>
        </w:tc>
        <w:tc>
          <w:tcPr>
            <w:tcW w:w="1175" w:type="dxa"/>
            <w:tcBorders>
              <w:top w:val="double" w:sz="6" w:space="0" w:color="000000"/>
            </w:tcBorders>
          </w:tcPr>
          <w:p>
            <w:pPr>
              <w:pStyle w:val="TableParagraph"/>
              <w:spacing w:line="240" w:lineRule="auto" w:before="92"/>
              <w:ind w:left="53"/>
              <w:rPr>
                <w:sz w:val="24"/>
              </w:rPr>
            </w:pPr>
            <w:r>
              <w:rPr>
                <w:spacing w:val="-2"/>
                <w:sz w:val="24"/>
              </w:rPr>
              <w:t>0.690875</w:t>
            </w:r>
          </w:p>
        </w:tc>
        <w:tc>
          <w:tcPr>
            <w:tcW w:w="2287" w:type="dxa"/>
            <w:tcBorders>
              <w:top w:val="double" w:sz="6" w:space="0" w:color="000000"/>
            </w:tcBorders>
          </w:tcPr>
          <w:p>
            <w:pPr>
              <w:pStyle w:val="TableParagraph"/>
              <w:spacing w:line="240" w:lineRule="auto" w:before="92"/>
              <w:ind w:left="111"/>
              <w:jc w:val="center"/>
              <w:rPr>
                <w:sz w:val="24"/>
              </w:rPr>
            </w:pPr>
            <w:r>
              <w:rPr>
                <w:sz w:val="24"/>
              </w:rPr>
              <w:t>Mean</w:t>
            </w:r>
            <w:r>
              <w:rPr>
                <w:spacing w:val="-2"/>
                <w:sz w:val="24"/>
              </w:rPr>
              <w:t> </w:t>
            </w:r>
            <w:r>
              <w:rPr>
                <w:sz w:val="24"/>
              </w:rPr>
              <w:t>dependent</w:t>
            </w:r>
            <w:r>
              <w:rPr>
                <w:spacing w:val="-1"/>
                <w:sz w:val="24"/>
              </w:rPr>
              <w:t> </w:t>
            </w:r>
            <w:r>
              <w:rPr>
                <w:spacing w:val="-5"/>
                <w:sz w:val="24"/>
              </w:rPr>
              <w:t>var</w:t>
            </w:r>
          </w:p>
        </w:tc>
        <w:tc>
          <w:tcPr>
            <w:tcW w:w="1108" w:type="dxa"/>
            <w:tcBorders>
              <w:top w:val="double" w:sz="6" w:space="0" w:color="000000"/>
            </w:tcBorders>
          </w:tcPr>
          <w:p>
            <w:pPr>
              <w:pStyle w:val="TableParagraph"/>
              <w:spacing w:line="240" w:lineRule="auto" w:before="92"/>
              <w:ind w:left="8"/>
              <w:jc w:val="center"/>
              <w:rPr>
                <w:sz w:val="24"/>
              </w:rPr>
            </w:pPr>
            <w:r>
              <w:rPr>
                <w:spacing w:val="-2"/>
                <w:sz w:val="24"/>
              </w:rPr>
              <w:t>5.253252</w:t>
            </w:r>
          </w:p>
        </w:tc>
      </w:tr>
      <w:tr>
        <w:trPr>
          <w:trHeight w:val="360" w:hRule="atLeast"/>
        </w:trPr>
        <w:tc>
          <w:tcPr>
            <w:tcW w:w="1965" w:type="dxa"/>
          </w:tcPr>
          <w:p>
            <w:pPr>
              <w:pStyle w:val="TableParagraph"/>
              <w:spacing w:line="256" w:lineRule="exact" w:before="85"/>
              <w:ind w:left="0"/>
              <w:rPr>
                <w:sz w:val="24"/>
              </w:rPr>
            </w:pPr>
            <w:r>
              <w:rPr>
                <w:sz w:val="24"/>
              </w:rPr>
              <w:t>Adjusted</w:t>
            </w:r>
            <w:r>
              <w:rPr>
                <w:spacing w:val="-1"/>
                <w:sz w:val="24"/>
              </w:rPr>
              <w:t> </w:t>
            </w:r>
            <w:r>
              <w:rPr>
                <w:sz w:val="24"/>
              </w:rPr>
              <w:t>R-</w:t>
            </w:r>
            <w:r>
              <w:rPr>
                <w:spacing w:val="-2"/>
                <w:sz w:val="24"/>
              </w:rPr>
              <w:t>squared</w:t>
            </w:r>
          </w:p>
        </w:tc>
        <w:tc>
          <w:tcPr>
            <w:tcW w:w="1175" w:type="dxa"/>
          </w:tcPr>
          <w:p>
            <w:pPr>
              <w:pStyle w:val="TableParagraph"/>
              <w:spacing w:line="256" w:lineRule="exact" w:before="85"/>
              <w:ind w:left="53"/>
              <w:rPr>
                <w:sz w:val="24"/>
              </w:rPr>
            </w:pPr>
            <w:r>
              <w:rPr>
                <w:spacing w:val="-2"/>
                <w:sz w:val="24"/>
              </w:rPr>
              <w:t>0.668393</w:t>
            </w:r>
          </w:p>
        </w:tc>
        <w:tc>
          <w:tcPr>
            <w:tcW w:w="2287" w:type="dxa"/>
          </w:tcPr>
          <w:p>
            <w:pPr>
              <w:pStyle w:val="TableParagraph"/>
              <w:spacing w:line="256" w:lineRule="exact" w:before="85"/>
              <w:ind w:left="220"/>
              <w:rPr>
                <w:sz w:val="24"/>
              </w:rPr>
            </w:pPr>
            <w:r>
              <w:rPr>
                <w:sz w:val="24"/>
              </w:rPr>
              <w:t>S.D.</w:t>
            </w:r>
            <w:r>
              <w:rPr>
                <w:spacing w:val="-4"/>
                <w:sz w:val="24"/>
              </w:rPr>
              <w:t> </w:t>
            </w:r>
            <w:r>
              <w:rPr>
                <w:sz w:val="24"/>
              </w:rPr>
              <w:t>dependent</w:t>
            </w:r>
            <w:r>
              <w:rPr>
                <w:spacing w:val="-2"/>
                <w:sz w:val="24"/>
              </w:rPr>
              <w:t> </w:t>
            </w:r>
            <w:r>
              <w:rPr>
                <w:spacing w:val="-5"/>
                <w:sz w:val="24"/>
              </w:rPr>
              <w:t>var</w:t>
            </w:r>
          </w:p>
        </w:tc>
        <w:tc>
          <w:tcPr>
            <w:tcW w:w="1108" w:type="dxa"/>
          </w:tcPr>
          <w:p>
            <w:pPr>
              <w:pStyle w:val="TableParagraph"/>
              <w:spacing w:line="256" w:lineRule="exact" w:before="85"/>
              <w:ind w:left="8"/>
              <w:jc w:val="center"/>
              <w:rPr>
                <w:sz w:val="24"/>
              </w:rPr>
            </w:pPr>
            <w:r>
              <w:rPr>
                <w:spacing w:val="-2"/>
                <w:sz w:val="24"/>
              </w:rPr>
              <w:t>0.136958</w:t>
            </w:r>
          </w:p>
        </w:tc>
      </w:tr>
    </w:tbl>
    <w:p>
      <w:pPr>
        <w:pStyle w:val="BodyText"/>
        <w:spacing w:before="10"/>
        <w:rPr>
          <w:b/>
          <w:sz w:val="19"/>
        </w:rPr>
      </w:pPr>
      <w:r>
        <w:rPr>
          <w:b/>
          <w:sz w:val="19"/>
        </w:rPr>
        <mc:AlternateContent>
          <mc:Choice Requires="wps">
            <w:drawing>
              <wp:anchor distT="0" distB="0" distL="0" distR="0" allowOverlap="1" layoutInCell="1" locked="0" behindDoc="1" simplePos="0" relativeHeight="487627776">
                <wp:simplePos x="0" y="0"/>
                <wp:positionH relativeFrom="page">
                  <wp:posOffset>1713230</wp:posOffset>
                </wp:positionH>
                <wp:positionV relativeFrom="paragraph">
                  <wp:posOffset>160781</wp:posOffset>
                </wp:positionV>
                <wp:extent cx="4149725" cy="27940"/>
                <wp:effectExtent l="0" t="0" r="0" b="0"/>
                <wp:wrapTopAndBottom/>
                <wp:docPr id="389" name="Graphic 389"/>
                <wp:cNvGraphicFramePr>
                  <a:graphicFrameLocks/>
                </wp:cNvGraphicFramePr>
                <a:graphic>
                  <a:graphicData uri="http://schemas.microsoft.com/office/word/2010/wordprocessingShape">
                    <wps:wsp>
                      <wps:cNvPr id="389" name="Graphic 389"/>
                      <wps:cNvSpPr/>
                      <wps:spPr>
                        <a:xfrm>
                          <a:off x="0" y="0"/>
                          <a:ext cx="4149725" cy="27940"/>
                        </a:xfrm>
                        <a:custGeom>
                          <a:avLst/>
                          <a:gdLst/>
                          <a:ahLst/>
                          <a:cxnLst/>
                          <a:rect l="l" t="t" r="r" b="b"/>
                          <a:pathLst>
                            <a:path w="4149725" h="27940">
                              <a:moveTo>
                                <a:pt x="1281938" y="18288"/>
                              </a:moveTo>
                              <a:lnTo>
                                <a:pt x="0" y="18288"/>
                              </a:lnTo>
                              <a:lnTo>
                                <a:pt x="0" y="27432"/>
                              </a:lnTo>
                              <a:lnTo>
                                <a:pt x="1281938" y="27432"/>
                              </a:lnTo>
                              <a:lnTo>
                                <a:pt x="1281938" y="18288"/>
                              </a:lnTo>
                              <a:close/>
                            </a:path>
                            <a:path w="4149725" h="27940">
                              <a:moveTo>
                                <a:pt x="1281938" y="0"/>
                              </a:moveTo>
                              <a:lnTo>
                                <a:pt x="0" y="0"/>
                              </a:lnTo>
                              <a:lnTo>
                                <a:pt x="0" y="9144"/>
                              </a:lnTo>
                              <a:lnTo>
                                <a:pt x="1281938" y="9144"/>
                              </a:lnTo>
                              <a:lnTo>
                                <a:pt x="1281938" y="0"/>
                              </a:lnTo>
                              <a:close/>
                            </a:path>
                            <a:path w="4149725" h="27940">
                              <a:moveTo>
                                <a:pt x="3514966" y="18288"/>
                              </a:moveTo>
                              <a:lnTo>
                                <a:pt x="3514966" y="18288"/>
                              </a:lnTo>
                              <a:lnTo>
                                <a:pt x="1282065" y="18288"/>
                              </a:lnTo>
                              <a:lnTo>
                                <a:pt x="1282065" y="27432"/>
                              </a:lnTo>
                              <a:lnTo>
                                <a:pt x="3514966" y="27432"/>
                              </a:lnTo>
                              <a:lnTo>
                                <a:pt x="3514966" y="18288"/>
                              </a:lnTo>
                              <a:close/>
                            </a:path>
                            <a:path w="4149725" h="27940">
                              <a:moveTo>
                                <a:pt x="3514966" y="0"/>
                              </a:moveTo>
                              <a:lnTo>
                                <a:pt x="3514966" y="0"/>
                              </a:lnTo>
                              <a:lnTo>
                                <a:pt x="1282065" y="0"/>
                              </a:lnTo>
                              <a:lnTo>
                                <a:pt x="1282065" y="9144"/>
                              </a:lnTo>
                              <a:lnTo>
                                <a:pt x="3514966" y="9144"/>
                              </a:lnTo>
                              <a:lnTo>
                                <a:pt x="3514966" y="0"/>
                              </a:lnTo>
                              <a:close/>
                            </a:path>
                            <a:path w="4149725" h="27940">
                              <a:moveTo>
                                <a:pt x="4149267" y="18288"/>
                              </a:moveTo>
                              <a:lnTo>
                                <a:pt x="3566795" y="18288"/>
                              </a:lnTo>
                              <a:lnTo>
                                <a:pt x="3514979" y="18288"/>
                              </a:lnTo>
                              <a:lnTo>
                                <a:pt x="3514979" y="27432"/>
                              </a:lnTo>
                              <a:lnTo>
                                <a:pt x="3566795" y="27432"/>
                              </a:lnTo>
                              <a:lnTo>
                                <a:pt x="4149267" y="27432"/>
                              </a:lnTo>
                              <a:lnTo>
                                <a:pt x="4149267" y="18288"/>
                              </a:lnTo>
                              <a:close/>
                            </a:path>
                            <a:path w="4149725" h="27940">
                              <a:moveTo>
                                <a:pt x="4149267" y="0"/>
                              </a:moveTo>
                              <a:lnTo>
                                <a:pt x="3566795" y="0"/>
                              </a:lnTo>
                              <a:lnTo>
                                <a:pt x="3514979" y="0"/>
                              </a:lnTo>
                              <a:lnTo>
                                <a:pt x="3514979" y="9144"/>
                              </a:lnTo>
                              <a:lnTo>
                                <a:pt x="3566795" y="9144"/>
                              </a:lnTo>
                              <a:lnTo>
                                <a:pt x="4149267" y="9144"/>
                              </a:lnTo>
                              <a:lnTo>
                                <a:pt x="41492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4.900009pt;margin-top:12.659984pt;width:326.75pt;height:2.2pt;mso-position-horizontal-relative:page;mso-position-vertical-relative:paragraph;z-index:-15688704;mso-wrap-distance-left:0;mso-wrap-distance-right:0" id="docshape361" coordorigin="2698,253" coordsize="6535,44" path="m4717,282l2698,282,2698,296,4717,296,4717,282xm4717,253l2698,253,2698,268,4717,268,4717,253xm8233,282l7108,282,7026,282,7026,282,5900,282,5819,282,4799,282,4717,282,4717,296,4799,296,5819,296,5900,296,7026,296,7026,296,7108,296,8233,296,8233,282xm8233,253l7108,253,7026,253,7026,253,5900,253,5819,253,4799,253,4717,253,4717,268,4799,268,5819,268,5900,268,7026,268,7026,268,7108,268,8233,268,8233,253xm9232,282l8315,282,8233,282,8233,296,8315,296,9232,296,9232,282xm9232,253l8315,253,8233,253,8233,268,8315,268,9232,268,9232,253xe" filled="true" fillcolor="#000000" stroked="false">
                <v:path arrowok="t"/>
                <v:fill type="solid"/>
                <w10:wrap type="topAndBottom"/>
              </v:shape>
            </w:pict>
          </mc:Fallback>
        </mc:AlternateContent>
      </w:r>
    </w:p>
    <w:p>
      <w:pPr>
        <w:pStyle w:val="BodyText"/>
        <w:spacing w:before="272"/>
        <w:rPr>
          <w:b/>
        </w:rPr>
      </w:pPr>
    </w:p>
    <w:p>
      <w:pPr>
        <w:pStyle w:val="ListParagraph"/>
        <w:numPr>
          <w:ilvl w:val="0"/>
          <w:numId w:val="28"/>
        </w:numPr>
        <w:tabs>
          <w:tab w:pos="983" w:val="left" w:leader="none"/>
        </w:tabs>
        <w:spacing w:line="240" w:lineRule="auto" w:before="0" w:after="0"/>
        <w:ind w:left="983" w:right="0" w:hanging="240"/>
        <w:jc w:val="left"/>
        <w:rPr>
          <w:b/>
          <w:sz w:val="24"/>
        </w:rPr>
      </w:pPr>
      <w:r>
        <w:rPr>
          <w:b/>
          <w:sz w:val="24"/>
        </w:rPr>
        <w:t>Uji</w:t>
      </w:r>
      <w:r>
        <w:rPr>
          <w:b/>
          <w:spacing w:val="-2"/>
          <w:sz w:val="24"/>
        </w:rPr>
        <w:t> </w:t>
      </w:r>
      <w:r>
        <w:rPr>
          <w:b/>
          <w:spacing w:val="-10"/>
          <w:sz w:val="24"/>
        </w:rPr>
        <w:t>T</w:t>
      </w:r>
    </w:p>
    <w:p>
      <w:pPr>
        <w:pStyle w:val="BodyText"/>
        <w:spacing w:before="18"/>
        <w:rPr>
          <w:b/>
          <w:sz w:val="20"/>
        </w:rPr>
      </w:pPr>
      <w:r>
        <w:rPr>
          <w:b/>
          <w:sz w:val="20"/>
        </w:rPr>
        <mc:AlternateContent>
          <mc:Choice Requires="wps">
            <w:drawing>
              <wp:anchor distT="0" distB="0" distL="0" distR="0" allowOverlap="1" layoutInCell="1" locked="0" behindDoc="1" simplePos="0" relativeHeight="487628288">
                <wp:simplePos x="0" y="0"/>
                <wp:positionH relativeFrom="page">
                  <wp:posOffset>1713230</wp:posOffset>
                </wp:positionH>
                <wp:positionV relativeFrom="paragraph">
                  <wp:posOffset>173270</wp:posOffset>
                </wp:positionV>
                <wp:extent cx="4149725" cy="27940"/>
                <wp:effectExtent l="0" t="0" r="0" b="0"/>
                <wp:wrapTopAndBottom/>
                <wp:docPr id="390" name="Graphic 390"/>
                <wp:cNvGraphicFramePr>
                  <a:graphicFrameLocks/>
                </wp:cNvGraphicFramePr>
                <a:graphic>
                  <a:graphicData uri="http://schemas.microsoft.com/office/word/2010/wordprocessingShape">
                    <wps:wsp>
                      <wps:cNvPr id="390" name="Graphic 390"/>
                      <wps:cNvSpPr/>
                      <wps:spPr>
                        <a:xfrm>
                          <a:off x="0" y="0"/>
                          <a:ext cx="4149725" cy="27940"/>
                        </a:xfrm>
                        <a:custGeom>
                          <a:avLst/>
                          <a:gdLst/>
                          <a:ahLst/>
                          <a:cxnLst/>
                          <a:rect l="l" t="t" r="r" b="b"/>
                          <a:pathLst>
                            <a:path w="4149725" h="27940">
                              <a:moveTo>
                                <a:pt x="1281938" y="18275"/>
                              </a:moveTo>
                              <a:lnTo>
                                <a:pt x="0" y="18275"/>
                              </a:lnTo>
                              <a:lnTo>
                                <a:pt x="0" y="27419"/>
                              </a:lnTo>
                              <a:lnTo>
                                <a:pt x="1281938" y="27419"/>
                              </a:lnTo>
                              <a:lnTo>
                                <a:pt x="1281938" y="18275"/>
                              </a:lnTo>
                              <a:close/>
                            </a:path>
                            <a:path w="4149725" h="27940">
                              <a:moveTo>
                                <a:pt x="1281938" y="0"/>
                              </a:moveTo>
                              <a:lnTo>
                                <a:pt x="0" y="0"/>
                              </a:lnTo>
                              <a:lnTo>
                                <a:pt x="0" y="9131"/>
                              </a:lnTo>
                              <a:lnTo>
                                <a:pt x="1281938" y="9131"/>
                              </a:lnTo>
                              <a:lnTo>
                                <a:pt x="1281938" y="0"/>
                              </a:lnTo>
                              <a:close/>
                            </a:path>
                            <a:path w="4149725" h="27940">
                              <a:moveTo>
                                <a:pt x="3514966" y="18275"/>
                              </a:moveTo>
                              <a:lnTo>
                                <a:pt x="3514966" y="18275"/>
                              </a:lnTo>
                              <a:lnTo>
                                <a:pt x="1282065" y="18275"/>
                              </a:lnTo>
                              <a:lnTo>
                                <a:pt x="1282065" y="27419"/>
                              </a:lnTo>
                              <a:lnTo>
                                <a:pt x="3514966" y="27419"/>
                              </a:lnTo>
                              <a:lnTo>
                                <a:pt x="3514966" y="18275"/>
                              </a:lnTo>
                              <a:close/>
                            </a:path>
                            <a:path w="4149725" h="27940">
                              <a:moveTo>
                                <a:pt x="3514966" y="0"/>
                              </a:moveTo>
                              <a:lnTo>
                                <a:pt x="3514966" y="0"/>
                              </a:lnTo>
                              <a:lnTo>
                                <a:pt x="1282065" y="0"/>
                              </a:lnTo>
                              <a:lnTo>
                                <a:pt x="1282065" y="9131"/>
                              </a:lnTo>
                              <a:lnTo>
                                <a:pt x="3514966" y="9131"/>
                              </a:lnTo>
                              <a:lnTo>
                                <a:pt x="3514966" y="0"/>
                              </a:lnTo>
                              <a:close/>
                            </a:path>
                            <a:path w="4149725" h="27940">
                              <a:moveTo>
                                <a:pt x="4149267" y="18275"/>
                              </a:moveTo>
                              <a:lnTo>
                                <a:pt x="3566795" y="18275"/>
                              </a:lnTo>
                              <a:lnTo>
                                <a:pt x="3514979" y="18275"/>
                              </a:lnTo>
                              <a:lnTo>
                                <a:pt x="3514979" y="27419"/>
                              </a:lnTo>
                              <a:lnTo>
                                <a:pt x="3566795" y="27419"/>
                              </a:lnTo>
                              <a:lnTo>
                                <a:pt x="4149267" y="27419"/>
                              </a:lnTo>
                              <a:lnTo>
                                <a:pt x="4149267" y="18275"/>
                              </a:lnTo>
                              <a:close/>
                            </a:path>
                            <a:path w="4149725" h="27940">
                              <a:moveTo>
                                <a:pt x="4149267" y="0"/>
                              </a:moveTo>
                              <a:lnTo>
                                <a:pt x="3566795" y="0"/>
                              </a:lnTo>
                              <a:lnTo>
                                <a:pt x="3514979" y="0"/>
                              </a:lnTo>
                              <a:lnTo>
                                <a:pt x="3514979" y="9131"/>
                              </a:lnTo>
                              <a:lnTo>
                                <a:pt x="3566795" y="9131"/>
                              </a:lnTo>
                              <a:lnTo>
                                <a:pt x="4149267" y="9131"/>
                              </a:lnTo>
                              <a:lnTo>
                                <a:pt x="41492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4.900009pt;margin-top:13.64333pt;width:326.75pt;height:2.2pt;mso-position-horizontal-relative:page;mso-position-vertical-relative:paragraph;z-index:-15688192;mso-wrap-distance-left:0;mso-wrap-distance-right:0" id="docshape362" coordorigin="2698,273" coordsize="6535,44" path="m4717,302l2698,302,2698,316,4717,316,4717,302xm4717,273l2698,273,2698,287,4717,287,4717,273xm8233,302l7108,302,7026,302,7026,302,5900,302,5819,302,4799,302,4717,302,4717,316,4799,316,5819,316,5900,316,7026,316,7026,316,7108,316,8233,316,8233,302xm8233,273l7108,273,7026,273,7026,273,5900,273,5819,273,4799,273,4717,273,4717,287,4799,287,5819,287,5900,287,7026,287,7026,287,7108,287,8233,287,8233,273xm9232,302l8315,302,8233,302,8233,316,8315,316,9232,316,9232,302xm9232,273l8315,273,8233,273,8233,287,8315,287,9232,287,9232,273xe" filled="true" fillcolor="#000000" stroked="false">
                <v:path arrowok="t"/>
                <v:fill type="solid"/>
                <w10:wrap type="topAndBottom"/>
              </v:shape>
            </w:pict>
          </mc:Fallback>
        </mc:AlternateContent>
      </w:r>
    </w:p>
    <w:p>
      <w:pPr>
        <w:pStyle w:val="BodyText"/>
        <w:tabs>
          <w:tab w:pos="3299" w:val="left" w:leader="none"/>
          <w:tab w:pos="5609" w:val="left" w:leader="none"/>
          <w:tab w:pos="6816" w:val="left" w:leader="none"/>
        </w:tabs>
        <w:spacing w:before="90"/>
        <w:ind w:left="1281"/>
      </w:pPr>
      <w:r>
        <w:rPr>
          <w:spacing w:val="-2"/>
        </w:rPr>
        <w:t>Variable</w:t>
      </w:r>
      <w:r>
        <w:rPr/>
        <w:tab/>
        <w:t>Coefficient</w:t>
      </w:r>
      <w:r>
        <w:rPr>
          <w:spacing w:val="-38"/>
        </w:rPr>
        <w:t> </w:t>
      </w:r>
      <w:r>
        <w:rPr/>
        <w:t>Std.</w:t>
      </w:r>
      <w:r>
        <w:rPr>
          <w:spacing w:val="-4"/>
        </w:rPr>
        <w:t> Error</w:t>
      </w:r>
      <w:r>
        <w:rPr/>
        <w:tab/>
      </w:r>
      <w:r>
        <w:rPr>
          <w:spacing w:val="-2"/>
        </w:rPr>
        <w:t>t-Statistic</w:t>
      </w:r>
      <w:r>
        <w:rPr/>
        <w:tab/>
      </w:r>
      <w:r>
        <w:rPr>
          <w:spacing w:val="-2"/>
        </w:rPr>
        <w:t>Prob.</w:t>
      </w:r>
    </w:p>
    <w:p>
      <w:pPr>
        <w:pStyle w:val="BodyText"/>
        <w:spacing w:before="64"/>
        <w:rPr>
          <w:sz w:val="20"/>
        </w:rPr>
      </w:pPr>
    </w:p>
    <w:tbl>
      <w:tblPr>
        <w:tblW w:w="0" w:type="auto"/>
        <w:jc w:val="left"/>
        <w:tblInd w:w="1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82"/>
        <w:gridCol w:w="1578"/>
        <w:gridCol w:w="1115"/>
        <w:gridCol w:w="1247"/>
        <w:gridCol w:w="1113"/>
      </w:tblGrid>
      <w:tr>
        <w:trPr>
          <w:trHeight w:val="462" w:hRule="atLeast"/>
        </w:trPr>
        <w:tc>
          <w:tcPr>
            <w:tcW w:w="1482" w:type="dxa"/>
            <w:tcBorders>
              <w:top w:val="double" w:sz="6" w:space="0" w:color="000000"/>
            </w:tcBorders>
          </w:tcPr>
          <w:p>
            <w:pPr>
              <w:pStyle w:val="TableParagraph"/>
              <w:spacing w:line="240" w:lineRule="auto" w:before="92"/>
              <w:ind w:left="0"/>
              <w:rPr>
                <w:sz w:val="24"/>
              </w:rPr>
            </w:pPr>
            <w:r>
              <w:rPr>
                <w:spacing w:val="-10"/>
                <w:sz w:val="24"/>
              </w:rPr>
              <w:t>C</w:t>
            </w:r>
          </w:p>
        </w:tc>
        <w:tc>
          <w:tcPr>
            <w:tcW w:w="1578" w:type="dxa"/>
            <w:tcBorders>
              <w:top w:val="double" w:sz="6" w:space="0" w:color="000000"/>
            </w:tcBorders>
          </w:tcPr>
          <w:p>
            <w:pPr>
              <w:pStyle w:val="TableParagraph"/>
              <w:spacing w:line="240" w:lineRule="auto" w:before="92"/>
              <w:ind w:left="0" w:right="59"/>
              <w:jc w:val="right"/>
              <w:rPr>
                <w:sz w:val="24"/>
              </w:rPr>
            </w:pPr>
            <w:r>
              <w:rPr>
                <w:spacing w:val="-2"/>
                <w:sz w:val="24"/>
              </w:rPr>
              <w:t>-3.118369</w:t>
            </w:r>
          </w:p>
        </w:tc>
        <w:tc>
          <w:tcPr>
            <w:tcW w:w="1115" w:type="dxa"/>
            <w:tcBorders>
              <w:top w:val="double" w:sz="6" w:space="0" w:color="000000"/>
            </w:tcBorders>
          </w:tcPr>
          <w:p>
            <w:pPr>
              <w:pStyle w:val="TableParagraph"/>
              <w:spacing w:line="240" w:lineRule="auto" w:before="92"/>
              <w:ind w:left="0" w:right="91"/>
              <w:jc w:val="center"/>
              <w:rPr>
                <w:sz w:val="24"/>
              </w:rPr>
            </w:pPr>
            <w:r>
              <w:rPr>
                <w:spacing w:val="-2"/>
                <w:sz w:val="24"/>
              </w:rPr>
              <w:t>2.371615</w:t>
            </w:r>
          </w:p>
        </w:tc>
        <w:tc>
          <w:tcPr>
            <w:tcW w:w="1247" w:type="dxa"/>
            <w:tcBorders>
              <w:top w:val="double" w:sz="6" w:space="0" w:color="000000"/>
            </w:tcBorders>
          </w:tcPr>
          <w:p>
            <w:pPr>
              <w:pStyle w:val="TableParagraph"/>
              <w:spacing w:line="240" w:lineRule="auto" w:before="92"/>
              <w:ind w:left="76" w:right="38"/>
              <w:jc w:val="center"/>
              <w:rPr>
                <w:sz w:val="24"/>
              </w:rPr>
            </w:pPr>
            <w:r>
              <w:rPr>
                <w:spacing w:val="-2"/>
                <w:sz w:val="24"/>
              </w:rPr>
              <w:t>-1.314872</w:t>
            </w:r>
          </w:p>
        </w:tc>
        <w:tc>
          <w:tcPr>
            <w:tcW w:w="1113" w:type="dxa"/>
            <w:tcBorders>
              <w:top w:val="double" w:sz="6" w:space="0" w:color="000000"/>
            </w:tcBorders>
          </w:tcPr>
          <w:p>
            <w:pPr>
              <w:pStyle w:val="TableParagraph"/>
              <w:spacing w:line="240" w:lineRule="auto" w:before="92"/>
              <w:ind w:left="113"/>
              <w:rPr>
                <w:sz w:val="24"/>
              </w:rPr>
            </w:pPr>
            <w:r>
              <w:rPr>
                <w:spacing w:val="-2"/>
                <w:sz w:val="24"/>
              </w:rPr>
              <w:t>0.1940</w:t>
            </w:r>
          </w:p>
        </w:tc>
      </w:tr>
      <w:tr>
        <w:trPr>
          <w:trHeight w:val="457" w:hRule="atLeast"/>
        </w:trPr>
        <w:tc>
          <w:tcPr>
            <w:tcW w:w="1482" w:type="dxa"/>
          </w:tcPr>
          <w:p>
            <w:pPr>
              <w:pStyle w:val="TableParagraph"/>
              <w:spacing w:line="240" w:lineRule="auto" w:before="85"/>
              <w:ind w:left="0"/>
              <w:rPr>
                <w:sz w:val="24"/>
              </w:rPr>
            </w:pPr>
            <w:r>
              <w:rPr>
                <w:spacing w:val="-2"/>
                <w:sz w:val="24"/>
              </w:rPr>
              <w:t>LOG(X1)</w:t>
            </w:r>
          </w:p>
        </w:tc>
        <w:tc>
          <w:tcPr>
            <w:tcW w:w="1578" w:type="dxa"/>
          </w:tcPr>
          <w:p>
            <w:pPr>
              <w:pStyle w:val="TableParagraph"/>
              <w:spacing w:line="240" w:lineRule="auto" w:before="85"/>
              <w:ind w:left="0" w:right="140"/>
              <w:jc w:val="right"/>
              <w:rPr>
                <w:sz w:val="24"/>
              </w:rPr>
            </w:pPr>
            <w:r>
              <w:rPr>
                <w:spacing w:val="-2"/>
                <w:sz w:val="24"/>
              </w:rPr>
              <w:t>0.423724</w:t>
            </w:r>
          </w:p>
        </w:tc>
        <w:tc>
          <w:tcPr>
            <w:tcW w:w="1115" w:type="dxa"/>
          </w:tcPr>
          <w:p>
            <w:pPr>
              <w:pStyle w:val="TableParagraph"/>
              <w:spacing w:line="240" w:lineRule="auto" w:before="85"/>
              <w:ind w:left="0" w:right="91"/>
              <w:jc w:val="center"/>
              <w:rPr>
                <w:sz w:val="24"/>
              </w:rPr>
            </w:pPr>
            <w:r>
              <w:rPr>
                <w:spacing w:val="-2"/>
                <w:sz w:val="24"/>
              </w:rPr>
              <w:t>0.100708</w:t>
            </w:r>
          </w:p>
        </w:tc>
        <w:tc>
          <w:tcPr>
            <w:tcW w:w="1247" w:type="dxa"/>
          </w:tcPr>
          <w:p>
            <w:pPr>
              <w:pStyle w:val="TableParagraph"/>
              <w:spacing w:line="240" w:lineRule="auto" w:before="85"/>
              <w:ind w:left="38" w:right="76"/>
              <w:jc w:val="center"/>
              <w:rPr>
                <w:sz w:val="24"/>
              </w:rPr>
            </w:pPr>
            <w:r>
              <w:rPr>
                <w:spacing w:val="-2"/>
                <w:sz w:val="24"/>
              </w:rPr>
              <w:t>4.207465</w:t>
            </w:r>
          </w:p>
        </w:tc>
        <w:tc>
          <w:tcPr>
            <w:tcW w:w="1113" w:type="dxa"/>
          </w:tcPr>
          <w:p>
            <w:pPr>
              <w:pStyle w:val="TableParagraph"/>
              <w:spacing w:line="240" w:lineRule="auto" w:before="85"/>
              <w:ind w:left="113"/>
              <w:rPr>
                <w:sz w:val="24"/>
              </w:rPr>
            </w:pPr>
            <w:r>
              <w:rPr>
                <w:spacing w:val="-2"/>
                <w:sz w:val="24"/>
              </w:rPr>
              <w:t>0.0001</w:t>
            </w:r>
          </w:p>
        </w:tc>
      </w:tr>
      <w:tr>
        <w:trPr>
          <w:trHeight w:val="458" w:hRule="atLeast"/>
        </w:trPr>
        <w:tc>
          <w:tcPr>
            <w:tcW w:w="1482" w:type="dxa"/>
          </w:tcPr>
          <w:p>
            <w:pPr>
              <w:pStyle w:val="TableParagraph"/>
              <w:spacing w:line="240" w:lineRule="auto" w:before="86"/>
              <w:ind w:left="0"/>
              <w:rPr>
                <w:sz w:val="24"/>
              </w:rPr>
            </w:pPr>
            <w:r>
              <w:rPr>
                <w:spacing w:val="-2"/>
                <w:sz w:val="24"/>
              </w:rPr>
              <w:t>LOG(X2)</w:t>
            </w:r>
          </w:p>
        </w:tc>
        <w:tc>
          <w:tcPr>
            <w:tcW w:w="1578" w:type="dxa"/>
          </w:tcPr>
          <w:p>
            <w:pPr>
              <w:pStyle w:val="TableParagraph"/>
              <w:spacing w:line="240" w:lineRule="auto" w:before="86"/>
              <w:ind w:left="0" w:right="140"/>
              <w:jc w:val="right"/>
              <w:rPr>
                <w:sz w:val="24"/>
              </w:rPr>
            </w:pPr>
            <w:r>
              <w:rPr>
                <w:spacing w:val="-2"/>
                <w:sz w:val="24"/>
              </w:rPr>
              <w:t>0.417918</w:t>
            </w:r>
          </w:p>
        </w:tc>
        <w:tc>
          <w:tcPr>
            <w:tcW w:w="1115" w:type="dxa"/>
          </w:tcPr>
          <w:p>
            <w:pPr>
              <w:pStyle w:val="TableParagraph"/>
              <w:spacing w:line="240" w:lineRule="auto" w:before="86"/>
              <w:ind w:left="0" w:right="91"/>
              <w:jc w:val="center"/>
              <w:rPr>
                <w:sz w:val="24"/>
              </w:rPr>
            </w:pPr>
            <w:r>
              <w:rPr>
                <w:spacing w:val="-2"/>
                <w:sz w:val="24"/>
              </w:rPr>
              <w:t>0.262263</w:t>
            </w:r>
          </w:p>
        </w:tc>
        <w:tc>
          <w:tcPr>
            <w:tcW w:w="1247" w:type="dxa"/>
          </w:tcPr>
          <w:p>
            <w:pPr>
              <w:pStyle w:val="TableParagraph"/>
              <w:spacing w:line="240" w:lineRule="auto" w:before="86"/>
              <w:ind w:left="38" w:right="76"/>
              <w:jc w:val="center"/>
              <w:rPr>
                <w:sz w:val="24"/>
              </w:rPr>
            </w:pPr>
            <w:r>
              <w:rPr>
                <w:spacing w:val="-2"/>
                <w:sz w:val="24"/>
              </w:rPr>
              <w:t>1.593509</w:t>
            </w:r>
          </w:p>
        </w:tc>
        <w:tc>
          <w:tcPr>
            <w:tcW w:w="1113" w:type="dxa"/>
          </w:tcPr>
          <w:p>
            <w:pPr>
              <w:pStyle w:val="TableParagraph"/>
              <w:spacing w:line="240" w:lineRule="auto" w:before="86"/>
              <w:ind w:left="113"/>
              <w:rPr>
                <w:sz w:val="24"/>
              </w:rPr>
            </w:pPr>
            <w:r>
              <w:rPr>
                <w:spacing w:val="-2"/>
                <w:sz w:val="24"/>
              </w:rPr>
              <w:t>0.1168</w:t>
            </w:r>
          </w:p>
        </w:tc>
      </w:tr>
      <w:tr>
        <w:trPr>
          <w:trHeight w:val="458" w:hRule="atLeast"/>
        </w:trPr>
        <w:tc>
          <w:tcPr>
            <w:tcW w:w="1482" w:type="dxa"/>
          </w:tcPr>
          <w:p>
            <w:pPr>
              <w:pStyle w:val="TableParagraph"/>
              <w:spacing w:line="240" w:lineRule="auto" w:before="86"/>
              <w:ind w:left="0"/>
              <w:rPr>
                <w:sz w:val="24"/>
              </w:rPr>
            </w:pPr>
            <w:r>
              <w:rPr>
                <w:spacing w:val="-5"/>
                <w:sz w:val="24"/>
              </w:rPr>
              <w:t>X3</w:t>
            </w:r>
          </w:p>
        </w:tc>
        <w:tc>
          <w:tcPr>
            <w:tcW w:w="1578" w:type="dxa"/>
          </w:tcPr>
          <w:p>
            <w:pPr>
              <w:pStyle w:val="TableParagraph"/>
              <w:spacing w:line="240" w:lineRule="auto" w:before="86"/>
              <w:ind w:left="0" w:right="140"/>
              <w:jc w:val="right"/>
              <w:rPr>
                <w:sz w:val="24"/>
              </w:rPr>
            </w:pPr>
            <w:r>
              <w:rPr>
                <w:spacing w:val="-2"/>
                <w:sz w:val="24"/>
              </w:rPr>
              <w:t>0.005605</w:t>
            </w:r>
          </w:p>
        </w:tc>
        <w:tc>
          <w:tcPr>
            <w:tcW w:w="1115" w:type="dxa"/>
          </w:tcPr>
          <w:p>
            <w:pPr>
              <w:pStyle w:val="TableParagraph"/>
              <w:spacing w:line="240" w:lineRule="auto" w:before="86"/>
              <w:ind w:left="0" w:right="91"/>
              <w:jc w:val="center"/>
              <w:rPr>
                <w:sz w:val="24"/>
              </w:rPr>
            </w:pPr>
            <w:r>
              <w:rPr>
                <w:spacing w:val="-2"/>
                <w:sz w:val="24"/>
              </w:rPr>
              <w:t>0.009170</w:t>
            </w:r>
          </w:p>
        </w:tc>
        <w:tc>
          <w:tcPr>
            <w:tcW w:w="1247" w:type="dxa"/>
          </w:tcPr>
          <w:p>
            <w:pPr>
              <w:pStyle w:val="TableParagraph"/>
              <w:spacing w:line="240" w:lineRule="auto" w:before="86"/>
              <w:ind w:left="38" w:right="76"/>
              <w:jc w:val="center"/>
              <w:rPr>
                <w:sz w:val="24"/>
              </w:rPr>
            </w:pPr>
            <w:r>
              <w:rPr>
                <w:spacing w:val="-2"/>
                <w:sz w:val="24"/>
              </w:rPr>
              <w:t>0.611198</w:t>
            </w:r>
          </w:p>
        </w:tc>
        <w:tc>
          <w:tcPr>
            <w:tcW w:w="1113" w:type="dxa"/>
          </w:tcPr>
          <w:p>
            <w:pPr>
              <w:pStyle w:val="TableParagraph"/>
              <w:spacing w:line="240" w:lineRule="auto" w:before="86"/>
              <w:ind w:left="113"/>
              <w:rPr>
                <w:sz w:val="24"/>
              </w:rPr>
            </w:pPr>
            <w:r>
              <w:rPr>
                <w:spacing w:val="-2"/>
                <w:sz w:val="24"/>
              </w:rPr>
              <w:t>0.5436</w:t>
            </w:r>
          </w:p>
        </w:tc>
      </w:tr>
      <w:tr>
        <w:trPr>
          <w:trHeight w:val="362" w:hRule="atLeast"/>
        </w:trPr>
        <w:tc>
          <w:tcPr>
            <w:tcW w:w="1482" w:type="dxa"/>
          </w:tcPr>
          <w:p>
            <w:pPr>
              <w:pStyle w:val="TableParagraph"/>
              <w:spacing w:line="256" w:lineRule="exact" w:before="86"/>
              <w:ind w:left="0"/>
              <w:rPr>
                <w:sz w:val="24"/>
              </w:rPr>
            </w:pPr>
            <w:r>
              <w:rPr>
                <w:spacing w:val="-2"/>
                <w:sz w:val="24"/>
              </w:rPr>
              <w:t>LOG(X4)</w:t>
            </w:r>
          </w:p>
        </w:tc>
        <w:tc>
          <w:tcPr>
            <w:tcW w:w="1578" w:type="dxa"/>
          </w:tcPr>
          <w:p>
            <w:pPr>
              <w:pStyle w:val="TableParagraph"/>
              <w:spacing w:line="256" w:lineRule="exact" w:before="86"/>
              <w:ind w:left="0" w:right="140"/>
              <w:jc w:val="right"/>
              <w:rPr>
                <w:sz w:val="24"/>
              </w:rPr>
            </w:pPr>
            <w:r>
              <w:rPr>
                <w:spacing w:val="-2"/>
                <w:sz w:val="24"/>
              </w:rPr>
              <w:t>0.469894</w:t>
            </w:r>
          </w:p>
        </w:tc>
        <w:tc>
          <w:tcPr>
            <w:tcW w:w="1115" w:type="dxa"/>
          </w:tcPr>
          <w:p>
            <w:pPr>
              <w:pStyle w:val="TableParagraph"/>
              <w:spacing w:line="256" w:lineRule="exact" w:before="86"/>
              <w:ind w:left="0" w:right="91"/>
              <w:jc w:val="center"/>
              <w:rPr>
                <w:sz w:val="24"/>
              </w:rPr>
            </w:pPr>
            <w:r>
              <w:rPr>
                <w:spacing w:val="-2"/>
                <w:sz w:val="24"/>
              </w:rPr>
              <w:t>0.163297</w:t>
            </w:r>
          </w:p>
        </w:tc>
        <w:tc>
          <w:tcPr>
            <w:tcW w:w="1247" w:type="dxa"/>
          </w:tcPr>
          <w:p>
            <w:pPr>
              <w:pStyle w:val="TableParagraph"/>
              <w:spacing w:line="256" w:lineRule="exact" w:before="86"/>
              <w:ind w:left="38" w:right="76"/>
              <w:jc w:val="center"/>
              <w:rPr>
                <w:sz w:val="24"/>
              </w:rPr>
            </w:pPr>
            <w:r>
              <w:rPr>
                <w:spacing w:val="-2"/>
                <w:sz w:val="24"/>
              </w:rPr>
              <w:t>2.877535</w:t>
            </w:r>
          </w:p>
        </w:tc>
        <w:tc>
          <w:tcPr>
            <w:tcW w:w="1113" w:type="dxa"/>
          </w:tcPr>
          <w:p>
            <w:pPr>
              <w:pStyle w:val="TableParagraph"/>
              <w:spacing w:line="256" w:lineRule="exact" w:before="86"/>
              <w:ind w:left="113"/>
              <w:rPr>
                <w:sz w:val="24"/>
              </w:rPr>
            </w:pPr>
            <w:r>
              <w:rPr>
                <w:spacing w:val="-2"/>
                <w:sz w:val="24"/>
              </w:rPr>
              <w:t>0.0057</w:t>
            </w:r>
          </w:p>
        </w:tc>
      </w:tr>
    </w:tbl>
    <w:p>
      <w:pPr>
        <w:pStyle w:val="BodyText"/>
        <w:spacing w:before="9"/>
        <w:rPr>
          <w:sz w:val="19"/>
        </w:rPr>
      </w:pPr>
      <w:r>
        <w:rPr>
          <w:sz w:val="19"/>
        </w:rPr>
        <mc:AlternateContent>
          <mc:Choice Requires="wps">
            <w:drawing>
              <wp:anchor distT="0" distB="0" distL="0" distR="0" allowOverlap="1" layoutInCell="1" locked="0" behindDoc="1" simplePos="0" relativeHeight="487628800">
                <wp:simplePos x="0" y="0"/>
                <wp:positionH relativeFrom="page">
                  <wp:posOffset>1713230</wp:posOffset>
                </wp:positionH>
                <wp:positionV relativeFrom="paragraph">
                  <wp:posOffset>159691</wp:posOffset>
                </wp:positionV>
                <wp:extent cx="4149725" cy="27940"/>
                <wp:effectExtent l="0" t="0" r="0" b="0"/>
                <wp:wrapTopAndBottom/>
                <wp:docPr id="391" name="Graphic 391"/>
                <wp:cNvGraphicFramePr>
                  <a:graphicFrameLocks/>
                </wp:cNvGraphicFramePr>
                <a:graphic>
                  <a:graphicData uri="http://schemas.microsoft.com/office/word/2010/wordprocessingShape">
                    <wps:wsp>
                      <wps:cNvPr id="391" name="Graphic 391"/>
                      <wps:cNvSpPr/>
                      <wps:spPr>
                        <a:xfrm>
                          <a:off x="0" y="0"/>
                          <a:ext cx="4149725" cy="27940"/>
                        </a:xfrm>
                        <a:custGeom>
                          <a:avLst/>
                          <a:gdLst/>
                          <a:ahLst/>
                          <a:cxnLst/>
                          <a:rect l="l" t="t" r="r" b="b"/>
                          <a:pathLst>
                            <a:path w="4149725" h="27940">
                              <a:moveTo>
                                <a:pt x="1281938" y="18288"/>
                              </a:moveTo>
                              <a:lnTo>
                                <a:pt x="0" y="18288"/>
                              </a:lnTo>
                              <a:lnTo>
                                <a:pt x="0" y="27432"/>
                              </a:lnTo>
                              <a:lnTo>
                                <a:pt x="1281938" y="27432"/>
                              </a:lnTo>
                              <a:lnTo>
                                <a:pt x="1281938" y="18288"/>
                              </a:lnTo>
                              <a:close/>
                            </a:path>
                            <a:path w="4149725" h="27940">
                              <a:moveTo>
                                <a:pt x="1281938" y="0"/>
                              </a:moveTo>
                              <a:lnTo>
                                <a:pt x="0" y="0"/>
                              </a:lnTo>
                              <a:lnTo>
                                <a:pt x="0" y="9144"/>
                              </a:lnTo>
                              <a:lnTo>
                                <a:pt x="1281938" y="9144"/>
                              </a:lnTo>
                              <a:lnTo>
                                <a:pt x="1281938" y="0"/>
                              </a:lnTo>
                              <a:close/>
                            </a:path>
                            <a:path w="4149725" h="27940">
                              <a:moveTo>
                                <a:pt x="3514966" y="18288"/>
                              </a:moveTo>
                              <a:lnTo>
                                <a:pt x="3514966" y="18288"/>
                              </a:lnTo>
                              <a:lnTo>
                                <a:pt x="1282065" y="18288"/>
                              </a:lnTo>
                              <a:lnTo>
                                <a:pt x="1282065" y="27432"/>
                              </a:lnTo>
                              <a:lnTo>
                                <a:pt x="3514966" y="27432"/>
                              </a:lnTo>
                              <a:lnTo>
                                <a:pt x="3514966" y="18288"/>
                              </a:lnTo>
                              <a:close/>
                            </a:path>
                            <a:path w="4149725" h="27940">
                              <a:moveTo>
                                <a:pt x="3514966" y="0"/>
                              </a:moveTo>
                              <a:lnTo>
                                <a:pt x="3514966" y="0"/>
                              </a:lnTo>
                              <a:lnTo>
                                <a:pt x="1282065" y="0"/>
                              </a:lnTo>
                              <a:lnTo>
                                <a:pt x="1282065" y="9144"/>
                              </a:lnTo>
                              <a:lnTo>
                                <a:pt x="3514966" y="9144"/>
                              </a:lnTo>
                              <a:lnTo>
                                <a:pt x="3514966" y="0"/>
                              </a:lnTo>
                              <a:close/>
                            </a:path>
                            <a:path w="4149725" h="27940">
                              <a:moveTo>
                                <a:pt x="4149267" y="18288"/>
                              </a:moveTo>
                              <a:lnTo>
                                <a:pt x="3566795" y="18288"/>
                              </a:lnTo>
                              <a:lnTo>
                                <a:pt x="3514979" y="18288"/>
                              </a:lnTo>
                              <a:lnTo>
                                <a:pt x="3514979" y="27432"/>
                              </a:lnTo>
                              <a:lnTo>
                                <a:pt x="3566795" y="27432"/>
                              </a:lnTo>
                              <a:lnTo>
                                <a:pt x="4149267" y="27432"/>
                              </a:lnTo>
                              <a:lnTo>
                                <a:pt x="4149267" y="18288"/>
                              </a:lnTo>
                              <a:close/>
                            </a:path>
                            <a:path w="4149725" h="27940">
                              <a:moveTo>
                                <a:pt x="4149267" y="0"/>
                              </a:moveTo>
                              <a:lnTo>
                                <a:pt x="3566795" y="0"/>
                              </a:lnTo>
                              <a:lnTo>
                                <a:pt x="3514979" y="0"/>
                              </a:lnTo>
                              <a:lnTo>
                                <a:pt x="3514979" y="9144"/>
                              </a:lnTo>
                              <a:lnTo>
                                <a:pt x="3566795" y="9144"/>
                              </a:lnTo>
                              <a:lnTo>
                                <a:pt x="4149267" y="9144"/>
                              </a:lnTo>
                              <a:lnTo>
                                <a:pt x="41492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4.900009pt;margin-top:12.574096pt;width:326.75pt;height:2.2pt;mso-position-horizontal-relative:page;mso-position-vertical-relative:paragraph;z-index:-15687680;mso-wrap-distance-left:0;mso-wrap-distance-right:0" id="docshape363" coordorigin="2698,251" coordsize="6535,44" path="m4717,280l2698,280,2698,295,4717,295,4717,280xm4717,251l2698,251,2698,266,4717,266,4717,251xm8233,280l7108,280,7026,280,7026,280,5900,280,5819,280,4799,280,4717,280,4717,295,4799,295,5819,295,5900,295,7026,295,7026,295,7108,295,8233,295,8233,280xm8233,251l7108,251,7026,251,7026,251,5900,251,5819,251,4799,251,4717,251,4717,266,4799,266,5819,266,5900,266,7026,266,7026,266,7108,266,8233,266,8233,251xm9232,280l8315,280,8233,280,8233,295,8315,295,9232,295,9232,280xm9232,251l8315,251,8233,251,8233,266,8315,266,9232,266,9232,251xe" filled="true" fillcolor="#000000" stroked="false">
                <v:path arrowok="t"/>
                <v:fill type="solid"/>
                <w10:wrap type="topAndBottom"/>
              </v:shape>
            </w:pict>
          </mc:Fallback>
        </mc:AlternateContent>
      </w:r>
    </w:p>
    <w:p>
      <w:pPr>
        <w:pStyle w:val="BodyText"/>
        <w:spacing w:after="0"/>
        <w:rPr>
          <w:sz w:val="19"/>
        </w:rPr>
        <w:sectPr>
          <w:pgSz w:w="11910" w:h="16840"/>
          <w:pgMar w:header="0" w:footer="1000" w:top="1360" w:bottom="1200" w:left="1417" w:right="1275"/>
        </w:sectPr>
      </w:pPr>
    </w:p>
    <w:p>
      <w:pPr>
        <w:spacing w:line="388" w:lineRule="auto" w:before="60"/>
        <w:ind w:left="1379" w:right="4371" w:hanging="1356"/>
        <w:jc w:val="left"/>
        <w:rPr>
          <w:sz w:val="24"/>
        </w:rPr>
      </w:pPr>
      <w:r>
        <w:rPr>
          <w:b/>
          <w:sz w:val="24"/>
        </w:rPr>
        <w:t>Lampiran</w:t>
      </w:r>
      <w:r>
        <w:rPr>
          <w:b/>
          <w:spacing w:val="-8"/>
          <w:sz w:val="24"/>
        </w:rPr>
        <w:t> </w:t>
      </w:r>
      <w:r>
        <w:rPr>
          <w:b/>
          <w:sz w:val="24"/>
        </w:rPr>
        <w:t>5.</w:t>
      </w:r>
      <w:r>
        <w:rPr>
          <w:b/>
          <w:spacing w:val="-6"/>
          <w:sz w:val="24"/>
        </w:rPr>
        <w:t> </w:t>
      </w:r>
      <w:r>
        <w:rPr>
          <w:b/>
          <w:sz w:val="24"/>
        </w:rPr>
        <w:t>Analisis</w:t>
      </w:r>
      <w:r>
        <w:rPr>
          <w:b/>
          <w:spacing w:val="-8"/>
          <w:sz w:val="24"/>
        </w:rPr>
        <w:t> </w:t>
      </w:r>
      <w:r>
        <w:rPr>
          <w:b/>
          <w:sz w:val="24"/>
        </w:rPr>
        <w:t>Regresi</w:t>
      </w:r>
      <w:r>
        <w:rPr>
          <w:b/>
          <w:spacing w:val="-7"/>
          <w:sz w:val="24"/>
        </w:rPr>
        <w:t> </w:t>
      </w:r>
      <w:r>
        <w:rPr>
          <w:b/>
          <w:sz w:val="24"/>
        </w:rPr>
        <w:t>Linear</w:t>
      </w:r>
      <w:r>
        <w:rPr>
          <w:b/>
          <w:spacing w:val="-8"/>
          <w:sz w:val="24"/>
        </w:rPr>
        <w:t> </w:t>
      </w:r>
      <w:r>
        <w:rPr>
          <w:b/>
          <w:sz w:val="24"/>
        </w:rPr>
        <w:t>Berganda </w:t>
      </w:r>
      <w:r>
        <w:rPr>
          <w:sz w:val="24"/>
        </w:rPr>
        <w:t>Dependent Variable: LOG(Y) Method: Least Squares</w:t>
      </w:r>
    </w:p>
    <w:p>
      <w:pPr>
        <w:pStyle w:val="BodyText"/>
        <w:spacing w:line="379" w:lineRule="auto"/>
        <w:ind w:left="1379" w:right="4472"/>
      </w:pPr>
      <w:r>
        <w:rPr/>
        <w:t>Date:</w:t>
      </w:r>
      <w:r>
        <w:rPr>
          <w:spacing w:val="-7"/>
        </w:rPr>
        <w:t> </w:t>
      </w:r>
      <w:r>
        <w:rPr/>
        <w:t>06/07/25</w:t>
      </w:r>
      <w:r>
        <w:rPr>
          <w:spacing w:val="80"/>
        </w:rPr>
        <w:t> </w:t>
      </w:r>
      <w:r>
        <w:rPr/>
        <w:t>Time:</w:t>
      </w:r>
      <w:r>
        <w:rPr>
          <w:spacing w:val="-7"/>
        </w:rPr>
        <w:t> </w:t>
      </w:r>
      <w:r>
        <w:rPr/>
        <w:t>14:46 Sample:</w:t>
      </w:r>
      <w:r>
        <w:rPr>
          <w:spacing w:val="-3"/>
        </w:rPr>
        <w:t> </w:t>
      </w:r>
      <w:r>
        <w:rPr/>
        <w:t>2020M01</w:t>
      </w:r>
      <w:r>
        <w:rPr>
          <w:spacing w:val="-3"/>
        </w:rPr>
        <w:t> </w:t>
      </w:r>
      <w:r>
        <w:rPr>
          <w:spacing w:val="-2"/>
        </w:rPr>
        <w:t>2024M12</w:t>
      </w:r>
    </w:p>
    <w:p>
      <w:pPr>
        <w:pStyle w:val="BodyText"/>
        <w:spacing w:line="275" w:lineRule="exact"/>
        <w:ind w:left="1379"/>
      </w:pPr>
      <w:r>
        <w:rPr/>
        <w:t>Included</w:t>
      </w:r>
      <w:r>
        <w:rPr>
          <w:spacing w:val="-4"/>
        </w:rPr>
        <w:t> </w:t>
      </w:r>
      <w:r>
        <w:rPr/>
        <w:t>observations:</w:t>
      </w:r>
      <w:r>
        <w:rPr>
          <w:spacing w:val="-2"/>
        </w:rPr>
        <w:t> </w:t>
      </w:r>
      <w:r>
        <w:rPr>
          <w:spacing w:val="-5"/>
        </w:rPr>
        <w:t>60</w:t>
      </w:r>
    </w:p>
    <w:p>
      <w:pPr>
        <w:pStyle w:val="BodyText"/>
        <w:spacing w:before="34"/>
        <w:rPr>
          <w:sz w:val="20"/>
        </w:rPr>
      </w:pPr>
    </w:p>
    <w:tbl>
      <w:tblPr>
        <w:tblW w:w="0" w:type="auto"/>
        <w:jc w:val="left"/>
        <w:tblInd w:w="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74"/>
        <w:gridCol w:w="1482"/>
        <w:gridCol w:w="1495"/>
        <w:gridCol w:w="1505"/>
        <w:gridCol w:w="1212"/>
      </w:tblGrid>
      <w:tr>
        <w:trPr>
          <w:trHeight w:val="615" w:hRule="atLeast"/>
        </w:trPr>
        <w:tc>
          <w:tcPr>
            <w:tcW w:w="2074" w:type="dxa"/>
            <w:tcBorders>
              <w:top w:val="double" w:sz="6" w:space="0" w:color="000000"/>
              <w:bottom w:val="double" w:sz="6" w:space="0" w:color="000000"/>
            </w:tcBorders>
          </w:tcPr>
          <w:p>
            <w:pPr>
              <w:pStyle w:val="TableParagraph"/>
              <w:spacing w:line="240" w:lineRule="auto" w:before="89"/>
              <w:ind w:left="0"/>
              <w:rPr>
                <w:sz w:val="24"/>
              </w:rPr>
            </w:pPr>
            <w:r>
              <w:rPr>
                <w:spacing w:val="-2"/>
                <w:sz w:val="24"/>
              </w:rPr>
              <w:t>Variable</w:t>
            </w:r>
          </w:p>
        </w:tc>
        <w:tc>
          <w:tcPr>
            <w:tcW w:w="1482" w:type="dxa"/>
            <w:tcBorders>
              <w:top w:val="double" w:sz="6" w:space="0" w:color="000000"/>
              <w:bottom w:val="double" w:sz="6" w:space="0" w:color="000000"/>
            </w:tcBorders>
          </w:tcPr>
          <w:p>
            <w:pPr>
              <w:pStyle w:val="TableParagraph"/>
              <w:spacing w:line="240" w:lineRule="auto" w:before="89"/>
              <w:ind w:left="99" w:right="175"/>
              <w:jc w:val="center"/>
              <w:rPr>
                <w:sz w:val="24"/>
              </w:rPr>
            </w:pPr>
            <w:r>
              <w:rPr>
                <w:spacing w:val="-2"/>
                <w:sz w:val="24"/>
              </w:rPr>
              <w:t>Coefficient</w:t>
            </w:r>
          </w:p>
        </w:tc>
        <w:tc>
          <w:tcPr>
            <w:tcW w:w="1495" w:type="dxa"/>
            <w:tcBorders>
              <w:top w:val="double" w:sz="6" w:space="0" w:color="000000"/>
              <w:bottom w:val="double" w:sz="6" w:space="0" w:color="000000"/>
            </w:tcBorders>
          </w:tcPr>
          <w:p>
            <w:pPr>
              <w:pStyle w:val="TableParagraph"/>
              <w:spacing w:line="240" w:lineRule="auto" w:before="89"/>
              <w:ind w:left="46" w:right="110"/>
              <w:jc w:val="center"/>
              <w:rPr>
                <w:sz w:val="24"/>
              </w:rPr>
            </w:pPr>
            <w:r>
              <w:rPr>
                <w:sz w:val="24"/>
              </w:rPr>
              <w:t>Std. </w:t>
            </w:r>
            <w:r>
              <w:rPr>
                <w:spacing w:val="-2"/>
                <w:sz w:val="24"/>
              </w:rPr>
              <w:t>Error</w:t>
            </w:r>
          </w:p>
        </w:tc>
        <w:tc>
          <w:tcPr>
            <w:tcW w:w="1505" w:type="dxa"/>
            <w:tcBorders>
              <w:top w:val="double" w:sz="6" w:space="0" w:color="000000"/>
              <w:bottom w:val="double" w:sz="6" w:space="0" w:color="000000"/>
            </w:tcBorders>
          </w:tcPr>
          <w:p>
            <w:pPr>
              <w:pStyle w:val="TableParagraph"/>
              <w:spacing w:line="240" w:lineRule="auto" w:before="89"/>
              <w:ind w:left="87" w:right="57"/>
              <w:jc w:val="center"/>
              <w:rPr>
                <w:sz w:val="24"/>
              </w:rPr>
            </w:pPr>
            <w:r>
              <w:rPr>
                <w:spacing w:val="-2"/>
                <w:sz w:val="24"/>
              </w:rPr>
              <w:t>t-Statistic</w:t>
            </w:r>
          </w:p>
        </w:tc>
        <w:tc>
          <w:tcPr>
            <w:tcW w:w="1212" w:type="dxa"/>
            <w:tcBorders>
              <w:top w:val="double" w:sz="6" w:space="0" w:color="000000"/>
              <w:bottom w:val="double" w:sz="6" w:space="0" w:color="000000"/>
            </w:tcBorders>
          </w:tcPr>
          <w:p>
            <w:pPr>
              <w:pStyle w:val="TableParagraph"/>
              <w:spacing w:line="240" w:lineRule="auto" w:before="89"/>
              <w:ind w:left="218"/>
              <w:rPr>
                <w:sz w:val="24"/>
              </w:rPr>
            </w:pPr>
            <w:r>
              <w:rPr>
                <w:spacing w:val="-2"/>
                <w:sz w:val="24"/>
              </w:rPr>
              <w:t>Prob.</w:t>
            </w:r>
          </w:p>
        </w:tc>
      </w:tr>
      <w:tr>
        <w:trPr>
          <w:trHeight w:val="453" w:hRule="atLeast"/>
        </w:trPr>
        <w:tc>
          <w:tcPr>
            <w:tcW w:w="2074" w:type="dxa"/>
            <w:tcBorders>
              <w:top w:val="double" w:sz="6" w:space="0" w:color="000000"/>
            </w:tcBorders>
          </w:tcPr>
          <w:p>
            <w:pPr>
              <w:pStyle w:val="TableParagraph"/>
              <w:spacing w:line="240" w:lineRule="auto" w:before="92"/>
              <w:ind w:left="0"/>
              <w:rPr>
                <w:sz w:val="24"/>
              </w:rPr>
            </w:pPr>
            <w:r>
              <w:rPr>
                <w:spacing w:val="-10"/>
                <w:sz w:val="24"/>
              </w:rPr>
              <w:t>C</w:t>
            </w:r>
          </w:p>
        </w:tc>
        <w:tc>
          <w:tcPr>
            <w:tcW w:w="1482" w:type="dxa"/>
            <w:tcBorders>
              <w:top w:val="double" w:sz="6" w:space="0" w:color="000000"/>
            </w:tcBorders>
          </w:tcPr>
          <w:p>
            <w:pPr>
              <w:pStyle w:val="TableParagraph"/>
              <w:spacing w:line="240" w:lineRule="auto" w:before="92"/>
              <w:ind w:left="0" w:right="175"/>
              <w:jc w:val="center"/>
              <w:rPr>
                <w:sz w:val="24"/>
              </w:rPr>
            </w:pPr>
            <w:r>
              <w:rPr>
                <w:spacing w:val="-2"/>
                <w:sz w:val="24"/>
              </w:rPr>
              <w:t>-3.118369</w:t>
            </w:r>
          </w:p>
        </w:tc>
        <w:tc>
          <w:tcPr>
            <w:tcW w:w="1495" w:type="dxa"/>
            <w:tcBorders>
              <w:top w:val="double" w:sz="6" w:space="0" w:color="000000"/>
            </w:tcBorders>
          </w:tcPr>
          <w:p>
            <w:pPr>
              <w:pStyle w:val="TableParagraph"/>
              <w:spacing w:line="240" w:lineRule="auto" w:before="92"/>
              <w:ind w:left="0" w:right="110"/>
              <w:jc w:val="center"/>
              <w:rPr>
                <w:sz w:val="24"/>
              </w:rPr>
            </w:pPr>
            <w:r>
              <w:rPr>
                <w:spacing w:val="-2"/>
                <w:sz w:val="24"/>
              </w:rPr>
              <w:t>2.371615</w:t>
            </w:r>
          </w:p>
        </w:tc>
        <w:tc>
          <w:tcPr>
            <w:tcW w:w="1505" w:type="dxa"/>
            <w:tcBorders>
              <w:top w:val="double" w:sz="6" w:space="0" w:color="000000"/>
            </w:tcBorders>
          </w:tcPr>
          <w:p>
            <w:pPr>
              <w:pStyle w:val="TableParagraph"/>
              <w:spacing w:line="240" w:lineRule="auto" w:before="92"/>
              <w:ind w:left="87"/>
              <w:jc w:val="center"/>
              <w:rPr>
                <w:sz w:val="24"/>
              </w:rPr>
            </w:pPr>
            <w:r>
              <w:rPr>
                <w:spacing w:val="-2"/>
                <w:sz w:val="24"/>
              </w:rPr>
              <w:t>-1.314872</w:t>
            </w:r>
          </w:p>
        </w:tc>
        <w:tc>
          <w:tcPr>
            <w:tcW w:w="1212" w:type="dxa"/>
            <w:tcBorders>
              <w:top w:val="double" w:sz="6" w:space="0" w:color="000000"/>
            </w:tcBorders>
          </w:tcPr>
          <w:p>
            <w:pPr>
              <w:pStyle w:val="TableParagraph"/>
              <w:spacing w:line="240" w:lineRule="auto" w:before="92"/>
              <w:ind w:left="218"/>
              <w:rPr>
                <w:sz w:val="24"/>
              </w:rPr>
            </w:pPr>
            <w:r>
              <w:rPr>
                <w:spacing w:val="-2"/>
                <w:sz w:val="24"/>
              </w:rPr>
              <w:t>0.1940</w:t>
            </w:r>
          </w:p>
        </w:tc>
      </w:tr>
      <w:tr>
        <w:trPr>
          <w:trHeight w:val="435" w:hRule="atLeast"/>
        </w:trPr>
        <w:tc>
          <w:tcPr>
            <w:tcW w:w="2074" w:type="dxa"/>
          </w:tcPr>
          <w:p>
            <w:pPr>
              <w:pStyle w:val="TableParagraph"/>
              <w:spacing w:line="240" w:lineRule="auto" w:before="75"/>
              <w:ind w:left="0"/>
              <w:rPr>
                <w:sz w:val="24"/>
              </w:rPr>
            </w:pPr>
            <w:r>
              <w:rPr>
                <w:spacing w:val="-2"/>
                <w:sz w:val="24"/>
              </w:rPr>
              <w:t>LOG(X1)</w:t>
            </w:r>
          </w:p>
        </w:tc>
        <w:tc>
          <w:tcPr>
            <w:tcW w:w="1482" w:type="dxa"/>
          </w:tcPr>
          <w:p>
            <w:pPr>
              <w:pStyle w:val="TableParagraph"/>
              <w:spacing w:line="240" w:lineRule="auto" w:before="75"/>
              <w:ind w:left="0" w:right="253"/>
              <w:jc w:val="center"/>
              <w:rPr>
                <w:sz w:val="24"/>
              </w:rPr>
            </w:pPr>
            <w:r>
              <w:rPr>
                <w:spacing w:val="-2"/>
                <w:sz w:val="24"/>
              </w:rPr>
              <w:t>0.423724</w:t>
            </w:r>
          </w:p>
        </w:tc>
        <w:tc>
          <w:tcPr>
            <w:tcW w:w="1495" w:type="dxa"/>
          </w:tcPr>
          <w:p>
            <w:pPr>
              <w:pStyle w:val="TableParagraph"/>
              <w:spacing w:line="240" w:lineRule="auto" w:before="75"/>
              <w:ind w:left="0" w:right="110"/>
              <w:jc w:val="center"/>
              <w:rPr>
                <w:sz w:val="24"/>
              </w:rPr>
            </w:pPr>
            <w:r>
              <w:rPr>
                <w:spacing w:val="-2"/>
                <w:sz w:val="24"/>
              </w:rPr>
              <w:t>0.100708</w:t>
            </w:r>
          </w:p>
        </w:tc>
        <w:tc>
          <w:tcPr>
            <w:tcW w:w="1505" w:type="dxa"/>
          </w:tcPr>
          <w:p>
            <w:pPr>
              <w:pStyle w:val="TableParagraph"/>
              <w:spacing w:line="240" w:lineRule="auto" w:before="75"/>
              <w:ind w:left="87" w:right="79"/>
              <w:jc w:val="center"/>
              <w:rPr>
                <w:sz w:val="24"/>
              </w:rPr>
            </w:pPr>
            <w:r>
              <w:rPr>
                <w:spacing w:val="-2"/>
                <w:sz w:val="24"/>
              </w:rPr>
              <w:t>4.207465</w:t>
            </w:r>
          </w:p>
        </w:tc>
        <w:tc>
          <w:tcPr>
            <w:tcW w:w="1212" w:type="dxa"/>
          </w:tcPr>
          <w:p>
            <w:pPr>
              <w:pStyle w:val="TableParagraph"/>
              <w:spacing w:line="240" w:lineRule="auto" w:before="75"/>
              <w:ind w:left="218"/>
              <w:rPr>
                <w:sz w:val="24"/>
              </w:rPr>
            </w:pPr>
            <w:r>
              <w:rPr>
                <w:spacing w:val="-2"/>
                <w:sz w:val="24"/>
              </w:rPr>
              <w:t>0.0001</w:t>
            </w:r>
          </w:p>
        </w:tc>
      </w:tr>
      <w:tr>
        <w:trPr>
          <w:trHeight w:val="435" w:hRule="atLeast"/>
        </w:trPr>
        <w:tc>
          <w:tcPr>
            <w:tcW w:w="2074" w:type="dxa"/>
          </w:tcPr>
          <w:p>
            <w:pPr>
              <w:pStyle w:val="TableParagraph"/>
              <w:spacing w:line="240" w:lineRule="auto" w:before="74"/>
              <w:ind w:left="0"/>
              <w:rPr>
                <w:sz w:val="24"/>
              </w:rPr>
            </w:pPr>
            <w:r>
              <w:rPr>
                <w:spacing w:val="-2"/>
                <w:sz w:val="24"/>
              </w:rPr>
              <w:t>LOG(X2)</w:t>
            </w:r>
          </w:p>
        </w:tc>
        <w:tc>
          <w:tcPr>
            <w:tcW w:w="1482" w:type="dxa"/>
          </w:tcPr>
          <w:p>
            <w:pPr>
              <w:pStyle w:val="TableParagraph"/>
              <w:spacing w:line="240" w:lineRule="auto" w:before="74"/>
              <w:ind w:left="0" w:right="253"/>
              <w:jc w:val="center"/>
              <w:rPr>
                <w:sz w:val="24"/>
              </w:rPr>
            </w:pPr>
            <w:r>
              <w:rPr>
                <w:spacing w:val="-2"/>
                <w:sz w:val="24"/>
              </w:rPr>
              <w:t>0.417918</w:t>
            </w:r>
          </w:p>
        </w:tc>
        <w:tc>
          <w:tcPr>
            <w:tcW w:w="1495" w:type="dxa"/>
          </w:tcPr>
          <w:p>
            <w:pPr>
              <w:pStyle w:val="TableParagraph"/>
              <w:spacing w:line="240" w:lineRule="auto" w:before="74"/>
              <w:ind w:left="0" w:right="110"/>
              <w:jc w:val="center"/>
              <w:rPr>
                <w:sz w:val="24"/>
              </w:rPr>
            </w:pPr>
            <w:r>
              <w:rPr>
                <w:spacing w:val="-2"/>
                <w:sz w:val="24"/>
              </w:rPr>
              <w:t>0.262263</w:t>
            </w:r>
          </w:p>
        </w:tc>
        <w:tc>
          <w:tcPr>
            <w:tcW w:w="1505" w:type="dxa"/>
          </w:tcPr>
          <w:p>
            <w:pPr>
              <w:pStyle w:val="TableParagraph"/>
              <w:spacing w:line="240" w:lineRule="auto" w:before="74"/>
              <w:ind w:left="87" w:right="79"/>
              <w:jc w:val="center"/>
              <w:rPr>
                <w:sz w:val="24"/>
              </w:rPr>
            </w:pPr>
            <w:r>
              <w:rPr>
                <w:spacing w:val="-2"/>
                <w:sz w:val="24"/>
              </w:rPr>
              <w:t>1.593509</w:t>
            </w:r>
          </w:p>
        </w:tc>
        <w:tc>
          <w:tcPr>
            <w:tcW w:w="1212" w:type="dxa"/>
          </w:tcPr>
          <w:p>
            <w:pPr>
              <w:pStyle w:val="TableParagraph"/>
              <w:spacing w:line="240" w:lineRule="auto" w:before="74"/>
              <w:ind w:left="218"/>
              <w:rPr>
                <w:sz w:val="24"/>
              </w:rPr>
            </w:pPr>
            <w:r>
              <w:rPr>
                <w:spacing w:val="-2"/>
                <w:sz w:val="24"/>
              </w:rPr>
              <w:t>0.1168</w:t>
            </w:r>
          </w:p>
        </w:tc>
      </w:tr>
      <w:tr>
        <w:trPr>
          <w:trHeight w:val="436" w:hRule="atLeast"/>
        </w:trPr>
        <w:tc>
          <w:tcPr>
            <w:tcW w:w="2074" w:type="dxa"/>
          </w:tcPr>
          <w:p>
            <w:pPr>
              <w:pStyle w:val="TableParagraph"/>
              <w:spacing w:line="240" w:lineRule="auto" w:before="75"/>
              <w:ind w:left="0"/>
              <w:rPr>
                <w:sz w:val="24"/>
              </w:rPr>
            </w:pPr>
            <w:r>
              <w:rPr>
                <w:spacing w:val="-5"/>
                <w:sz w:val="24"/>
              </w:rPr>
              <w:t>X3</w:t>
            </w:r>
          </w:p>
        </w:tc>
        <w:tc>
          <w:tcPr>
            <w:tcW w:w="1482" w:type="dxa"/>
          </w:tcPr>
          <w:p>
            <w:pPr>
              <w:pStyle w:val="TableParagraph"/>
              <w:spacing w:line="240" w:lineRule="auto" w:before="75"/>
              <w:ind w:left="0" w:right="253"/>
              <w:jc w:val="center"/>
              <w:rPr>
                <w:sz w:val="24"/>
              </w:rPr>
            </w:pPr>
            <w:r>
              <w:rPr>
                <w:spacing w:val="-2"/>
                <w:sz w:val="24"/>
              </w:rPr>
              <w:t>0.005605</w:t>
            </w:r>
          </w:p>
        </w:tc>
        <w:tc>
          <w:tcPr>
            <w:tcW w:w="1495" w:type="dxa"/>
          </w:tcPr>
          <w:p>
            <w:pPr>
              <w:pStyle w:val="TableParagraph"/>
              <w:spacing w:line="240" w:lineRule="auto" w:before="75"/>
              <w:ind w:left="0" w:right="110"/>
              <w:jc w:val="center"/>
              <w:rPr>
                <w:sz w:val="24"/>
              </w:rPr>
            </w:pPr>
            <w:r>
              <w:rPr>
                <w:spacing w:val="-2"/>
                <w:sz w:val="24"/>
              </w:rPr>
              <w:t>0.009170</w:t>
            </w:r>
          </w:p>
        </w:tc>
        <w:tc>
          <w:tcPr>
            <w:tcW w:w="1505" w:type="dxa"/>
          </w:tcPr>
          <w:p>
            <w:pPr>
              <w:pStyle w:val="TableParagraph"/>
              <w:spacing w:line="240" w:lineRule="auto" w:before="75"/>
              <w:ind w:left="87" w:right="79"/>
              <w:jc w:val="center"/>
              <w:rPr>
                <w:sz w:val="24"/>
              </w:rPr>
            </w:pPr>
            <w:r>
              <w:rPr>
                <w:spacing w:val="-2"/>
                <w:sz w:val="24"/>
              </w:rPr>
              <w:t>0.611198</w:t>
            </w:r>
          </w:p>
        </w:tc>
        <w:tc>
          <w:tcPr>
            <w:tcW w:w="1212" w:type="dxa"/>
          </w:tcPr>
          <w:p>
            <w:pPr>
              <w:pStyle w:val="TableParagraph"/>
              <w:spacing w:line="240" w:lineRule="auto" w:before="75"/>
              <w:ind w:left="218"/>
              <w:rPr>
                <w:sz w:val="24"/>
              </w:rPr>
            </w:pPr>
            <w:r>
              <w:rPr>
                <w:spacing w:val="-2"/>
                <w:sz w:val="24"/>
              </w:rPr>
              <w:t>0.5436</w:t>
            </w:r>
          </w:p>
        </w:tc>
      </w:tr>
      <w:tr>
        <w:trPr>
          <w:trHeight w:val="600" w:hRule="atLeast"/>
        </w:trPr>
        <w:tc>
          <w:tcPr>
            <w:tcW w:w="2074" w:type="dxa"/>
          </w:tcPr>
          <w:p>
            <w:pPr>
              <w:pStyle w:val="TableParagraph"/>
              <w:spacing w:line="240" w:lineRule="auto" w:before="75"/>
              <w:ind w:left="0"/>
              <w:rPr>
                <w:sz w:val="24"/>
              </w:rPr>
            </w:pPr>
            <w:r>
              <w:rPr>
                <w:spacing w:val="-2"/>
                <w:sz w:val="24"/>
              </w:rPr>
              <w:t>LOG(X4)</w:t>
            </w:r>
          </w:p>
        </w:tc>
        <w:tc>
          <w:tcPr>
            <w:tcW w:w="1482" w:type="dxa"/>
          </w:tcPr>
          <w:p>
            <w:pPr>
              <w:pStyle w:val="TableParagraph"/>
              <w:spacing w:line="240" w:lineRule="auto" w:before="75"/>
              <w:ind w:left="0" w:right="253"/>
              <w:jc w:val="center"/>
              <w:rPr>
                <w:sz w:val="24"/>
              </w:rPr>
            </w:pPr>
            <w:r>
              <w:rPr>
                <w:spacing w:val="-2"/>
                <w:sz w:val="24"/>
              </w:rPr>
              <w:t>0.469894</w:t>
            </w:r>
          </w:p>
        </w:tc>
        <w:tc>
          <w:tcPr>
            <w:tcW w:w="1495" w:type="dxa"/>
          </w:tcPr>
          <w:p>
            <w:pPr>
              <w:pStyle w:val="TableParagraph"/>
              <w:spacing w:line="240" w:lineRule="auto" w:before="75"/>
              <w:ind w:left="0" w:right="110"/>
              <w:jc w:val="center"/>
              <w:rPr>
                <w:sz w:val="24"/>
              </w:rPr>
            </w:pPr>
            <w:r>
              <w:rPr>
                <w:spacing w:val="-2"/>
                <w:sz w:val="24"/>
              </w:rPr>
              <w:t>0.163297</w:t>
            </w:r>
          </w:p>
        </w:tc>
        <w:tc>
          <w:tcPr>
            <w:tcW w:w="1505" w:type="dxa"/>
          </w:tcPr>
          <w:p>
            <w:pPr>
              <w:pStyle w:val="TableParagraph"/>
              <w:spacing w:line="240" w:lineRule="auto" w:before="75"/>
              <w:ind w:left="87" w:right="79"/>
              <w:jc w:val="center"/>
              <w:rPr>
                <w:sz w:val="24"/>
              </w:rPr>
            </w:pPr>
            <w:r>
              <w:rPr>
                <w:spacing w:val="-2"/>
                <w:sz w:val="24"/>
              </w:rPr>
              <w:t>2.877535</w:t>
            </w:r>
          </w:p>
        </w:tc>
        <w:tc>
          <w:tcPr>
            <w:tcW w:w="1212" w:type="dxa"/>
          </w:tcPr>
          <w:p>
            <w:pPr>
              <w:pStyle w:val="TableParagraph"/>
              <w:spacing w:line="240" w:lineRule="auto" w:before="75"/>
              <w:ind w:left="218"/>
              <w:rPr>
                <w:sz w:val="24"/>
              </w:rPr>
            </w:pPr>
            <w:r>
              <w:rPr>
                <w:spacing w:val="-2"/>
                <w:sz w:val="24"/>
              </w:rPr>
              <w:t>0.0057</w:t>
            </w:r>
          </w:p>
        </w:tc>
      </w:tr>
      <w:tr>
        <w:trPr>
          <w:trHeight w:val="450" w:hRule="atLeast"/>
        </w:trPr>
        <w:tc>
          <w:tcPr>
            <w:tcW w:w="2074" w:type="dxa"/>
            <w:tcBorders>
              <w:top w:val="double" w:sz="6" w:space="0" w:color="000000"/>
            </w:tcBorders>
          </w:tcPr>
          <w:p>
            <w:pPr>
              <w:pStyle w:val="TableParagraph"/>
              <w:spacing w:line="240" w:lineRule="auto" w:before="89"/>
              <w:ind w:left="0"/>
              <w:rPr>
                <w:sz w:val="24"/>
              </w:rPr>
            </w:pPr>
            <w:r>
              <w:rPr>
                <w:spacing w:val="-2"/>
                <w:sz w:val="24"/>
              </w:rPr>
              <w:t>R-squared</w:t>
            </w:r>
          </w:p>
        </w:tc>
        <w:tc>
          <w:tcPr>
            <w:tcW w:w="1482" w:type="dxa"/>
            <w:tcBorders>
              <w:top w:val="double" w:sz="6" w:space="0" w:color="000000"/>
            </w:tcBorders>
          </w:tcPr>
          <w:p>
            <w:pPr>
              <w:pStyle w:val="TableParagraph"/>
              <w:spacing w:line="240" w:lineRule="auto" w:before="89"/>
              <w:ind w:left="0" w:right="253"/>
              <w:jc w:val="center"/>
              <w:rPr>
                <w:sz w:val="24"/>
              </w:rPr>
            </w:pPr>
            <w:r>
              <w:rPr>
                <w:spacing w:val="-2"/>
                <w:sz w:val="24"/>
              </w:rPr>
              <w:t>0.690875</w:t>
            </w:r>
          </w:p>
        </w:tc>
        <w:tc>
          <w:tcPr>
            <w:tcW w:w="3000" w:type="dxa"/>
            <w:gridSpan w:val="2"/>
            <w:tcBorders>
              <w:top w:val="double" w:sz="6" w:space="0" w:color="000000"/>
            </w:tcBorders>
          </w:tcPr>
          <w:p>
            <w:pPr>
              <w:pStyle w:val="TableParagraph"/>
              <w:spacing w:line="240" w:lineRule="auto" w:before="89"/>
              <w:ind w:left="241"/>
              <w:rPr>
                <w:sz w:val="24"/>
              </w:rPr>
            </w:pPr>
            <w:r>
              <w:rPr>
                <w:sz w:val="24"/>
              </w:rPr>
              <w:t>Mean</w:t>
            </w:r>
            <w:r>
              <w:rPr>
                <w:spacing w:val="-2"/>
                <w:sz w:val="24"/>
              </w:rPr>
              <w:t> </w:t>
            </w:r>
            <w:r>
              <w:rPr>
                <w:sz w:val="24"/>
              </w:rPr>
              <w:t>dependent</w:t>
            </w:r>
            <w:r>
              <w:rPr>
                <w:spacing w:val="-1"/>
                <w:sz w:val="24"/>
              </w:rPr>
              <w:t> </w:t>
            </w:r>
            <w:r>
              <w:rPr>
                <w:spacing w:val="-5"/>
                <w:sz w:val="24"/>
              </w:rPr>
              <w:t>var</w:t>
            </w:r>
          </w:p>
        </w:tc>
        <w:tc>
          <w:tcPr>
            <w:tcW w:w="1212" w:type="dxa"/>
            <w:tcBorders>
              <w:top w:val="double" w:sz="6" w:space="0" w:color="000000"/>
            </w:tcBorders>
          </w:tcPr>
          <w:p>
            <w:pPr>
              <w:pStyle w:val="TableParagraph"/>
              <w:spacing w:line="240" w:lineRule="auto" w:before="89"/>
              <w:ind w:left="218"/>
              <w:rPr>
                <w:sz w:val="24"/>
              </w:rPr>
            </w:pPr>
            <w:r>
              <w:rPr>
                <w:spacing w:val="-2"/>
                <w:sz w:val="24"/>
              </w:rPr>
              <w:t>5.253252</w:t>
            </w:r>
          </w:p>
        </w:tc>
      </w:tr>
      <w:tr>
        <w:trPr>
          <w:trHeight w:val="436" w:hRule="atLeast"/>
        </w:trPr>
        <w:tc>
          <w:tcPr>
            <w:tcW w:w="2074" w:type="dxa"/>
          </w:tcPr>
          <w:p>
            <w:pPr>
              <w:pStyle w:val="TableParagraph"/>
              <w:spacing w:line="240" w:lineRule="auto" w:before="75"/>
              <w:ind w:left="0"/>
              <w:rPr>
                <w:sz w:val="24"/>
              </w:rPr>
            </w:pPr>
            <w:r>
              <w:rPr>
                <w:sz w:val="24"/>
              </w:rPr>
              <w:t>Adjusted</w:t>
            </w:r>
            <w:r>
              <w:rPr>
                <w:spacing w:val="-2"/>
                <w:sz w:val="24"/>
              </w:rPr>
              <w:t> </w:t>
            </w:r>
            <w:r>
              <w:rPr>
                <w:sz w:val="24"/>
              </w:rPr>
              <w:t>R-</w:t>
            </w:r>
            <w:r>
              <w:rPr>
                <w:spacing w:val="-2"/>
                <w:sz w:val="24"/>
              </w:rPr>
              <w:t>squared</w:t>
            </w:r>
          </w:p>
        </w:tc>
        <w:tc>
          <w:tcPr>
            <w:tcW w:w="1482" w:type="dxa"/>
          </w:tcPr>
          <w:p>
            <w:pPr>
              <w:pStyle w:val="TableParagraph"/>
              <w:spacing w:line="240" w:lineRule="auto" w:before="75"/>
              <w:ind w:left="0" w:right="253"/>
              <w:jc w:val="center"/>
              <w:rPr>
                <w:sz w:val="24"/>
              </w:rPr>
            </w:pPr>
            <w:r>
              <w:rPr>
                <w:spacing w:val="-2"/>
                <w:sz w:val="24"/>
              </w:rPr>
              <w:t>0.668393</w:t>
            </w:r>
          </w:p>
        </w:tc>
        <w:tc>
          <w:tcPr>
            <w:tcW w:w="3000" w:type="dxa"/>
            <w:gridSpan w:val="2"/>
          </w:tcPr>
          <w:p>
            <w:pPr>
              <w:pStyle w:val="TableParagraph"/>
              <w:spacing w:line="240" w:lineRule="auto" w:before="75"/>
              <w:ind w:left="241"/>
              <w:rPr>
                <w:sz w:val="24"/>
              </w:rPr>
            </w:pPr>
            <w:r>
              <w:rPr>
                <w:sz w:val="24"/>
              </w:rPr>
              <w:t>S.D.</w:t>
            </w:r>
            <w:r>
              <w:rPr>
                <w:spacing w:val="-4"/>
                <w:sz w:val="24"/>
              </w:rPr>
              <w:t> </w:t>
            </w:r>
            <w:r>
              <w:rPr>
                <w:sz w:val="24"/>
              </w:rPr>
              <w:t>dependent</w:t>
            </w:r>
            <w:r>
              <w:rPr>
                <w:spacing w:val="-2"/>
                <w:sz w:val="24"/>
              </w:rPr>
              <w:t> </w:t>
            </w:r>
            <w:r>
              <w:rPr>
                <w:spacing w:val="-5"/>
                <w:sz w:val="24"/>
              </w:rPr>
              <w:t>var</w:t>
            </w:r>
          </w:p>
        </w:tc>
        <w:tc>
          <w:tcPr>
            <w:tcW w:w="1212" w:type="dxa"/>
          </w:tcPr>
          <w:p>
            <w:pPr>
              <w:pStyle w:val="TableParagraph"/>
              <w:spacing w:line="240" w:lineRule="auto" w:before="75"/>
              <w:ind w:left="218"/>
              <w:rPr>
                <w:sz w:val="24"/>
              </w:rPr>
            </w:pPr>
            <w:r>
              <w:rPr>
                <w:spacing w:val="-2"/>
                <w:sz w:val="24"/>
              </w:rPr>
              <w:t>0.136958</w:t>
            </w:r>
          </w:p>
        </w:tc>
      </w:tr>
      <w:tr>
        <w:trPr>
          <w:trHeight w:val="435" w:hRule="atLeast"/>
        </w:trPr>
        <w:tc>
          <w:tcPr>
            <w:tcW w:w="2074" w:type="dxa"/>
          </w:tcPr>
          <w:p>
            <w:pPr>
              <w:pStyle w:val="TableParagraph"/>
              <w:spacing w:line="240" w:lineRule="auto" w:before="75"/>
              <w:ind w:left="0"/>
              <w:rPr>
                <w:sz w:val="24"/>
              </w:rPr>
            </w:pPr>
            <w:r>
              <w:rPr>
                <w:sz w:val="24"/>
              </w:rPr>
              <w:t>S.E. of</w:t>
            </w:r>
            <w:r>
              <w:rPr>
                <w:spacing w:val="-1"/>
                <w:sz w:val="24"/>
              </w:rPr>
              <w:t> </w:t>
            </w:r>
            <w:r>
              <w:rPr>
                <w:spacing w:val="-2"/>
                <w:sz w:val="24"/>
              </w:rPr>
              <w:t>regression</w:t>
            </w:r>
          </w:p>
        </w:tc>
        <w:tc>
          <w:tcPr>
            <w:tcW w:w="1482" w:type="dxa"/>
          </w:tcPr>
          <w:p>
            <w:pPr>
              <w:pStyle w:val="TableParagraph"/>
              <w:spacing w:line="240" w:lineRule="auto" w:before="75"/>
              <w:ind w:left="0" w:right="253"/>
              <w:jc w:val="center"/>
              <w:rPr>
                <w:sz w:val="24"/>
              </w:rPr>
            </w:pPr>
            <w:r>
              <w:rPr>
                <w:spacing w:val="-2"/>
                <w:sz w:val="24"/>
              </w:rPr>
              <w:t>0.078868</w:t>
            </w:r>
          </w:p>
        </w:tc>
        <w:tc>
          <w:tcPr>
            <w:tcW w:w="3000" w:type="dxa"/>
            <w:gridSpan w:val="2"/>
          </w:tcPr>
          <w:p>
            <w:pPr>
              <w:pStyle w:val="TableParagraph"/>
              <w:spacing w:line="240" w:lineRule="auto" w:before="75"/>
              <w:ind w:left="241"/>
              <w:rPr>
                <w:sz w:val="24"/>
              </w:rPr>
            </w:pPr>
            <w:r>
              <w:rPr>
                <w:sz w:val="24"/>
              </w:rPr>
              <w:t>Akaike</w:t>
            </w:r>
            <w:r>
              <w:rPr>
                <w:spacing w:val="-4"/>
                <w:sz w:val="24"/>
              </w:rPr>
              <w:t> </w:t>
            </w:r>
            <w:r>
              <w:rPr>
                <w:sz w:val="24"/>
              </w:rPr>
              <w:t>info</w:t>
            </w:r>
            <w:r>
              <w:rPr>
                <w:spacing w:val="-1"/>
                <w:sz w:val="24"/>
              </w:rPr>
              <w:t> </w:t>
            </w:r>
            <w:r>
              <w:rPr>
                <w:spacing w:val="-2"/>
                <w:sz w:val="24"/>
              </w:rPr>
              <w:t>criterion</w:t>
            </w:r>
          </w:p>
        </w:tc>
        <w:tc>
          <w:tcPr>
            <w:tcW w:w="1212" w:type="dxa"/>
          </w:tcPr>
          <w:p>
            <w:pPr>
              <w:pStyle w:val="TableParagraph"/>
              <w:spacing w:line="240" w:lineRule="auto" w:before="75"/>
              <w:ind w:left="218"/>
              <w:rPr>
                <w:sz w:val="24"/>
              </w:rPr>
            </w:pPr>
            <w:r>
              <w:rPr>
                <w:spacing w:val="-2"/>
                <w:sz w:val="24"/>
              </w:rPr>
              <w:t>-2.162439</w:t>
            </w:r>
          </w:p>
        </w:tc>
      </w:tr>
      <w:tr>
        <w:trPr>
          <w:trHeight w:val="435" w:hRule="atLeast"/>
        </w:trPr>
        <w:tc>
          <w:tcPr>
            <w:tcW w:w="2074" w:type="dxa"/>
          </w:tcPr>
          <w:p>
            <w:pPr>
              <w:pStyle w:val="TableParagraph"/>
              <w:spacing w:line="240" w:lineRule="auto" w:before="74"/>
              <w:ind w:left="0"/>
              <w:rPr>
                <w:sz w:val="24"/>
              </w:rPr>
            </w:pPr>
            <w:r>
              <w:rPr>
                <w:sz w:val="24"/>
              </w:rPr>
              <w:t>Sum</w:t>
            </w:r>
            <w:r>
              <w:rPr>
                <w:spacing w:val="-2"/>
                <w:sz w:val="24"/>
              </w:rPr>
              <w:t> </w:t>
            </w:r>
            <w:r>
              <w:rPr>
                <w:sz w:val="24"/>
              </w:rPr>
              <w:t>squared</w:t>
            </w:r>
            <w:r>
              <w:rPr>
                <w:spacing w:val="-1"/>
                <w:sz w:val="24"/>
              </w:rPr>
              <w:t> </w:t>
            </w:r>
            <w:r>
              <w:rPr>
                <w:spacing w:val="-4"/>
                <w:sz w:val="24"/>
              </w:rPr>
              <w:t>resid</w:t>
            </w:r>
          </w:p>
        </w:tc>
        <w:tc>
          <w:tcPr>
            <w:tcW w:w="1482" w:type="dxa"/>
          </w:tcPr>
          <w:p>
            <w:pPr>
              <w:pStyle w:val="TableParagraph"/>
              <w:spacing w:line="240" w:lineRule="auto" w:before="74"/>
              <w:ind w:left="0" w:right="253"/>
              <w:jc w:val="center"/>
              <w:rPr>
                <w:sz w:val="24"/>
              </w:rPr>
            </w:pPr>
            <w:r>
              <w:rPr>
                <w:spacing w:val="-2"/>
                <w:sz w:val="24"/>
              </w:rPr>
              <w:t>0.342105</w:t>
            </w:r>
          </w:p>
        </w:tc>
        <w:tc>
          <w:tcPr>
            <w:tcW w:w="3000" w:type="dxa"/>
            <w:gridSpan w:val="2"/>
          </w:tcPr>
          <w:p>
            <w:pPr>
              <w:pStyle w:val="TableParagraph"/>
              <w:spacing w:line="240" w:lineRule="auto" w:before="74"/>
              <w:ind w:left="241"/>
              <w:rPr>
                <w:sz w:val="24"/>
              </w:rPr>
            </w:pPr>
            <w:r>
              <w:rPr>
                <w:sz w:val="24"/>
              </w:rPr>
              <w:t>Schwarz</w:t>
            </w:r>
            <w:r>
              <w:rPr>
                <w:spacing w:val="-5"/>
                <w:sz w:val="24"/>
              </w:rPr>
              <w:t> </w:t>
            </w:r>
            <w:r>
              <w:rPr>
                <w:spacing w:val="-2"/>
                <w:sz w:val="24"/>
              </w:rPr>
              <w:t>criterion</w:t>
            </w:r>
          </w:p>
        </w:tc>
        <w:tc>
          <w:tcPr>
            <w:tcW w:w="1212" w:type="dxa"/>
          </w:tcPr>
          <w:p>
            <w:pPr>
              <w:pStyle w:val="TableParagraph"/>
              <w:spacing w:line="240" w:lineRule="auto" w:before="74"/>
              <w:ind w:left="218"/>
              <w:rPr>
                <w:sz w:val="24"/>
              </w:rPr>
            </w:pPr>
            <w:r>
              <w:rPr>
                <w:spacing w:val="-2"/>
                <w:sz w:val="24"/>
              </w:rPr>
              <w:t>-1.987910</w:t>
            </w:r>
          </w:p>
        </w:tc>
      </w:tr>
      <w:tr>
        <w:trPr>
          <w:trHeight w:val="437" w:hRule="atLeast"/>
        </w:trPr>
        <w:tc>
          <w:tcPr>
            <w:tcW w:w="2074" w:type="dxa"/>
          </w:tcPr>
          <w:p>
            <w:pPr>
              <w:pStyle w:val="TableParagraph"/>
              <w:spacing w:line="240" w:lineRule="auto" w:before="75"/>
              <w:ind w:left="0"/>
              <w:rPr>
                <w:sz w:val="24"/>
              </w:rPr>
            </w:pPr>
            <w:r>
              <w:rPr>
                <w:sz w:val="24"/>
              </w:rPr>
              <w:t>Log </w:t>
            </w:r>
            <w:r>
              <w:rPr>
                <w:spacing w:val="-2"/>
                <w:sz w:val="24"/>
              </w:rPr>
              <w:t>likelihood</w:t>
            </w:r>
          </w:p>
        </w:tc>
        <w:tc>
          <w:tcPr>
            <w:tcW w:w="1482" w:type="dxa"/>
          </w:tcPr>
          <w:p>
            <w:pPr>
              <w:pStyle w:val="TableParagraph"/>
              <w:spacing w:line="240" w:lineRule="auto" w:before="75"/>
              <w:ind w:left="0" w:right="253"/>
              <w:jc w:val="center"/>
              <w:rPr>
                <w:sz w:val="24"/>
              </w:rPr>
            </w:pPr>
            <w:r>
              <w:rPr>
                <w:spacing w:val="-2"/>
                <w:sz w:val="24"/>
              </w:rPr>
              <w:t>69.87316</w:t>
            </w:r>
          </w:p>
        </w:tc>
        <w:tc>
          <w:tcPr>
            <w:tcW w:w="3000" w:type="dxa"/>
            <w:gridSpan w:val="2"/>
          </w:tcPr>
          <w:p>
            <w:pPr>
              <w:pStyle w:val="TableParagraph"/>
              <w:spacing w:line="240" w:lineRule="auto" w:before="75"/>
              <w:ind w:left="241"/>
              <w:rPr>
                <w:sz w:val="24"/>
              </w:rPr>
            </w:pPr>
            <w:r>
              <w:rPr>
                <w:sz w:val="24"/>
              </w:rPr>
              <w:t>Hannan-Quinn</w:t>
            </w:r>
            <w:r>
              <w:rPr>
                <w:spacing w:val="-2"/>
                <w:sz w:val="24"/>
              </w:rPr>
              <w:t> criter.</w:t>
            </w:r>
          </w:p>
        </w:tc>
        <w:tc>
          <w:tcPr>
            <w:tcW w:w="1212" w:type="dxa"/>
          </w:tcPr>
          <w:p>
            <w:pPr>
              <w:pStyle w:val="TableParagraph"/>
              <w:spacing w:line="240" w:lineRule="auto" w:before="75"/>
              <w:ind w:left="218"/>
              <w:rPr>
                <w:sz w:val="24"/>
              </w:rPr>
            </w:pPr>
            <w:r>
              <w:rPr>
                <w:spacing w:val="-2"/>
                <w:sz w:val="24"/>
              </w:rPr>
              <w:t>-2.094171</w:t>
            </w:r>
          </w:p>
        </w:tc>
      </w:tr>
      <w:tr>
        <w:trPr>
          <w:trHeight w:val="435" w:hRule="atLeast"/>
        </w:trPr>
        <w:tc>
          <w:tcPr>
            <w:tcW w:w="2074" w:type="dxa"/>
          </w:tcPr>
          <w:p>
            <w:pPr>
              <w:pStyle w:val="TableParagraph"/>
              <w:spacing w:line="240" w:lineRule="auto" w:before="75"/>
              <w:ind w:left="0"/>
              <w:rPr>
                <w:sz w:val="24"/>
              </w:rPr>
            </w:pPr>
            <w:r>
              <w:rPr>
                <w:spacing w:val="-2"/>
                <w:sz w:val="24"/>
              </w:rPr>
              <w:t>F-statistic</w:t>
            </w:r>
          </w:p>
        </w:tc>
        <w:tc>
          <w:tcPr>
            <w:tcW w:w="1482" w:type="dxa"/>
          </w:tcPr>
          <w:p>
            <w:pPr>
              <w:pStyle w:val="TableParagraph"/>
              <w:spacing w:line="240" w:lineRule="auto" w:before="75"/>
              <w:ind w:left="0" w:right="253"/>
              <w:jc w:val="center"/>
              <w:rPr>
                <w:sz w:val="24"/>
              </w:rPr>
            </w:pPr>
            <w:r>
              <w:rPr>
                <w:spacing w:val="-2"/>
                <w:sz w:val="24"/>
              </w:rPr>
              <w:t>30.73039</w:t>
            </w:r>
          </w:p>
        </w:tc>
        <w:tc>
          <w:tcPr>
            <w:tcW w:w="3000" w:type="dxa"/>
            <w:gridSpan w:val="2"/>
          </w:tcPr>
          <w:p>
            <w:pPr>
              <w:pStyle w:val="TableParagraph"/>
              <w:spacing w:line="240" w:lineRule="auto" w:before="75"/>
              <w:ind w:left="241"/>
              <w:rPr>
                <w:sz w:val="24"/>
              </w:rPr>
            </w:pPr>
            <w:r>
              <w:rPr>
                <w:sz w:val="24"/>
              </w:rPr>
              <w:t>Durbin-Watson</w:t>
            </w:r>
            <w:r>
              <w:rPr>
                <w:spacing w:val="-5"/>
                <w:sz w:val="24"/>
              </w:rPr>
              <w:t> </w:t>
            </w:r>
            <w:r>
              <w:rPr>
                <w:spacing w:val="-4"/>
                <w:sz w:val="24"/>
              </w:rPr>
              <w:t>stat</w:t>
            </w:r>
          </w:p>
        </w:tc>
        <w:tc>
          <w:tcPr>
            <w:tcW w:w="1212" w:type="dxa"/>
          </w:tcPr>
          <w:p>
            <w:pPr>
              <w:pStyle w:val="TableParagraph"/>
              <w:spacing w:line="240" w:lineRule="auto" w:before="75"/>
              <w:ind w:left="218"/>
              <w:rPr>
                <w:sz w:val="24"/>
              </w:rPr>
            </w:pPr>
            <w:r>
              <w:rPr>
                <w:spacing w:val="-2"/>
                <w:sz w:val="24"/>
              </w:rPr>
              <w:t>1.004950</w:t>
            </w:r>
          </w:p>
        </w:tc>
      </w:tr>
      <w:tr>
        <w:trPr>
          <w:trHeight w:val="350" w:hRule="atLeast"/>
        </w:trPr>
        <w:tc>
          <w:tcPr>
            <w:tcW w:w="2074" w:type="dxa"/>
          </w:tcPr>
          <w:p>
            <w:pPr>
              <w:pStyle w:val="TableParagraph"/>
              <w:spacing w:line="256" w:lineRule="exact" w:before="74"/>
              <w:ind w:left="0"/>
              <w:rPr>
                <w:sz w:val="24"/>
              </w:rPr>
            </w:pPr>
            <w:r>
              <w:rPr>
                <w:spacing w:val="-2"/>
                <w:sz w:val="24"/>
              </w:rPr>
              <w:t>Prob(F-statistic)</w:t>
            </w:r>
          </w:p>
        </w:tc>
        <w:tc>
          <w:tcPr>
            <w:tcW w:w="1482" w:type="dxa"/>
          </w:tcPr>
          <w:p>
            <w:pPr>
              <w:pStyle w:val="TableParagraph"/>
              <w:spacing w:line="256" w:lineRule="exact" w:before="74"/>
              <w:ind w:left="0" w:right="253"/>
              <w:jc w:val="center"/>
              <w:rPr>
                <w:sz w:val="24"/>
              </w:rPr>
            </w:pPr>
            <w:r>
              <w:rPr>
                <w:spacing w:val="-2"/>
                <w:sz w:val="24"/>
              </w:rPr>
              <w:t>0.000000</w:t>
            </w:r>
          </w:p>
        </w:tc>
        <w:tc>
          <w:tcPr>
            <w:tcW w:w="3000" w:type="dxa"/>
            <w:gridSpan w:val="2"/>
          </w:tcPr>
          <w:p>
            <w:pPr>
              <w:pStyle w:val="TableParagraph"/>
              <w:spacing w:line="240" w:lineRule="auto" w:before="0"/>
              <w:ind w:left="0"/>
              <w:rPr>
                <w:sz w:val="24"/>
              </w:rPr>
            </w:pPr>
          </w:p>
        </w:tc>
        <w:tc>
          <w:tcPr>
            <w:tcW w:w="1212" w:type="dxa"/>
          </w:tcPr>
          <w:p>
            <w:pPr>
              <w:pStyle w:val="TableParagraph"/>
              <w:spacing w:line="240" w:lineRule="auto" w:before="0"/>
              <w:ind w:left="0"/>
              <w:rPr>
                <w:sz w:val="24"/>
              </w:rPr>
            </w:pPr>
          </w:p>
        </w:tc>
      </w:tr>
    </w:tbl>
    <w:p>
      <w:pPr>
        <w:pStyle w:val="BodyText"/>
        <w:spacing w:before="7"/>
        <w:rPr>
          <w:sz w:val="18"/>
        </w:rPr>
      </w:pPr>
      <w:r>
        <w:rPr>
          <w:sz w:val="18"/>
        </w:rPr>
        <mc:AlternateContent>
          <mc:Choice Requires="wps">
            <w:drawing>
              <wp:anchor distT="0" distB="0" distL="0" distR="0" allowOverlap="1" layoutInCell="1" locked="0" behindDoc="1" simplePos="0" relativeHeight="487629312">
                <wp:simplePos x="0" y="0"/>
                <wp:positionH relativeFrom="page">
                  <wp:posOffset>1318514</wp:posOffset>
                </wp:positionH>
                <wp:positionV relativeFrom="paragraph">
                  <wp:posOffset>151127</wp:posOffset>
                </wp:positionV>
                <wp:extent cx="4932680" cy="27940"/>
                <wp:effectExtent l="0" t="0" r="0" b="0"/>
                <wp:wrapTopAndBottom/>
                <wp:docPr id="392" name="Graphic 392"/>
                <wp:cNvGraphicFramePr>
                  <a:graphicFrameLocks/>
                </wp:cNvGraphicFramePr>
                <a:graphic>
                  <a:graphicData uri="http://schemas.microsoft.com/office/word/2010/wordprocessingShape">
                    <wps:wsp>
                      <wps:cNvPr id="392" name="Graphic 392"/>
                      <wps:cNvSpPr/>
                      <wps:spPr>
                        <a:xfrm>
                          <a:off x="0" y="0"/>
                          <a:ext cx="4932680" cy="27940"/>
                        </a:xfrm>
                        <a:custGeom>
                          <a:avLst/>
                          <a:gdLst/>
                          <a:ahLst/>
                          <a:cxnLst/>
                          <a:rect l="l" t="t" r="r" b="b"/>
                          <a:pathLst>
                            <a:path w="4932680" h="27940">
                              <a:moveTo>
                                <a:pt x="1420622" y="18288"/>
                              </a:moveTo>
                              <a:lnTo>
                                <a:pt x="0" y="18288"/>
                              </a:lnTo>
                              <a:lnTo>
                                <a:pt x="0" y="27432"/>
                              </a:lnTo>
                              <a:lnTo>
                                <a:pt x="1420622" y="27432"/>
                              </a:lnTo>
                              <a:lnTo>
                                <a:pt x="1420622" y="18288"/>
                              </a:lnTo>
                              <a:close/>
                            </a:path>
                            <a:path w="4932680" h="27940">
                              <a:moveTo>
                                <a:pt x="1420622" y="0"/>
                              </a:moveTo>
                              <a:lnTo>
                                <a:pt x="0" y="0"/>
                              </a:lnTo>
                              <a:lnTo>
                                <a:pt x="0" y="9144"/>
                              </a:lnTo>
                              <a:lnTo>
                                <a:pt x="1420622" y="9144"/>
                              </a:lnTo>
                              <a:lnTo>
                                <a:pt x="1420622" y="0"/>
                              </a:lnTo>
                              <a:close/>
                            </a:path>
                            <a:path w="4932680" h="27940">
                              <a:moveTo>
                                <a:pt x="4301668" y="18288"/>
                              </a:moveTo>
                              <a:lnTo>
                                <a:pt x="4301668" y="18288"/>
                              </a:lnTo>
                              <a:lnTo>
                                <a:pt x="1420749" y="18288"/>
                              </a:lnTo>
                              <a:lnTo>
                                <a:pt x="1420749" y="27432"/>
                              </a:lnTo>
                              <a:lnTo>
                                <a:pt x="4301668" y="27432"/>
                              </a:lnTo>
                              <a:lnTo>
                                <a:pt x="4301668" y="18288"/>
                              </a:lnTo>
                              <a:close/>
                            </a:path>
                            <a:path w="4932680" h="27940">
                              <a:moveTo>
                                <a:pt x="4301668" y="0"/>
                              </a:moveTo>
                              <a:lnTo>
                                <a:pt x="4301668" y="0"/>
                              </a:lnTo>
                              <a:lnTo>
                                <a:pt x="1420749" y="0"/>
                              </a:lnTo>
                              <a:lnTo>
                                <a:pt x="1420749" y="9144"/>
                              </a:lnTo>
                              <a:lnTo>
                                <a:pt x="4301668" y="9144"/>
                              </a:lnTo>
                              <a:lnTo>
                                <a:pt x="4301668" y="0"/>
                              </a:lnTo>
                              <a:close/>
                            </a:path>
                            <a:path w="4932680" h="27940">
                              <a:moveTo>
                                <a:pt x="4932667" y="18288"/>
                              </a:moveTo>
                              <a:lnTo>
                                <a:pt x="4329176" y="18288"/>
                              </a:lnTo>
                              <a:lnTo>
                                <a:pt x="4301744" y="18288"/>
                              </a:lnTo>
                              <a:lnTo>
                                <a:pt x="4301744" y="27432"/>
                              </a:lnTo>
                              <a:lnTo>
                                <a:pt x="4329176" y="27432"/>
                              </a:lnTo>
                              <a:lnTo>
                                <a:pt x="4932667" y="27432"/>
                              </a:lnTo>
                              <a:lnTo>
                                <a:pt x="4932667" y="18288"/>
                              </a:lnTo>
                              <a:close/>
                            </a:path>
                            <a:path w="4932680" h="27940">
                              <a:moveTo>
                                <a:pt x="4932667" y="0"/>
                              </a:moveTo>
                              <a:lnTo>
                                <a:pt x="4329176" y="0"/>
                              </a:lnTo>
                              <a:lnTo>
                                <a:pt x="4301744" y="0"/>
                              </a:lnTo>
                              <a:lnTo>
                                <a:pt x="4301744" y="9144"/>
                              </a:lnTo>
                              <a:lnTo>
                                <a:pt x="4329176" y="9144"/>
                              </a:lnTo>
                              <a:lnTo>
                                <a:pt x="4932667" y="9144"/>
                              </a:lnTo>
                              <a:lnTo>
                                <a:pt x="49326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03.820007pt;margin-top:11.899831pt;width:388.4pt;height:2.2pt;mso-position-horizontal-relative:page;mso-position-vertical-relative:paragraph;z-index:-15687168;mso-wrap-distance-left:0;mso-wrap-distance-right:0" id="docshape364" coordorigin="2076,238" coordsize="7768,44" path="m4314,267l2076,267,2076,281,4314,281,4314,267xm4314,238l2076,238,2076,252,4314,252,4314,238xm8851,267l7477,267,7434,267,7434,267,5917,267,5874,267,4357,267,4314,267,4314,281,4357,281,5874,281,5917,281,7434,281,7434,281,7477,281,8851,281,8851,267xm8851,238l7477,238,7434,238,7434,238,5917,238,5874,238,4357,238,4314,238,4314,252,4357,252,5874,252,5917,252,7434,252,7434,252,7477,252,8851,252,8851,238xm9844,267l8894,267,8851,267,8851,281,8894,281,9844,281,9844,267xm9844,238l8894,238,8851,238,8851,252,8894,252,9844,252,9844,238xe" filled="true" fillcolor="#000000" stroked="false">
                <v:path arrowok="t"/>
                <v:fill type="solid"/>
                <w10:wrap type="topAndBottom"/>
              </v:shape>
            </w:pict>
          </mc:Fallback>
        </mc:AlternateContent>
      </w:r>
    </w:p>
    <w:p>
      <w:pPr>
        <w:pStyle w:val="BodyText"/>
        <w:spacing w:after="0"/>
        <w:rPr>
          <w:sz w:val="18"/>
        </w:rPr>
        <w:sectPr>
          <w:pgSz w:w="11910" w:h="16840"/>
          <w:pgMar w:header="0" w:footer="1000" w:top="1360" w:bottom="1200" w:left="1417" w:right="1275"/>
        </w:sectPr>
      </w:pPr>
    </w:p>
    <w:p>
      <w:pPr>
        <w:pStyle w:val="Heading1"/>
        <w:ind w:left="1583"/>
      </w:pPr>
      <w:bookmarkStart w:name="_bookmark179" w:id="180"/>
      <w:bookmarkEnd w:id="180"/>
      <w:r>
        <w:rPr>
          <w:b w:val="0"/>
        </w:rPr>
      </w:r>
      <w:r>
        <w:rPr/>
        <w:t>DAFTAR</w:t>
      </w:r>
      <w:r>
        <w:rPr>
          <w:spacing w:val="-5"/>
        </w:rPr>
        <w:t> </w:t>
      </w:r>
      <w:r>
        <w:rPr/>
        <w:t>RIWAYAT</w:t>
      </w:r>
      <w:r>
        <w:rPr>
          <w:spacing w:val="-4"/>
        </w:rPr>
        <w:t> </w:t>
      </w:r>
      <w:r>
        <w:rPr>
          <w:spacing w:val="-2"/>
        </w:rPr>
        <w:t>HIDUP</w:t>
      </w:r>
    </w:p>
    <w:p>
      <w:pPr>
        <w:pStyle w:val="BodyText"/>
        <w:spacing w:before="22"/>
        <w:rPr>
          <w:b/>
        </w:rPr>
      </w:pPr>
    </w:p>
    <w:p>
      <w:pPr>
        <w:pStyle w:val="BodyText"/>
        <w:tabs>
          <w:tab w:pos="2903" w:val="left" w:leader="none"/>
        </w:tabs>
        <w:spacing w:line="499" w:lineRule="auto"/>
        <w:ind w:left="23" w:right="4371"/>
      </w:pPr>
      <w:r>
        <w:rPr>
          <w:spacing w:val="-4"/>
        </w:rPr>
        <w:t>Nama</w:t>
      </w:r>
      <w:r>
        <w:rPr/>
        <w:tab/>
        <w:t>:</w:t>
      </w:r>
      <w:r>
        <w:rPr>
          <w:spacing w:val="-12"/>
        </w:rPr>
        <w:t> </w:t>
      </w:r>
      <w:r>
        <w:rPr/>
        <w:t>Nur</w:t>
      </w:r>
      <w:r>
        <w:rPr>
          <w:spacing w:val="-13"/>
        </w:rPr>
        <w:t> </w:t>
      </w:r>
      <w:r>
        <w:rPr/>
        <w:t>Laily</w:t>
      </w:r>
      <w:r>
        <w:rPr>
          <w:spacing w:val="-12"/>
        </w:rPr>
        <w:t> </w:t>
      </w:r>
      <w:r>
        <w:rPr/>
        <w:t>Hidayah Tempat, Tanggal Lahir</w:t>
        <w:tab/>
        <w:t>: Pati, 28 Juni 2003 Jenis Kelamin</w:t>
        <w:tab/>
        <w:t>: Perempuan</w:t>
      </w:r>
    </w:p>
    <w:p>
      <w:pPr>
        <w:pStyle w:val="BodyText"/>
        <w:tabs>
          <w:tab w:pos="2903" w:val="left" w:leader="none"/>
        </w:tabs>
        <w:spacing w:before="2"/>
        <w:ind w:left="23"/>
      </w:pPr>
      <w:r>
        <w:rPr>
          <w:spacing w:val="-2"/>
        </w:rPr>
        <w:t>Kewarganegaraan</w:t>
      </w:r>
      <w:r>
        <w:rPr/>
        <w:tab/>
        <w:t>: </w:t>
      </w:r>
      <w:r>
        <w:rPr>
          <w:spacing w:val="-2"/>
        </w:rPr>
        <w:t>Indonesia</w:t>
      </w:r>
    </w:p>
    <w:p>
      <w:pPr>
        <w:pStyle w:val="BodyText"/>
        <w:spacing w:before="21"/>
      </w:pPr>
    </w:p>
    <w:p>
      <w:pPr>
        <w:pStyle w:val="BodyText"/>
        <w:tabs>
          <w:tab w:pos="2903" w:val="left" w:leader="none"/>
        </w:tabs>
        <w:ind w:left="23"/>
      </w:pPr>
      <w:r>
        <w:rPr>
          <w:spacing w:val="-2"/>
        </w:rPr>
        <w:t>Agama</w:t>
      </w:r>
      <w:r>
        <w:rPr/>
        <w:tab/>
        <w:t>: </w:t>
      </w:r>
      <w:r>
        <w:rPr>
          <w:spacing w:val="-2"/>
        </w:rPr>
        <w:t>Islam</w:t>
      </w:r>
    </w:p>
    <w:p>
      <w:pPr>
        <w:pStyle w:val="BodyText"/>
        <w:spacing w:before="22"/>
      </w:pPr>
    </w:p>
    <w:p>
      <w:pPr>
        <w:pStyle w:val="BodyText"/>
        <w:tabs>
          <w:tab w:pos="2903" w:val="left" w:leader="none"/>
        </w:tabs>
        <w:ind w:left="23"/>
      </w:pPr>
      <w:r>
        <w:rPr>
          <w:spacing w:val="-2"/>
        </w:rPr>
        <w:t>Institusi</w:t>
      </w:r>
      <w:r>
        <w:rPr/>
        <w:tab/>
        <w:t>:</w:t>
      </w:r>
      <w:r>
        <w:rPr>
          <w:spacing w:val="-4"/>
        </w:rPr>
        <w:t> </w:t>
      </w:r>
      <w:r>
        <w:rPr/>
        <w:t>UIN</w:t>
      </w:r>
      <w:r>
        <w:rPr>
          <w:spacing w:val="-3"/>
        </w:rPr>
        <w:t> </w:t>
      </w:r>
      <w:r>
        <w:rPr/>
        <w:t>Walisongo</w:t>
      </w:r>
      <w:r>
        <w:rPr>
          <w:spacing w:val="-1"/>
        </w:rPr>
        <w:t> </w:t>
      </w:r>
      <w:r>
        <w:rPr>
          <w:spacing w:val="-2"/>
        </w:rPr>
        <w:t>Semarang</w:t>
      </w:r>
    </w:p>
    <w:p>
      <w:pPr>
        <w:pStyle w:val="BodyText"/>
        <w:spacing w:before="22"/>
      </w:pPr>
    </w:p>
    <w:p>
      <w:pPr>
        <w:pStyle w:val="BodyText"/>
        <w:tabs>
          <w:tab w:pos="2903" w:val="left" w:leader="none"/>
        </w:tabs>
        <w:ind w:left="23"/>
      </w:pPr>
      <w:r>
        <w:rPr>
          <w:spacing w:val="-2"/>
        </w:rPr>
        <w:t>Fakultas</w:t>
      </w:r>
      <w:r>
        <w:rPr/>
        <w:tab/>
        <w:t>:</w:t>
      </w:r>
      <w:r>
        <w:rPr>
          <w:spacing w:val="-1"/>
        </w:rPr>
        <w:t> </w:t>
      </w:r>
      <w:r>
        <w:rPr/>
        <w:t>Ekonomi</w:t>
      </w:r>
      <w:r>
        <w:rPr>
          <w:spacing w:val="-1"/>
        </w:rPr>
        <w:t> </w:t>
      </w:r>
      <w:r>
        <w:rPr/>
        <w:t>dan</w:t>
      </w:r>
      <w:r>
        <w:rPr>
          <w:spacing w:val="-2"/>
        </w:rPr>
        <w:t> </w:t>
      </w:r>
      <w:r>
        <w:rPr/>
        <w:t>Bisnis</w:t>
      </w:r>
      <w:r>
        <w:rPr>
          <w:spacing w:val="-1"/>
        </w:rPr>
        <w:t> </w:t>
      </w:r>
      <w:r>
        <w:rPr>
          <w:spacing w:val="-2"/>
        </w:rPr>
        <w:t>Islam</w:t>
      </w:r>
    </w:p>
    <w:p>
      <w:pPr>
        <w:pStyle w:val="BodyText"/>
        <w:spacing w:before="22"/>
      </w:pPr>
    </w:p>
    <w:p>
      <w:pPr>
        <w:pStyle w:val="BodyText"/>
        <w:tabs>
          <w:tab w:pos="2903" w:val="left" w:leader="none"/>
        </w:tabs>
        <w:ind w:left="23"/>
      </w:pPr>
      <w:r>
        <w:rPr/>
        <w:t>Program</w:t>
      </w:r>
      <w:r>
        <w:rPr>
          <w:spacing w:val="-3"/>
        </w:rPr>
        <w:t> </w:t>
      </w:r>
      <w:r>
        <w:rPr>
          <w:spacing w:val="-2"/>
        </w:rPr>
        <w:t>Studi</w:t>
      </w:r>
      <w:r>
        <w:rPr/>
        <w:tab/>
        <w:t>: Ekonomi </w:t>
      </w:r>
      <w:r>
        <w:rPr>
          <w:spacing w:val="-2"/>
        </w:rPr>
        <w:t>Islam</w:t>
      </w:r>
    </w:p>
    <w:p>
      <w:pPr>
        <w:pStyle w:val="BodyText"/>
        <w:spacing w:before="21"/>
      </w:pPr>
    </w:p>
    <w:p>
      <w:pPr>
        <w:pStyle w:val="BodyText"/>
        <w:tabs>
          <w:tab w:pos="2903" w:val="left" w:leader="none"/>
          <w:tab w:pos="3030" w:val="left" w:leader="none"/>
        </w:tabs>
        <w:spacing w:line="501" w:lineRule="auto"/>
        <w:ind w:left="23" w:right="612"/>
      </w:pPr>
      <w:r>
        <w:rPr/>
        <w:t>Alamat Rumah</w:t>
        <w:tab/>
        <w:t>:</w:t>
      </w:r>
      <w:r>
        <w:rPr>
          <w:spacing w:val="-6"/>
        </w:rPr>
        <w:t> </w:t>
      </w:r>
      <w:r>
        <w:rPr/>
        <w:t>Ds.</w:t>
      </w:r>
      <w:r>
        <w:rPr>
          <w:spacing w:val="-6"/>
        </w:rPr>
        <w:t> </w:t>
      </w:r>
      <w:r>
        <w:rPr/>
        <w:t>Sukoharjo,</w:t>
      </w:r>
      <w:r>
        <w:rPr>
          <w:spacing w:val="-6"/>
        </w:rPr>
        <w:t> </w:t>
      </w:r>
      <w:r>
        <w:rPr/>
        <w:t>RT03/RW03,</w:t>
      </w:r>
      <w:r>
        <w:rPr>
          <w:spacing w:val="-6"/>
        </w:rPr>
        <w:t> </w:t>
      </w:r>
      <w:r>
        <w:rPr/>
        <w:t>Kec.</w:t>
      </w:r>
      <w:r>
        <w:rPr>
          <w:spacing w:val="-4"/>
        </w:rPr>
        <w:t> </w:t>
      </w:r>
      <w:r>
        <w:rPr/>
        <w:t>Wedarijaksa,</w:t>
      </w:r>
      <w:r>
        <w:rPr>
          <w:spacing w:val="-4"/>
        </w:rPr>
        <w:t> </w:t>
      </w:r>
      <w:r>
        <w:rPr/>
        <w:t>Kab.</w:t>
      </w:r>
      <w:r>
        <w:rPr>
          <w:spacing w:val="-6"/>
        </w:rPr>
        <w:t> </w:t>
      </w:r>
      <w:r>
        <w:rPr/>
        <w:t>Pati No HP</w:t>
        <w:tab/>
        <w:tab/>
      </w:r>
      <w:r>
        <w:rPr>
          <w:spacing w:val="-2"/>
        </w:rPr>
        <w:t>089521407982</w:t>
      </w:r>
    </w:p>
    <w:p>
      <w:pPr>
        <w:pStyle w:val="BodyText"/>
        <w:tabs>
          <w:tab w:pos="2903" w:val="left" w:leader="none"/>
        </w:tabs>
        <w:spacing w:line="272" w:lineRule="exact"/>
        <w:ind w:left="23"/>
      </w:pPr>
      <w:r>
        <w:rPr>
          <w:spacing w:val="-4"/>
        </w:rPr>
        <w:t>Email</w:t>
      </w:r>
      <w:r>
        <w:rPr/>
        <w:tab/>
        <w:t>: </w:t>
      </w:r>
      <w:hyperlink r:id="rId26">
        <w:r>
          <w:rPr>
            <w:color w:val="0000FF"/>
            <w:spacing w:val="-2"/>
            <w:u w:val="single" w:color="0000FF"/>
          </w:rPr>
          <w:t>adahiday@gmail.com</w:t>
        </w:r>
      </w:hyperlink>
    </w:p>
    <w:p>
      <w:pPr>
        <w:pStyle w:val="BodyText"/>
        <w:spacing w:before="22"/>
      </w:pPr>
    </w:p>
    <w:p>
      <w:pPr>
        <w:pStyle w:val="BodyText"/>
        <w:tabs>
          <w:tab w:pos="2903" w:val="left" w:leader="none"/>
        </w:tabs>
        <w:ind w:left="23"/>
      </w:pPr>
      <w:r>
        <w:rPr/>
        <w:t>Riwayat</w:t>
      </w:r>
      <w:r>
        <w:rPr>
          <w:spacing w:val="-2"/>
        </w:rPr>
        <w:t> Pendidikan</w:t>
      </w:r>
      <w:r>
        <w:rPr/>
        <w:tab/>
        <w:t>:</w:t>
      </w:r>
      <w:r>
        <w:rPr>
          <w:spacing w:val="-3"/>
        </w:rPr>
        <w:t> </w:t>
      </w:r>
      <w:r>
        <w:rPr/>
        <w:t>1. SDN</w:t>
      </w:r>
      <w:r>
        <w:rPr>
          <w:spacing w:val="-1"/>
        </w:rPr>
        <w:t> </w:t>
      </w:r>
      <w:r>
        <w:rPr/>
        <w:t>01 </w:t>
      </w:r>
      <w:r>
        <w:rPr>
          <w:spacing w:val="-2"/>
        </w:rPr>
        <w:t>Sukoharjo</w:t>
      </w:r>
    </w:p>
    <w:p>
      <w:pPr>
        <w:pStyle w:val="BodyText"/>
        <w:spacing w:before="22"/>
      </w:pPr>
    </w:p>
    <w:p>
      <w:pPr>
        <w:pStyle w:val="ListParagraph"/>
        <w:numPr>
          <w:ilvl w:val="0"/>
          <w:numId w:val="29"/>
        </w:numPr>
        <w:tabs>
          <w:tab w:pos="3264" w:val="left" w:leader="none"/>
        </w:tabs>
        <w:spacing w:line="240" w:lineRule="auto" w:before="0" w:after="0"/>
        <w:ind w:left="3264" w:right="0" w:hanging="240"/>
        <w:jc w:val="left"/>
        <w:rPr>
          <w:sz w:val="24"/>
        </w:rPr>
      </w:pPr>
      <w:r>
        <w:rPr>
          <w:sz w:val="24"/>
        </w:rPr>
        <w:t>Mts</w:t>
      </w:r>
      <w:r>
        <w:rPr>
          <w:spacing w:val="-2"/>
          <w:sz w:val="24"/>
        </w:rPr>
        <w:t> </w:t>
      </w:r>
      <w:r>
        <w:rPr>
          <w:sz w:val="24"/>
        </w:rPr>
        <w:t>NU</w:t>
      </w:r>
      <w:r>
        <w:rPr>
          <w:spacing w:val="-2"/>
          <w:sz w:val="24"/>
        </w:rPr>
        <w:t> </w:t>
      </w:r>
      <w:r>
        <w:rPr>
          <w:sz w:val="24"/>
        </w:rPr>
        <w:t>Banat</w:t>
      </w:r>
      <w:r>
        <w:rPr>
          <w:spacing w:val="-1"/>
          <w:sz w:val="24"/>
        </w:rPr>
        <w:t> </w:t>
      </w:r>
      <w:r>
        <w:rPr>
          <w:spacing w:val="-2"/>
          <w:sz w:val="24"/>
        </w:rPr>
        <w:t>Kudus</w:t>
      </w:r>
    </w:p>
    <w:p>
      <w:pPr>
        <w:pStyle w:val="BodyText"/>
        <w:spacing w:before="22"/>
      </w:pPr>
    </w:p>
    <w:p>
      <w:pPr>
        <w:pStyle w:val="ListParagraph"/>
        <w:numPr>
          <w:ilvl w:val="0"/>
          <w:numId w:val="29"/>
        </w:numPr>
        <w:tabs>
          <w:tab w:pos="3264" w:val="left" w:leader="none"/>
        </w:tabs>
        <w:spacing w:line="240" w:lineRule="auto" w:before="0" w:after="0"/>
        <w:ind w:left="3264" w:right="0" w:hanging="240"/>
        <w:jc w:val="left"/>
        <w:rPr>
          <w:sz w:val="24"/>
        </w:rPr>
      </w:pPr>
      <w:r>
        <w:rPr>
          <w:sz w:val="24"/>
        </w:rPr>
        <w:t>MAN</w:t>
      </w:r>
      <w:r>
        <w:rPr>
          <w:spacing w:val="-2"/>
          <w:sz w:val="24"/>
        </w:rPr>
        <w:t> </w:t>
      </w:r>
      <w:r>
        <w:rPr>
          <w:sz w:val="24"/>
        </w:rPr>
        <w:t>2</w:t>
      </w:r>
      <w:r>
        <w:rPr>
          <w:spacing w:val="-1"/>
          <w:sz w:val="24"/>
        </w:rPr>
        <w:t> </w:t>
      </w:r>
      <w:r>
        <w:rPr>
          <w:spacing w:val="-2"/>
          <w:sz w:val="24"/>
        </w:rPr>
        <w:t>Kudus</w:t>
      </w:r>
    </w:p>
    <w:sectPr>
      <w:pgSz w:w="11910" w:h="16840"/>
      <w:pgMar w:header="0" w:footer="1000" w:top="1360" w:bottom="120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 w:name="Cambria Math">
    <w:altName w:val="Cambria Math"/>
    <w:charset w:val="1"/>
    <w:family w:val="roman"/>
    <w:pitch w:val="variable"/>
  </w:font>
  <w:font w:name="Microsoft Sans Serif">
    <w:altName w:val="Microsoft Sans Serif"/>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595200">
              <wp:simplePos x="0" y="0"/>
              <wp:positionH relativeFrom="page">
                <wp:posOffset>3657727</wp:posOffset>
              </wp:positionH>
              <wp:positionV relativeFrom="page">
                <wp:posOffset>9917379</wp:posOffset>
              </wp:positionV>
              <wp:extent cx="24701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47015" cy="165735"/>
                      </a:xfrm>
                      <a:prstGeom prst="rect">
                        <a:avLst/>
                      </a:prstGeom>
                    </wps:spPr>
                    <wps:txbx>
                      <w:txbxContent>
                        <w:p>
                          <w:pPr>
                            <w:spacing w:line="245" w:lineRule="exact" w:before="0"/>
                            <w:ind w:left="20" w:right="0" w:firstLine="0"/>
                            <w:jc w:val="left"/>
                            <w:rPr>
                              <w:rFonts w:ascii="Calibri"/>
                              <w:sz w:val="22"/>
                            </w:rPr>
                          </w:pPr>
                          <w:r>
                            <w:rPr>
                              <w:rFonts w:ascii="Calibri"/>
                              <w:spacing w:val="-2"/>
                              <w:sz w:val="22"/>
                            </w:rPr>
                            <w:fldChar w:fldCharType="begin"/>
                          </w:r>
                          <w:r>
                            <w:rPr>
                              <w:rFonts w:ascii="Calibri"/>
                              <w:spacing w:val="-2"/>
                              <w:sz w:val="22"/>
                            </w:rPr>
                            <w:instrText> PAGE  \* roman </w:instrText>
                          </w:r>
                          <w:r>
                            <w:rPr>
                              <w:rFonts w:ascii="Calibri"/>
                              <w:spacing w:val="-2"/>
                              <w:sz w:val="22"/>
                            </w:rPr>
                            <w:fldChar w:fldCharType="separate"/>
                          </w:r>
                          <w:r>
                            <w:rPr>
                              <w:rFonts w:ascii="Calibri"/>
                              <w:spacing w:val="-2"/>
                              <w:sz w:val="22"/>
                            </w:rPr>
                            <w:t>xviii</w:t>
                          </w:r>
                          <w:r>
                            <w:rPr>
                              <w:rFonts w:ascii="Calibri"/>
                              <w:spacing w:val="-2"/>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8.010010pt;margin-top:780.895996pt;width:19.45pt;height:13.05pt;mso-position-horizontal-relative:page;mso-position-vertical-relative:page;z-index:-18721280" type="#_x0000_t202" id="docshape1" filled="false" stroked="false">
              <v:textbox inset="0,0,0,0">
                <w:txbxContent>
                  <w:p>
                    <w:pPr>
                      <w:spacing w:line="245" w:lineRule="exact" w:before="0"/>
                      <w:ind w:left="20" w:right="0" w:firstLine="0"/>
                      <w:jc w:val="left"/>
                      <w:rPr>
                        <w:rFonts w:ascii="Calibri"/>
                        <w:sz w:val="22"/>
                      </w:rPr>
                    </w:pPr>
                    <w:r>
                      <w:rPr>
                        <w:rFonts w:ascii="Calibri"/>
                        <w:spacing w:val="-2"/>
                        <w:sz w:val="22"/>
                      </w:rPr>
                      <w:fldChar w:fldCharType="begin"/>
                    </w:r>
                    <w:r>
                      <w:rPr>
                        <w:rFonts w:ascii="Calibri"/>
                        <w:spacing w:val="-2"/>
                        <w:sz w:val="22"/>
                      </w:rPr>
                      <w:instrText> PAGE  \* roman </w:instrText>
                    </w:r>
                    <w:r>
                      <w:rPr>
                        <w:rFonts w:ascii="Calibri"/>
                        <w:spacing w:val="-2"/>
                        <w:sz w:val="22"/>
                      </w:rPr>
                      <w:fldChar w:fldCharType="separate"/>
                    </w:r>
                    <w:r>
                      <w:rPr>
                        <w:rFonts w:ascii="Calibri"/>
                        <w:spacing w:val="-2"/>
                        <w:sz w:val="22"/>
                      </w:rPr>
                      <w:t>xviii</w:t>
                    </w:r>
                    <w:r>
                      <w:rPr>
                        <w:rFonts w:ascii="Calibri"/>
                        <w:spacing w:val="-2"/>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595712">
              <wp:simplePos x="0" y="0"/>
              <wp:positionH relativeFrom="page">
                <wp:posOffset>3697351</wp:posOffset>
              </wp:positionH>
              <wp:positionV relativeFrom="page">
                <wp:posOffset>9917379</wp:posOffset>
              </wp:positionV>
              <wp:extent cx="168910" cy="16573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68910" cy="165735"/>
                      </a:xfrm>
                      <a:prstGeom prst="rect">
                        <a:avLst/>
                      </a:prstGeom>
                    </wps:spPr>
                    <wps:txbx>
                      <w:txbxContent>
                        <w:p>
                          <w:pPr>
                            <w:spacing w:line="245"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wps:txbx>
                    <wps:bodyPr wrap="square" lIns="0" tIns="0" rIns="0" bIns="0" rtlCol="0">
                      <a:noAutofit/>
                    </wps:bodyPr>
                  </wps:wsp>
                </a:graphicData>
              </a:graphic>
            </wp:anchor>
          </w:drawing>
        </mc:Choice>
        <mc:Fallback>
          <w:pict>
            <v:shape style="position:absolute;margin-left:291.130005pt;margin-top:780.895996pt;width:13.3pt;height:13.05pt;mso-position-horizontal-relative:page;mso-position-vertical-relative:page;z-index:-18720768" type="#_x0000_t202" id="docshape2" filled="false" stroked="false">
              <v:textbox inset="0,0,0,0">
                <w:txbxContent>
                  <w:p>
                    <w:pPr>
                      <w:spacing w:line="245"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2"/>
      <w:numFmt w:val="decimal"/>
      <w:lvlText w:val="%1."/>
      <w:lvlJc w:val="left"/>
      <w:pPr>
        <w:ind w:left="3264" w:hanging="2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3855" w:hanging="240"/>
      </w:pPr>
      <w:rPr>
        <w:rFonts w:hint="default"/>
        <w:lang w:val="ms" w:eastAsia="en-US" w:bidi="ar-SA"/>
      </w:rPr>
    </w:lvl>
    <w:lvl w:ilvl="2">
      <w:start w:val="0"/>
      <w:numFmt w:val="bullet"/>
      <w:lvlText w:val="•"/>
      <w:lvlJc w:val="left"/>
      <w:pPr>
        <w:ind w:left="4450" w:hanging="240"/>
      </w:pPr>
      <w:rPr>
        <w:rFonts w:hint="default"/>
        <w:lang w:val="ms" w:eastAsia="en-US" w:bidi="ar-SA"/>
      </w:rPr>
    </w:lvl>
    <w:lvl w:ilvl="3">
      <w:start w:val="0"/>
      <w:numFmt w:val="bullet"/>
      <w:lvlText w:val="•"/>
      <w:lvlJc w:val="left"/>
      <w:pPr>
        <w:ind w:left="5046" w:hanging="240"/>
      </w:pPr>
      <w:rPr>
        <w:rFonts w:hint="default"/>
        <w:lang w:val="ms" w:eastAsia="en-US" w:bidi="ar-SA"/>
      </w:rPr>
    </w:lvl>
    <w:lvl w:ilvl="4">
      <w:start w:val="0"/>
      <w:numFmt w:val="bullet"/>
      <w:lvlText w:val="•"/>
      <w:lvlJc w:val="left"/>
      <w:pPr>
        <w:ind w:left="5641" w:hanging="240"/>
      </w:pPr>
      <w:rPr>
        <w:rFonts w:hint="default"/>
        <w:lang w:val="ms" w:eastAsia="en-US" w:bidi="ar-SA"/>
      </w:rPr>
    </w:lvl>
    <w:lvl w:ilvl="5">
      <w:start w:val="0"/>
      <w:numFmt w:val="bullet"/>
      <w:lvlText w:val="•"/>
      <w:lvlJc w:val="left"/>
      <w:pPr>
        <w:ind w:left="6237" w:hanging="240"/>
      </w:pPr>
      <w:rPr>
        <w:rFonts w:hint="default"/>
        <w:lang w:val="ms" w:eastAsia="en-US" w:bidi="ar-SA"/>
      </w:rPr>
    </w:lvl>
    <w:lvl w:ilvl="6">
      <w:start w:val="0"/>
      <w:numFmt w:val="bullet"/>
      <w:lvlText w:val="•"/>
      <w:lvlJc w:val="left"/>
      <w:pPr>
        <w:ind w:left="6832" w:hanging="240"/>
      </w:pPr>
      <w:rPr>
        <w:rFonts w:hint="default"/>
        <w:lang w:val="ms" w:eastAsia="en-US" w:bidi="ar-SA"/>
      </w:rPr>
    </w:lvl>
    <w:lvl w:ilvl="7">
      <w:start w:val="0"/>
      <w:numFmt w:val="bullet"/>
      <w:lvlText w:val="•"/>
      <w:lvlJc w:val="left"/>
      <w:pPr>
        <w:ind w:left="7428" w:hanging="240"/>
      </w:pPr>
      <w:rPr>
        <w:rFonts w:hint="default"/>
        <w:lang w:val="ms" w:eastAsia="en-US" w:bidi="ar-SA"/>
      </w:rPr>
    </w:lvl>
    <w:lvl w:ilvl="8">
      <w:start w:val="0"/>
      <w:numFmt w:val="bullet"/>
      <w:lvlText w:val="•"/>
      <w:lvlJc w:val="left"/>
      <w:pPr>
        <w:ind w:left="8023" w:hanging="240"/>
      </w:pPr>
      <w:rPr>
        <w:rFonts w:hint="default"/>
        <w:lang w:val="ms" w:eastAsia="en-US" w:bidi="ar-SA"/>
      </w:rPr>
    </w:lvl>
  </w:abstractNum>
  <w:abstractNum w:abstractNumId="27">
    <w:multiLevelType w:val="hybridMultilevel"/>
    <w:lvl w:ilvl="0">
      <w:start w:val="1"/>
      <w:numFmt w:val="decimal"/>
      <w:lvlText w:val="%1."/>
      <w:lvlJc w:val="left"/>
      <w:pPr>
        <w:ind w:left="983" w:hanging="240"/>
        <w:jc w:val="left"/>
      </w:pPr>
      <w:rPr>
        <w:rFonts w:hint="default" w:ascii="Times New Roman" w:hAnsi="Times New Roman" w:eastAsia="Times New Roman" w:cs="Times New Roman"/>
        <w:b/>
        <w:bCs/>
        <w:i w:val="0"/>
        <w:iCs w:val="0"/>
        <w:spacing w:val="0"/>
        <w:w w:val="100"/>
        <w:sz w:val="24"/>
        <w:szCs w:val="24"/>
        <w:lang w:val="ms" w:eastAsia="en-US" w:bidi="ar-SA"/>
      </w:rPr>
    </w:lvl>
    <w:lvl w:ilvl="1">
      <w:start w:val="0"/>
      <w:numFmt w:val="bullet"/>
      <w:lvlText w:val="•"/>
      <w:lvlJc w:val="left"/>
      <w:pPr>
        <w:ind w:left="1803" w:hanging="240"/>
      </w:pPr>
      <w:rPr>
        <w:rFonts w:hint="default"/>
        <w:lang w:val="ms" w:eastAsia="en-US" w:bidi="ar-SA"/>
      </w:rPr>
    </w:lvl>
    <w:lvl w:ilvl="2">
      <w:start w:val="0"/>
      <w:numFmt w:val="bullet"/>
      <w:lvlText w:val="•"/>
      <w:lvlJc w:val="left"/>
      <w:pPr>
        <w:ind w:left="2626" w:hanging="240"/>
      </w:pPr>
      <w:rPr>
        <w:rFonts w:hint="default"/>
        <w:lang w:val="ms" w:eastAsia="en-US" w:bidi="ar-SA"/>
      </w:rPr>
    </w:lvl>
    <w:lvl w:ilvl="3">
      <w:start w:val="0"/>
      <w:numFmt w:val="bullet"/>
      <w:lvlText w:val="•"/>
      <w:lvlJc w:val="left"/>
      <w:pPr>
        <w:ind w:left="3450" w:hanging="240"/>
      </w:pPr>
      <w:rPr>
        <w:rFonts w:hint="default"/>
        <w:lang w:val="ms" w:eastAsia="en-US" w:bidi="ar-SA"/>
      </w:rPr>
    </w:lvl>
    <w:lvl w:ilvl="4">
      <w:start w:val="0"/>
      <w:numFmt w:val="bullet"/>
      <w:lvlText w:val="•"/>
      <w:lvlJc w:val="left"/>
      <w:pPr>
        <w:ind w:left="4273" w:hanging="240"/>
      </w:pPr>
      <w:rPr>
        <w:rFonts w:hint="default"/>
        <w:lang w:val="ms" w:eastAsia="en-US" w:bidi="ar-SA"/>
      </w:rPr>
    </w:lvl>
    <w:lvl w:ilvl="5">
      <w:start w:val="0"/>
      <w:numFmt w:val="bullet"/>
      <w:lvlText w:val="•"/>
      <w:lvlJc w:val="left"/>
      <w:pPr>
        <w:ind w:left="5097" w:hanging="240"/>
      </w:pPr>
      <w:rPr>
        <w:rFonts w:hint="default"/>
        <w:lang w:val="ms" w:eastAsia="en-US" w:bidi="ar-SA"/>
      </w:rPr>
    </w:lvl>
    <w:lvl w:ilvl="6">
      <w:start w:val="0"/>
      <w:numFmt w:val="bullet"/>
      <w:lvlText w:val="•"/>
      <w:lvlJc w:val="left"/>
      <w:pPr>
        <w:ind w:left="5920" w:hanging="240"/>
      </w:pPr>
      <w:rPr>
        <w:rFonts w:hint="default"/>
        <w:lang w:val="ms" w:eastAsia="en-US" w:bidi="ar-SA"/>
      </w:rPr>
    </w:lvl>
    <w:lvl w:ilvl="7">
      <w:start w:val="0"/>
      <w:numFmt w:val="bullet"/>
      <w:lvlText w:val="•"/>
      <w:lvlJc w:val="left"/>
      <w:pPr>
        <w:ind w:left="6744" w:hanging="240"/>
      </w:pPr>
      <w:rPr>
        <w:rFonts w:hint="default"/>
        <w:lang w:val="ms" w:eastAsia="en-US" w:bidi="ar-SA"/>
      </w:rPr>
    </w:lvl>
    <w:lvl w:ilvl="8">
      <w:start w:val="0"/>
      <w:numFmt w:val="bullet"/>
      <w:lvlText w:val="•"/>
      <w:lvlJc w:val="left"/>
      <w:pPr>
        <w:ind w:left="7567" w:hanging="240"/>
      </w:pPr>
      <w:rPr>
        <w:rFonts w:hint="default"/>
        <w:lang w:val="ms" w:eastAsia="en-US" w:bidi="ar-SA"/>
      </w:rPr>
    </w:lvl>
  </w:abstractNum>
  <w:abstractNum w:abstractNumId="26">
    <w:multiLevelType w:val="hybridMultilevel"/>
    <w:lvl w:ilvl="0">
      <w:start w:val="1"/>
      <w:numFmt w:val="decimal"/>
      <w:lvlText w:val="%1."/>
      <w:lvlJc w:val="left"/>
      <w:pPr>
        <w:ind w:left="983" w:hanging="240"/>
        <w:jc w:val="left"/>
      </w:pPr>
      <w:rPr>
        <w:rFonts w:hint="default" w:ascii="Times New Roman" w:hAnsi="Times New Roman" w:eastAsia="Times New Roman" w:cs="Times New Roman"/>
        <w:b/>
        <w:bCs/>
        <w:i w:val="0"/>
        <w:iCs w:val="0"/>
        <w:spacing w:val="0"/>
        <w:w w:val="100"/>
        <w:sz w:val="24"/>
        <w:szCs w:val="24"/>
        <w:lang w:val="ms" w:eastAsia="en-US" w:bidi="ar-SA"/>
      </w:rPr>
    </w:lvl>
    <w:lvl w:ilvl="1">
      <w:start w:val="0"/>
      <w:numFmt w:val="bullet"/>
      <w:lvlText w:val="•"/>
      <w:lvlJc w:val="left"/>
      <w:pPr>
        <w:ind w:left="1803" w:hanging="240"/>
      </w:pPr>
      <w:rPr>
        <w:rFonts w:hint="default"/>
        <w:lang w:val="ms" w:eastAsia="en-US" w:bidi="ar-SA"/>
      </w:rPr>
    </w:lvl>
    <w:lvl w:ilvl="2">
      <w:start w:val="0"/>
      <w:numFmt w:val="bullet"/>
      <w:lvlText w:val="•"/>
      <w:lvlJc w:val="left"/>
      <w:pPr>
        <w:ind w:left="2626" w:hanging="240"/>
      </w:pPr>
      <w:rPr>
        <w:rFonts w:hint="default"/>
        <w:lang w:val="ms" w:eastAsia="en-US" w:bidi="ar-SA"/>
      </w:rPr>
    </w:lvl>
    <w:lvl w:ilvl="3">
      <w:start w:val="0"/>
      <w:numFmt w:val="bullet"/>
      <w:lvlText w:val="•"/>
      <w:lvlJc w:val="left"/>
      <w:pPr>
        <w:ind w:left="3450" w:hanging="240"/>
      </w:pPr>
      <w:rPr>
        <w:rFonts w:hint="default"/>
        <w:lang w:val="ms" w:eastAsia="en-US" w:bidi="ar-SA"/>
      </w:rPr>
    </w:lvl>
    <w:lvl w:ilvl="4">
      <w:start w:val="0"/>
      <w:numFmt w:val="bullet"/>
      <w:lvlText w:val="•"/>
      <w:lvlJc w:val="left"/>
      <w:pPr>
        <w:ind w:left="4273" w:hanging="240"/>
      </w:pPr>
      <w:rPr>
        <w:rFonts w:hint="default"/>
        <w:lang w:val="ms" w:eastAsia="en-US" w:bidi="ar-SA"/>
      </w:rPr>
    </w:lvl>
    <w:lvl w:ilvl="5">
      <w:start w:val="0"/>
      <w:numFmt w:val="bullet"/>
      <w:lvlText w:val="•"/>
      <w:lvlJc w:val="left"/>
      <w:pPr>
        <w:ind w:left="5097" w:hanging="240"/>
      </w:pPr>
      <w:rPr>
        <w:rFonts w:hint="default"/>
        <w:lang w:val="ms" w:eastAsia="en-US" w:bidi="ar-SA"/>
      </w:rPr>
    </w:lvl>
    <w:lvl w:ilvl="6">
      <w:start w:val="0"/>
      <w:numFmt w:val="bullet"/>
      <w:lvlText w:val="•"/>
      <w:lvlJc w:val="left"/>
      <w:pPr>
        <w:ind w:left="5920" w:hanging="240"/>
      </w:pPr>
      <w:rPr>
        <w:rFonts w:hint="default"/>
        <w:lang w:val="ms" w:eastAsia="en-US" w:bidi="ar-SA"/>
      </w:rPr>
    </w:lvl>
    <w:lvl w:ilvl="7">
      <w:start w:val="0"/>
      <w:numFmt w:val="bullet"/>
      <w:lvlText w:val="•"/>
      <w:lvlJc w:val="left"/>
      <w:pPr>
        <w:ind w:left="6744" w:hanging="240"/>
      </w:pPr>
      <w:rPr>
        <w:rFonts w:hint="default"/>
        <w:lang w:val="ms" w:eastAsia="en-US" w:bidi="ar-SA"/>
      </w:rPr>
    </w:lvl>
    <w:lvl w:ilvl="8">
      <w:start w:val="0"/>
      <w:numFmt w:val="bullet"/>
      <w:lvlText w:val="•"/>
      <w:lvlJc w:val="left"/>
      <w:pPr>
        <w:ind w:left="7567" w:hanging="240"/>
      </w:pPr>
      <w:rPr>
        <w:rFonts w:hint="default"/>
        <w:lang w:val="ms" w:eastAsia="en-US" w:bidi="ar-SA"/>
      </w:rPr>
    </w:lvl>
  </w:abstractNum>
  <w:abstractNum w:abstractNumId="25">
    <w:multiLevelType w:val="hybridMultilevel"/>
    <w:lvl w:ilvl="0">
      <w:start w:val="5"/>
      <w:numFmt w:val="decimal"/>
      <w:lvlText w:val="%1"/>
      <w:lvlJc w:val="left"/>
      <w:pPr>
        <w:ind w:left="743" w:hanging="360"/>
        <w:jc w:val="left"/>
      </w:pPr>
      <w:rPr>
        <w:rFonts w:hint="default"/>
        <w:lang w:val="ms" w:eastAsia="en-US" w:bidi="ar-SA"/>
      </w:rPr>
    </w:lvl>
    <w:lvl w:ilvl="1">
      <w:start w:val="1"/>
      <w:numFmt w:val="decimal"/>
      <w:lvlText w:val="%1.%2"/>
      <w:lvlJc w:val="left"/>
      <w:pPr>
        <w:ind w:left="743" w:hanging="360"/>
        <w:jc w:val="left"/>
      </w:pPr>
      <w:rPr>
        <w:rFonts w:hint="default" w:ascii="Times New Roman" w:hAnsi="Times New Roman" w:eastAsia="Times New Roman" w:cs="Times New Roman"/>
        <w:b/>
        <w:bCs/>
        <w:i w:val="0"/>
        <w:iCs w:val="0"/>
        <w:spacing w:val="0"/>
        <w:w w:val="100"/>
        <w:sz w:val="24"/>
        <w:szCs w:val="24"/>
        <w:lang w:val="ms" w:eastAsia="en-US" w:bidi="ar-SA"/>
      </w:rPr>
    </w:lvl>
    <w:lvl w:ilvl="2">
      <w:start w:val="1"/>
      <w:numFmt w:val="decimal"/>
      <w:lvlText w:val="%3."/>
      <w:lvlJc w:val="left"/>
      <w:pPr>
        <w:ind w:left="1463" w:hanging="360"/>
        <w:jc w:val="left"/>
      </w:pPr>
      <w:rPr>
        <w:rFonts w:hint="default"/>
        <w:spacing w:val="0"/>
        <w:w w:val="100"/>
        <w:lang w:val="ms" w:eastAsia="en-US" w:bidi="ar-SA"/>
      </w:rPr>
    </w:lvl>
    <w:lvl w:ilvl="3">
      <w:start w:val="0"/>
      <w:numFmt w:val="bullet"/>
      <w:lvlText w:val="•"/>
      <w:lvlJc w:val="left"/>
      <w:pPr>
        <w:ind w:left="3183" w:hanging="360"/>
      </w:pPr>
      <w:rPr>
        <w:rFonts w:hint="default"/>
        <w:lang w:val="ms" w:eastAsia="en-US" w:bidi="ar-SA"/>
      </w:rPr>
    </w:lvl>
    <w:lvl w:ilvl="4">
      <w:start w:val="0"/>
      <w:numFmt w:val="bullet"/>
      <w:lvlText w:val="•"/>
      <w:lvlJc w:val="left"/>
      <w:pPr>
        <w:ind w:left="4044" w:hanging="360"/>
      </w:pPr>
      <w:rPr>
        <w:rFonts w:hint="default"/>
        <w:lang w:val="ms" w:eastAsia="en-US" w:bidi="ar-SA"/>
      </w:rPr>
    </w:lvl>
    <w:lvl w:ilvl="5">
      <w:start w:val="0"/>
      <w:numFmt w:val="bullet"/>
      <w:lvlText w:val="•"/>
      <w:lvlJc w:val="left"/>
      <w:pPr>
        <w:ind w:left="4906" w:hanging="360"/>
      </w:pPr>
      <w:rPr>
        <w:rFonts w:hint="default"/>
        <w:lang w:val="ms" w:eastAsia="en-US" w:bidi="ar-SA"/>
      </w:rPr>
    </w:lvl>
    <w:lvl w:ilvl="6">
      <w:start w:val="0"/>
      <w:numFmt w:val="bullet"/>
      <w:lvlText w:val="•"/>
      <w:lvlJc w:val="left"/>
      <w:pPr>
        <w:ind w:left="5768" w:hanging="360"/>
      </w:pPr>
      <w:rPr>
        <w:rFonts w:hint="default"/>
        <w:lang w:val="ms" w:eastAsia="en-US" w:bidi="ar-SA"/>
      </w:rPr>
    </w:lvl>
    <w:lvl w:ilvl="7">
      <w:start w:val="0"/>
      <w:numFmt w:val="bullet"/>
      <w:lvlText w:val="•"/>
      <w:lvlJc w:val="left"/>
      <w:pPr>
        <w:ind w:left="6629" w:hanging="360"/>
      </w:pPr>
      <w:rPr>
        <w:rFonts w:hint="default"/>
        <w:lang w:val="ms" w:eastAsia="en-US" w:bidi="ar-SA"/>
      </w:rPr>
    </w:lvl>
    <w:lvl w:ilvl="8">
      <w:start w:val="0"/>
      <w:numFmt w:val="bullet"/>
      <w:lvlText w:val="•"/>
      <w:lvlJc w:val="left"/>
      <w:pPr>
        <w:ind w:left="7491" w:hanging="360"/>
      </w:pPr>
      <w:rPr>
        <w:rFonts w:hint="default"/>
        <w:lang w:val="ms" w:eastAsia="en-US" w:bidi="ar-SA"/>
      </w:rPr>
    </w:lvl>
  </w:abstractNum>
  <w:abstractNum w:abstractNumId="24">
    <w:multiLevelType w:val="hybridMultilevel"/>
    <w:lvl w:ilvl="0">
      <w:start w:val="1"/>
      <w:numFmt w:val="decimal"/>
      <w:lvlText w:val="%1)"/>
      <w:lvlJc w:val="left"/>
      <w:pPr>
        <w:ind w:left="2587" w:hanging="36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3243" w:hanging="361"/>
      </w:pPr>
      <w:rPr>
        <w:rFonts w:hint="default"/>
        <w:lang w:val="ms" w:eastAsia="en-US" w:bidi="ar-SA"/>
      </w:rPr>
    </w:lvl>
    <w:lvl w:ilvl="2">
      <w:start w:val="0"/>
      <w:numFmt w:val="bullet"/>
      <w:lvlText w:val="•"/>
      <w:lvlJc w:val="left"/>
      <w:pPr>
        <w:ind w:left="3906" w:hanging="361"/>
      </w:pPr>
      <w:rPr>
        <w:rFonts w:hint="default"/>
        <w:lang w:val="ms" w:eastAsia="en-US" w:bidi="ar-SA"/>
      </w:rPr>
    </w:lvl>
    <w:lvl w:ilvl="3">
      <w:start w:val="0"/>
      <w:numFmt w:val="bullet"/>
      <w:lvlText w:val="•"/>
      <w:lvlJc w:val="left"/>
      <w:pPr>
        <w:ind w:left="4570" w:hanging="361"/>
      </w:pPr>
      <w:rPr>
        <w:rFonts w:hint="default"/>
        <w:lang w:val="ms" w:eastAsia="en-US" w:bidi="ar-SA"/>
      </w:rPr>
    </w:lvl>
    <w:lvl w:ilvl="4">
      <w:start w:val="0"/>
      <w:numFmt w:val="bullet"/>
      <w:lvlText w:val="•"/>
      <w:lvlJc w:val="left"/>
      <w:pPr>
        <w:ind w:left="5233" w:hanging="361"/>
      </w:pPr>
      <w:rPr>
        <w:rFonts w:hint="default"/>
        <w:lang w:val="ms" w:eastAsia="en-US" w:bidi="ar-SA"/>
      </w:rPr>
    </w:lvl>
    <w:lvl w:ilvl="5">
      <w:start w:val="0"/>
      <w:numFmt w:val="bullet"/>
      <w:lvlText w:val="•"/>
      <w:lvlJc w:val="left"/>
      <w:pPr>
        <w:ind w:left="5897" w:hanging="361"/>
      </w:pPr>
      <w:rPr>
        <w:rFonts w:hint="default"/>
        <w:lang w:val="ms" w:eastAsia="en-US" w:bidi="ar-SA"/>
      </w:rPr>
    </w:lvl>
    <w:lvl w:ilvl="6">
      <w:start w:val="0"/>
      <w:numFmt w:val="bullet"/>
      <w:lvlText w:val="•"/>
      <w:lvlJc w:val="left"/>
      <w:pPr>
        <w:ind w:left="6560" w:hanging="361"/>
      </w:pPr>
      <w:rPr>
        <w:rFonts w:hint="default"/>
        <w:lang w:val="ms" w:eastAsia="en-US" w:bidi="ar-SA"/>
      </w:rPr>
    </w:lvl>
    <w:lvl w:ilvl="7">
      <w:start w:val="0"/>
      <w:numFmt w:val="bullet"/>
      <w:lvlText w:val="•"/>
      <w:lvlJc w:val="left"/>
      <w:pPr>
        <w:ind w:left="7224" w:hanging="361"/>
      </w:pPr>
      <w:rPr>
        <w:rFonts w:hint="default"/>
        <w:lang w:val="ms" w:eastAsia="en-US" w:bidi="ar-SA"/>
      </w:rPr>
    </w:lvl>
    <w:lvl w:ilvl="8">
      <w:start w:val="0"/>
      <w:numFmt w:val="bullet"/>
      <w:lvlText w:val="•"/>
      <w:lvlJc w:val="left"/>
      <w:pPr>
        <w:ind w:left="7887" w:hanging="361"/>
      </w:pPr>
      <w:rPr>
        <w:rFonts w:hint="default"/>
        <w:lang w:val="ms" w:eastAsia="en-US" w:bidi="ar-SA"/>
      </w:rPr>
    </w:lvl>
  </w:abstractNum>
  <w:abstractNum w:abstractNumId="23">
    <w:multiLevelType w:val="hybridMultilevel"/>
    <w:lvl w:ilvl="0">
      <w:start w:val="4"/>
      <w:numFmt w:val="decimal"/>
      <w:lvlText w:val="%1"/>
      <w:lvlJc w:val="left"/>
      <w:pPr>
        <w:ind w:left="743" w:hanging="360"/>
        <w:jc w:val="left"/>
      </w:pPr>
      <w:rPr>
        <w:rFonts w:hint="default"/>
        <w:lang w:val="ms" w:eastAsia="en-US" w:bidi="ar-SA"/>
      </w:rPr>
    </w:lvl>
    <w:lvl w:ilvl="1">
      <w:start w:val="1"/>
      <w:numFmt w:val="decimal"/>
      <w:lvlText w:val="%1.%2"/>
      <w:lvlJc w:val="left"/>
      <w:pPr>
        <w:ind w:left="743" w:hanging="360"/>
        <w:jc w:val="left"/>
      </w:pPr>
      <w:rPr>
        <w:rFonts w:hint="default" w:ascii="Times New Roman" w:hAnsi="Times New Roman" w:eastAsia="Times New Roman" w:cs="Times New Roman"/>
        <w:b/>
        <w:bCs/>
        <w:i w:val="0"/>
        <w:iCs w:val="0"/>
        <w:spacing w:val="0"/>
        <w:w w:val="100"/>
        <w:sz w:val="24"/>
        <w:szCs w:val="24"/>
        <w:lang w:val="ms" w:eastAsia="en-US" w:bidi="ar-SA"/>
      </w:rPr>
    </w:lvl>
    <w:lvl w:ilvl="2">
      <w:start w:val="1"/>
      <w:numFmt w:val="decimal"/>
      <w:lvlText w:val="%1.%2.%3"/>
      <w:lvlJc w:val="left"/>
      <w:pPr>
        <w:ind w:left="1463" w:hanging="732"/>
        <w:jc w:val="left"/>
      </w:pPr>
      <w:rPr>
        <w:rFonts w:hint="default" w:ascii="Times New Roman" w:hAnsi="Times New Roman" w:eastAsia="Times New Roman" w:cs="Times New Roman"/>
        <w:b/>
        <w:bCs/>
        <w:i w:val="0"/>
        <w:iCs w:val="0"/>
        <w:spacing w:val="0"/>
        <w:w w:val="100"/>
        <w:sz w:val="24"/>
        <w:szCs w:val="24"/>
        <w:lang w:val="ms" w:eastAsia="en-US" w:bidi="ar-SA"/>
      </w:rPr>
    </w:lvl>
    <w:lvl w:ilvl="3">
      <w:start w:val="1"/>
      <w:numFmt w:val="decimal"/>
      <w:lvlText w:val="%4."/>
      <w:lvlJc w:val="left"/>
      <w:pPr>
        <w:ind w:left="1866" w:hanging="360"/>
        <w:jc w:val="left"/>
      </w:pPr>
      <w:rPr>
        <w:rFonts w:hint="default" w:ascii="Times New Roman" w:hAnsi="Times New Roman" w:eastAsia="Times New Roman" w:cs="Times New Roman"/>
        <w:b/>
        <w:bCs/>
        <w:i w:val="0"/>
        <w:iCs w:val="0"/>
        <w:spacing w:val="0"/>
        <w:w w:val="100"/>
        <w:sz w:val="24"/>
        <w:szCs w:val="24"/>
        <w:lang w:val="ms" w:eastAsia="en-US" w:bidi="ar-SA"/>
      </w:rPr>
    </w:lvl>
    <w:lvl w:ilvl="4">
      <w:start w:val="1"/>
      <w:numFmt w:val="decimal"/>
      <w:lvlText w:val="%5)"/>
      <w:lvlJc w:val="left"/>
      <w:pPr>
        <w:ind w:left="2587" w:hanging="36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5">
      <w:start w:val="0"/>
      <w:numFmt w:val="bullet"/>
      <w:lvlText w:val="•"/>
      <w:lvlJc w:val="left"/>
      <w:pPr>
        <w:ind w:left="4475" w:hanging="361"/>
      </w:pPr>
      <w:rPr>
        <w:rFonts w:hint="default"/>
        <w:lang w:val="ms" w:eastAsia="en-US" w:bidi="ar-SA"/>
      </w:rPr>
    </w:lvl>
    <w:lvl w:ilvl="6">
      <w:start w:val="0"/>
      <w:numFmt w:val="bullet"/>
      <w:lvlText w:val="•"/>
      <w:lvlJc w:val="left"/>
      <w:pPr>
        <w:ind w:left="5423" w:hanging="361"/>
      </w:pPr>
      <w:rPr>
        <w:rFonts w:hint="default"/>
        <w:lang w:val="ms" w:eastAsia="en-US" w:bidi="ar-SA"/>
      </w:rPr>
    </w:lvl>
    <w:lvl w:ilvl="7">
      <w:start w:val="0"/>
      <w:numFmt w:val="bullet"/>
      <w:lvlText w:val="•"/>
      <w:lvlJc w:val="left"/>
      <w:pPr>
        <w:ind w:left="6371" w:hanging="361"/>
      </w:pPr>
      <w:rPr>
        <w:rFonts w:hint="default"/>
        <w:lang w:val="ms" w:eastAsia="en-US" w:bidi="ar-SA"/>
      </w:rPr>
    </w:lvl>
    <w:lvl w:ilvl="8">
      <w:start w:val="0"/>
      <w:numFmt w:val="bullet"/>
      <w:lvlText w:val="•"/>
      <w:lvlJc w:val="left"/>
      <w:pPr>
        <w:ind w:left="7318" w:hanging="361"/>
      </w:pPr>
      <w:rPr>
        <w:rFonts w:hint="default"/>
        <w:lang w:val="ms" w:eastAsia="en-US" w:bidi="ar-SA"/>
      </w:rPr>
    </w:lvl>
  </w:abstractNum>
  <w:abstractNum w:abstractNumId="22">
    <w:multiLevelType w:val="hybridMultilevel"/>
    <w:lvl w:ilvl="0">
      <w:start w:val="3"/>
      <w:numFmt w:val="decimal"/>
      <w:lvlText w:val="%1"/>
      <w:lvlJc w:val="left"/>
      <w:pPr>
        <w:ind w:left="863" w:hanging="480"/>
        <w:jc w:val="left"/>
      </w:pPr>
      <w:rPr>
        <w:rFonts w:hint="default"/>
        <w:lang w:val="ms" w:eastAsia="en-US" w:bidi="ar-SA"/>
      </w:rPr>
    </w:lvl>
    <w:lvl w:ilvl="1">
      <w:start w:val="1"/>
      <w:numFmt w:val="decimal"/>
      <w:lvlText w:val="%1.%2"/>
      <w:lvlJc w:val="left"/>
      <w:pPr>
        <w:ind w:left="863" w:hanging="480"/>
        <w:jc w:val="left"/>
      </w:pPr>
      <w:rPr>
        <w:rFonts w:hint="default" w:ascii="Times New Roman" w:hAnsi="Times New Roman" w:eastAsia="Times New Roman" w:cs="Times New Roman"/>
        <w:b/>
        <w:bCs/>
        <w:i w:val="0"/>
        <w:iCs w:val="0"/>
        <w:spacing w:val="0"/>
        <w:w w:val="100"/>
        <w:sz w:val="24"/>
        <w:szCs w:val="24"/>
        <w:lang w:val="ms" w:eastAsia="en-US" w:bidi="ar-SA"/>
      </w:rPr>
    </w:lvl>
    <w:lvl w:ilvl="2">
      <w:start w:val="1"/>
      <w:numFmt w:val="decimal"/>
      <w:lvlText w:val="%1.%2.%3"/>
      <w:lvlJc w:val="left"/>
      <w:pPr>
        <w:ind w:left="1283" w:hanging="540"/>
        <w:jc w:val="left"/>
      </w:pPr>
      <w:rPr>
        <w:rFonts w:hint="default" w:ascii="Times New Roman" w:hAnsi="Times New Roman" w:eastAsia="Times New Roman" w:cs="Times New Roman"/>
        <w:b/>
        <w:bCs/>
        <w:i w:val="0"/>
        <w:iCs w:val="0"/>
        <w:spacing w:val="0"/>
        <w:w w:val="100"/>
        <w:sz w:val="24"/>
        <w:szCs w:val="24"/>
        <w:lang w:val="ms" w:eastAsia="en-US" w:bidi="ar-SA"/>
      </w:rPr>
    </w:lvl>
    <w:lvl w:ilvl="3">
      <w:start w:val="1"/>
      <w:numFmt w:val="decimal"/>
      <w:lvlText w:val="%4."/>
      <w:lvlJc w:val="left"/>
      <w:pPr>
        <w:ind w:left="1823" w:hanging="360"/>
        <w:jc w:val="left"/>
      </w:pPr>
      <w:rPr>
        <w:rFonts w:hint="default" w:ascii="Times New Roman" w:hAnsi="Times New Roman" w:eastAsia="Times New Roman" w:cs="Times New Roman"/>
        <w:b/>
        <w:bCs/>
        <w:i w:val="0"/>
        <w:iCs w:val="0"/>
        <w:spacing w:val="0"/>
        <w:w w:val="100"/>
        <w:sz w:val="24"/>
        <w:szCs w:val="24"/>
        <w:lang w:val="ms" w:eastAsia="en-US" w:bidi="ar-SA"/>
      </w:rPr>
    </w:lvl>
    <w:lvl w:ilvl="4">
      <w:start w:val="1"/>
      <w:numFmt w:val="lowerLetter"/>
      <w:lvlText w:val="%5)"/>
      <w:lvlJc w:val="left"/>
      <w:pPr>
        <w:ind w:left="2544" w:hanging="361"/>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5">
      <w:start w:val="0"/>
      <w:numFmt w:val="bullet"/>
      <w:lvlText w:val="•"/>
      <w:lvlJc w:val="left"/>
      <w:pPr>
        <w:ind w:left="3652" w:hanging="361"/>
      </w:pPr>
      <w:rPr>
        <w:rFonts w:hint="default"/>
        <w:lang w:val="ms" w:eastAsia="en-US" w:bidi="ar-SA"/>
      </w:rPr>
    </w:lvl>
    <w:lvl w:ilvl="6">
      <w:start w:val="0"/>
      <w:numFmt w:val="bullet"/>
      <w:lvlText w:val="•"/>
      <w:lvlJc w:val="left"/>
      <w:pPr>
        <w:ind w:left="4764" w:hanging="361"/>
      </w:pPr>
      <w:rPr>
        <w:rFonts w:hint="default"/>
        <w:lang w:val="ms" w:eastAsia="en-US" w:bidi="ar-SA"/>
      </w:rPr>
    </w:lvl>
    <w:lvl w:ilvl="7">
      <w:start w:val="0"/>
      <w:numFmt w:val="bullet"/>
      <w:lvlText w:val="•"/>
      <w:lvlJc w:val="left"/>
      <w:pPr>
        <w:ind w:left="5877" w:hanging="361"/>
      </w:pPr>
      <w:rPr>
        <w:rFonts w:hint="default"/>
        <w:lang w:val="ms" w:eastAsia="en-US" w:bidi="ar-SA"/>
      </w:rPr>
    </w:lvl>
    <w:lvl w:ilvl="8">
      <w:start w:val="0"/>
      <w:numFmt w:val="bullet"/>
      <w:lvlText w:val="•"/>
      <w:lvlJc w:val="left"/>
      <w:pPr>
        <w:ind w:left="6989" w:hanging="361"/>
      </w:pPr>
      <w:rPr>
        <w:rFonts w:hint="default"/>
        <w:lang w:val="ms" w:eastAsia="en-US" w:bidi="ar-SA"/>
      </w:rPr>
    </w:lvl>
  </w:abstractNum>
  <w:abstractNum w:abstractNumId="21">
    <w:multiLevelType w:val="hybridMultilevel"/>
    <w:lvl w:ilvl="0">
      <w:start w:val="1"/>
      <w:numFmt w:val="lowerLetter"/>
      <w:lvlText w:val="%1."/>
      <w:lvlJc w:val="left"/>
      <w:pPr>
        <w:ind w:left="290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1">
      <w:start w:val="1"/>
      <w:numFmt w:val="decimal"/>
      <w:lvlText w:val="%2)"/>
      <w:lvlJc w:val="left"/>
      <w:pPr>
        <w:ind w:left="3624"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decimal"/>
      <w:lvlText w:val="%3)"/>
      <w:lvlJc w:val="left"/>
      <w:pPr>
        <w:ind w:left="4344"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start w:val="1"/>
      <w:numFmt w:val="lowerLetter"/>
      <w:lvlText w:val="%4."/>
      <w:lvlJc w:val="left"/>
      <w:pPr>
        <w:ind w:left="470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4">
      <w:start w:val="0"/>
      <w:numFmt w:val="bullet"/>
      <w:lvlText w:val="•"/>
      <w:lvlJc w:val="left"/>
      <w:pPr>
        <w:ind w:left="5344" w:hanging="360"/>
      </w:pPr>
      <w:rPr>
        <w:rFonts w:hint="default"/>
        <w:lang w:val="ms" w:eastAsia="en-US" w:bidi="ar-SA"/>
      </w:rPr>
    </w:lvl>
    <w:lvl w:ilvl="5">
      <w:start w:val="0"/>
      <w:numFmt w:val="bullet"/>
      <w:lvlText w:val="•"/>
      <w:lvlJc w:val="left"/>
      <w:pPr>
        <w:ind w:left="5989" w:hanging="360"/>
      </w:pPr>
      <w:rPr>
        <w:rFonts w:hint="default"/>
        <w:lang w:val="ms" w:eastAsia="en-US" w:bidi="ar-SA"/>
      </w:rPr>
    </w:lvl>
    <w:lvl w:ilvl="6">
      <w:start w:val="0"/>
      <w:numFmt w:val="bullet"/>
      <w:lvlText w:val="•"/>
      <w:lvlJc w:val="left"/>
      <w:pPr>
        <w:ind w:left="6634" w:hanging="360"/>
      </w:pPr>
      <w:rPr>
        <w:rFonts w:hint="default"/>
        <w:lang w:val="ms" w:eastAsia="en-US" w:bidi="ar-SA"/>
      </w:rPr>
    </w:lvl>
    <w:lvl w:ilvl="7">
      <w:start w:val="0"/>
      <w:numFmt w:val="bullet"/>
      <w:lvlText w:val="•"/>
      <w:lvlJc w:val="left"/>
      <w:pPr>
        <w:ind w:left="7279" w:hanging="360"/>
      </w:pPr>
      <w:rPr>
        <w:rFonts w:hint="default"/>
        <w:lang w:val="ms" w:eastAsia="en-US" w:bidi="ar-SA"/>
      </w:rPr>
    </w:lvl>
    <w:lvl w:ilvl="8">
      <w:start w:val="0"/>
      <w:numFmt w:val="bullet"/>
      <w:lvlText w:val="•"/>
      <w:lvlJc w:val="left"/>
      <w:pPr>
        <w:ind w:left="7924" w:hanging="360"/>
      </w:pPr>
      <w:rPr>
        <w:rFonts w:hint="default"/>
        <w:lang w:val="ms" w:eastAsia="en-US" w:bidi="ar-SA"/>
      </w:rPr>
    </w:lvl>
  </w:abstractNum>
  <w:abstractNum w:abstractNumId="20">
    <w:multiLevelType w:val="hybridMultilevel"/>
    <w:lvl w:ilvl="0">
      <w:start w:val="1"/>
      <w:numFmt w:val="decimal"/>
      <w:lvlText w:val="%1)"/>
      <w:lvlJc w:val="left"/>
      <w:pPr>
        <w:ind w:left="2904"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decimal"/>
      <w:lvlText w:val="%2."/>
      <w:lvlJc w:val="left"/>
      <w:pPr>
        <w:ind w:left="3624"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lowerLetter"/>
      <w:lvlText w:val="%3."/>
      <w:lvlJc w:val="left"/>
      <w:pPr>
        <w:ind w:left="398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3">
      <w:start w:val="0"/>
      <w:numFmt w:val="bullet"/>
      <w:lvlText w:val="•"/>
      <w:lvlJc w:val="left"/>
      <w:pPr>
        <w:ind w:left="4634" w:hanging="360"/>
      </w:pPr>
      <w:rPr>
        <w:rFonts w:hint="default"/>
        <w:lang w:val="ms" w:eastAsia="en-US" w:bidi="ar-SA"/>
      </w:rPr>
    </w:lvl>
    <w:lvl w:ilvl="4">
      <w:start w:val="0"/>
      <w:numFmt w:val="bullet"/>
      <w:lvlText w:val="•"/>
      <w:lvlJc w:val="left"/>
      <w:pPr>
        <w:ind w:left="5288" w:hanging="360"/>
      </w:pPr>
      <w:rPr>
        <w:rFonts w:hint="default"/>
        <w:lang w:val="ms" w:eastAsia="en-US" w:bidi="ar-SA"/>
      </w:rPr>
    </w:lvl>
    <w:lvl w:ilvl="5">
      <w:start w:val="0"/>
      <w:numFmt w:val="bullet"/>
      <w:lvlText w:val="•"/>
      <w:lvlJc w:val="left"/>
      <w:pPr>
        <w:ind w:left="5942" w:hanging="360"/>
      </w:pPr>
      <w:rPr>
        <w:rFonts w:hint="default"/>
        <w:lang w:val="ms" w:eastAsia="en-US" w:bidi="ar-SA"/>
      </w:rPr>
    </w:lvl>
    <w:lvl w:ilvl="6">
      <w:start w:val="0"/>
      <w:numFmt w:val="bullet"/>
      <w:lvlText w:val="•"/>
      <w:lvlJc w:val="left"/>
      <w:pPr>
        <w:ind w:left="6597" w:hanging="360"/>
      </w:pPr>
      <w:rPr>
        <w:rFonts w:hint="default"/>
        <w:lang w:val="ms" w:eastAsia="en-US" w:bidi="ar-SA"/>
      </w:rPr>
    </w:lvl>
    <w:lvl w:ilvl="7">
      <w:start w:val="0"/>
      <w:numFmt w:val="bullet"/>
      <w:lvlText w:val="•"/>
      <w:lvlJc w:val="left"/>
      <w:pPr>
        <w:ind w:left="7251" w:hanging="360"/>
      </w:pPr>
      <w:rPr>
        <w:rFonts w:hint="default"/>
        <w:lang w:val="ms" w:eastAsia="en-US" w:bidi="ar-SA"/>
      </w:rPr>
    </w:lvl>
    <w:lvl w:ilvl="8">
      <w:start w:val="0"/>
      <w:numFmt w:val="bullet"/>
      <w:lvlText w:val="•"/>
      <w:lvlJc w:val="left"/>
      <w:pPr>
        <w:ind w:left="7905" w:hanging="360"/>
      </w:pPr>
      <w:rPr>
        <w:rFonts w:hint="default"/>
        <w:lang w:val="ms" w:eastAsia="en-US" w:bidi="ar-SA"/>
      </w:rPr>
    </w:lvl>
  </w:abstractNum>
  <w:abstractNum w:abstractNumId="19">
    <w:multiLevelType w:val="hybridMultilevel"/>
    <w:lvl w:ilvl="0">
      <w:start w:val="1"/>
      <w:numFmt w:val="lowerLetter"/>
      <w:lvlText w:val="%1."/>
      <w:lvlJc w:val="left"/>
      <w:pPr>
        <w:ind w:left="290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1">
      <w:start w:val="1"/>
      <w:numFmt w:val="decimal"/>
      <w:lvlText w:val="%2."/>
      <w:lvlJc w:val="left"/>
      <w:pPr>
        <w:ind w:left="3624"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lowerLetter"/>
      <w:lvlText w:val="%3."/>
      <w:lvlJc w:val="left"/>
      <w:pPr>
        <w:ind w:left="434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3">
      <w:start w:val="0"/>
      <w:numFmt w:val="bullet"/>
      <w:lvlText w:val="•"/>
      <w:lvlJc w:val="left"/>
      <w:pPr>
        <w:ind w:left="4949" w:hanging="360"/>
      </w:pPr>
      <w:rPr>
        <w:rFonts w:hint="default"/>
        <w:lang w:val="ms" w:eastAsia="en-US" w:bidi="ar-SA"/>
      </w:rPr>
    </w:lvl>
    <w:lvl w:ilvl="4">
      <w:start w:val="0"/>
      <w:numFmt w:val="bullet"/>
      <w:lvlText w:val="•"/>
      <w:lvlJc w:val="left"/>
      <w:pPr>
        <w:ind w:left="5558" w:hanging="360"/>
      </w:pPr>
      <w:rPr>
        <w:rFonts w:hint="default"/>
        <w:lang w:val="ms" w:eastAsia="en-US" w:bidi="ar-SA"/>
      </w:rPr>
    </w:lvl>
    <w:lvl w:ilvl="5">
      <w:start w:val="0"/>
      <w:numFmt w:val="bullet"/>
      <w:lvlText w:val="•"/>
      <w:lvlJc w:val="left"/>
      <w:pPr>
        <w:ind w:left="6167" w:hanging="360"/>
      </w:pPr>
      <w:rPr>
        <w:rFonts w:hint="default"/>
        <w:lang w:val="ms" w:eastAsia="en-US" w:bidi="ar-SA"/>
      </w:rPr>
    </w:lvl>
    <w:lvl w:ilvl="6">
      <w:start w:val="0"/>
      <w:numFmt w:val="bullet"/>
      <w:lvlText w:val="•"/>
      <w:lvlJc w:val="left"/>
      <w:pPr>
        <w:ind w:left="6777" w:hanging="360"/>
      </w:pPr>
      <w:rPr>
        <w:rFonts w:hint="default"/>
        <w:lang w:val="ms" w:eastAsia="en-US" w:bidi="ar-SA"/>
      </w:rPr>
    </w:lvl>
    <w:lvl w:ilvl="7">
      <w:start w:val="0"/>
      <w:numFmt w:val="bullet"/>
      <w:lvlText w:val="•"/>
      <w:lvlJc w:val="left"/>
      <w:pPr>
        <w:ind w:left="7386" w:hanging="360"/>
      </w:pPr>
      <w:rPr>
        <w:rFonts w:hint="default"/>
        <w:lang w:val="ms" w:eastAsia="en-US" w:bidi="ar-SA"/>
      </w:rPr>
    </w:lvl>
    <w:lvl w:ilvl="8">
      <w:start w:val="0"/>
      <w:numFmt w:val="bullet"/>
      <w:lvlText w:val="•"/>
      <w:lvlJc w:val="left"/>
      <w:pPr>
        <w:ind w:left="7995" w:hanging="360"/>
      </w:pPr>
      <w:rPr>
        <w:rFonts w:hint="default"/>
        <w:lang w:val="ms" w:eastAsia="en-US" w:bidi="ar-SA"/>
      </w:rPr>
    </w:lvl>
  </w:abstractNum>
  <w:abstractNum w:abstractNumId="18">
    <w:multiLevelType w:val="hybridMultilevel"/>
    <w:lvl w:ilvl="0">
      <w:start w:val="1"/>
      <w:numFmt w:val="decimal"/>
      <w:lvlText w:val="%1)"/>
      <w:lvlJc w:val="left"/>
      <w:pPr>
        <w:ind w:left="2904"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lowerLetter"/>
      <w:lvlText w:val="%2."/>
      <w:lvlJc w:val="left"/>
      <w:pPr>
        <w:ind w:left="362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2">
      <w:start w:val="0"/>
      <w:numFmt w:val="bullet"/>
      <w:lvlText w:val="•"/>
      <w:lvlJc w:val="left"/>
      <w:pPr>
        <w:ind w:left="4241" w:hanging="360"/>
      </w:pPr>
      <w:rPr>
        <w:rFonts w:hint="default"/>
        <w:lang w:val="ms" w:eastAsia="en-US" w:bidi="ar-SA"/>
      </w:rPr>
    </w:lvl>
    <w:lvl w:ilvl="3">
      <w:start w:val="0"/>
      <w:numFmt w:val="bullet"/>
      <w:lvlText w:val="•"/>
      <w:lvlJc w:val="left"/>
      <w:pPr>
        <w:ind w:left="4863" w:hanging="360"/>
      </w:pPr>
      <w:rPr>
        <w:rFonts w:hint="default"/>
        <w:lang w:val="ms" w:eastAsia="en-US" w:bidi="ar-SA"/>
      </w:rPr>
    </w:lvl>
    <w:lvl w:ilvl="4">
      <w:start w:val="0"/>
      <w:numFmt w:val="bullet"/>
      <w:lvlText w:val="•"/>
      <w:lvlJc w:val="left"/>
      <w:pPr>
        <w:ind w:left="5484" w:hanging="360"/>
      </w:pPr>
      <w:rPr>
        <w:rFonts w:hint="default"/>
        <w:lang w:val="ms" w:eastAsia="en-US" w:bidi="ar-SA"/>
      </w:rPr>
    </w:lvl>
    <w:lvl w:ilvl="5">
      <w:start w:val="0"/>
      <w:numFmt w:val="bullet"/>
      <w:lvlText w:val="•"/>
      <w:lvlJc w:val="left"/>
      <w:pPr>
        <w:ind w:left="6106" w:hanging="360"/>
      </w:pPr>
      <w:rPr>
        <w:rFonts w:hint="default"/>
        <w:lang w:val="ms" w:eastAsia="en-US" w:bidi="ar-SA"/>
      </w:rPr>
    </w:lvl>
    <w:lvl w:ilvl="6">
      <w:start w:val="0"/>
      <w:numFmt w:val="bullet"/>
      <w:lvlText w:val="•"/>
      <w:lvlJc w:val="left"/>
      <w:pPr>
        <w:ind w:left="6728" w:hanging="360"/>
      </w:pPr>
      <w:rPr>
        <w:rFonts w:hint="default"/>
        <w:lang w:val="ms" w:eastAsia="en-US" w:bidi="ar-SA"/>
      </w:rPr>
    </w:lvl>
    <w:lvl w:ilvl="7">
      <w:start w:val="0"/>
      <w:numFmt w:val="bullet"/>
      <w:lvlText w:val="•"/>
      <w:lvlJc w:val="left"/>
      <w:pPr>
        <w:ind w:left="7349" w:hanging="360"/>
      </w:pPr>
      <w:rPr>
        <w:rFonts w:hint="default"/>
        <w:lang w:val="ms" w:eastAsia="en-US" w:bidi="ar-SA"/>
      </w:rPr>
    </w:lvl>
    <w:lvl w:ilvl="8">
      <w:start w:val="0"/>
      <w:numFmt w:val="bullet"/>
      <w:lvlText w:val="•"/>
      <w:lvlJc w:val="left"/>
      <w:pPr>
        <w:ind w:left="7971" w:hanging="360"/>
      </w:pPr>
      <w:rPr>
        <w:rFonts w:hint="default"/>
        <w:lang w:val="ms" w:eastAsia="en-US" w:bidi="ar-SA"/>
      </w:rPr>
    </w:lvl>
  </w:abstractNum>
  <w:abstractNum w:abstractNumId="17">
    <w:multiLevelType w:val="hybridMultilevel"/>
    <w:lvl w:ilvl="0">
      <w:start w:val="1"/>
      <w:numFmt w:val="lowerLetter"/>
      <w:lvlText w:val="%1."/>
      <w:lvlJc w:val="left"/>
      <w:pPr>
        <w:ind w:left="362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1">
      <w:start w:val="0"/>
      <w:numFmt w:val="bullet"/>
      <w:lvlText w:val="•"/>
      <w:lvlJc w:val="left"/>
      <w:pPr>
        <w:ind w:left="4179" w:hanging="360"/>
      </w:pPr>
      <w:rPr>
        <w:rFonts w:hint="default"/>
        <w:lang w:val="ms" w:eastAsia="en-US" w:bidi="ar-SA"/>
      </w:rPr>
    </w:lvl>
    <w:lvl w:ilvl="2">
      <w:start w:val="0"/>
      <w:numFmt w:val="bullet"/>
      <w:lvlText w:val="•"/>
      <w:lvlJc w:val="left"/>
      <w:pPr>
        <w:ind w:left="4738" w:hanging="360"/>
      </w:pPr>
      <w:rPr>
        <w:rFonts w:hint="default"/>
        <w:lang w:val="ms" w:eastAsia="en-US" w:bidi="ar-SA"/>
      </w:rPr>
    </w:lvl>
    <w:lvl w:ilvl="3">
      <w:start w:val="0"/>
      <w:numFmt w:val="bullet"/>
      <w:lvlText w:val="•"/>
      <w:lvlJc w:val="left"/>
      <w:pPr>
        <w:ind w:left="5298" w:hanging="360"/>
      </w:pPr>
      <w:rPr>
        <w:rFonts w:hint="default"/>
        <w:lang w:val="ms" w:eastAsia="en-US" w:bidi="ar-SA"/>
      </w:rPr>
    </w:lvl>
    <w:lvl w:ilvl="4">
      <w:start w:val="0"/>
      <w:numFmt w:val="bullet"/>
      <w:lvlText w:val="•"/>
      <w:lvlJc w:val="left"/>
      <w:pPr>
        <w:ind w:left="5857" w:hanging="360"/>
      </w:pPr>
      <w:rPr>
        <w:rFonts w:hint="default"/>
        <w:lang w:val="ms" w:eastAsia="en-US" w:bidi="ar-SA"/>
      </w:rPr>
    </w:lvl>
    <w:lvl w:ilvl="5">
      <w:start w:val="0"/>
      <w:numFmt w:val="bullet"/>
      <w:lvlText w:val="•"/>
      <w:lvlJc w:val="left"/>
      <w:pPr>
        <w:ind w:left="6417" w:hanging="360"/>
      </w:pPr>
      <w:rPr>
        <w:rFonts w:hint="default"/>
        <w:lang w:val="ms" w:eastAsia="en-US" w:bidi="ar-SA"/>
      </w:rPr>
    </w:lvl>
    <w:lvl w:ilvl="6">
      <w:start w:val="0"/>
      <w:numFmt w:val="bullet"/>
      <w:lvlText w:val="•"/>
      <w:lvlJc w:val="left"/>
      <w:pPr>
        <w:ind w:left="6976" w:hanging="360"/>
      </w:pPr>
      <w:rPr>
        <w:rFonts w:hint="default"/>
        <w:lang w:val="ms" w:eastAsia="en-US" w:bidi="ar-SA"/>
      </w:rPr>
    </w:lvl>
    <w:lvl w:ilvl="7">
      <w:start w:val="0"/>
      <w:numFmt w:val="bullet"/>
      <w:lvlText w:val="•"/>
      <w:lvlJc w:val="left"/>
      <w:pPr>
        <w:ind w:left="7536" w:hanging="360"/>
      </w:pPr>
      <w:rPr>
        <w:rFonts w:hint="default"/>
        <w:lang w:val="ms" w:eastAsia="en-US" w:bidi="ar-SA"/>
      </w:rPr>
    </w:lvl>
    <w:lvl w:ilvl="8">
      <w:start w:val="0"/>
      <w:numFmt w:val="bullet"/>
      <w:lvlText w:val="•"/>
      <w:lvlJc w:val="left"/>
      <w:pPr>
        <w:ind w:left="8095" w:hanging="360"/>
      </w:pPr>
      <w:rPr>
        <w:rFonts w:hint="default"/>
        <w:lang w:val="ms" w:eastAsia="en-US" w:bidi="ar-SA"/>
      </w:rPr>
    </w:lvl>
  </w:abstractNum>
  <w:abstractNum w:abstractNumId="16">
    <w:multiLevelType w:val="hybridMultilevel"/>
    <w:lvl w:ilvl="0">
      <w:start w:val="1"/>
      <w:numFmt w:val="decimal"/>
      <w:lvlText w:val="%1)"/>
      <w:lvlJc w:val="left"/>
      <w:pPr>
        <w:ind w:left="2544" w:hanging="36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3207" w:hanging="361"/>
      </w:pPr>
      <w:rPr>
        <w:rFonts w:hint="default"/>
        <w:lang w:val="ms" w:eastAsia="en-US" w:bidi="ar-SA"/>
      </w:rPr>
    </w:lvl>
    <w:lvl w:ilvl="2">
      <w:start w:val="0"/>
      <w:numFmt w:val="bullet"/>
      <w:lvlText w:val="•"/>
      <w:lvlJc w:val="left"/>
      <w:pPr>
        <w:ind w:left="3874" w:hanging="361"/>
      </w:pPr>
      <w:rPr>
        <w:rFonts w:hint="default"/>
        <w:lang w:val="ms" w:eastAsia="en-US" w:bidi="ar-SA"/>
      </w:rPr>
    </w:lvl>
    <w:lvl w:ilvl="3">
      <w:start w:val="0"/>
      <w:numFmt w:val="bullet"/>
      <w:lvlText w:val="•"/>
      <w:lvlJc w:val="left"/>
      <w:pPr>
        <w:ind w:left="4542" w:hanging="361"/>
      </w:pPr>
      <w:rPr>
        <w:rFonts w:hint="default"/>
        <w:lang w:val="ms" w:eastAsia="en-US" w:bidi="ar-SA"/>
      </w:rPr>
    </w:lvl>
    <w:lvl w:ilvl="4">
      <w:start w:val="0"/>
      <w:numFmt w:val="bullet"/>
      <w:lvlText w:val="•"/>
      <w:lvlJc w:val="left"/>
      <w:pPr>
        <w:ind w:left="5209" w:hanging="361"/>
      </w:pPr>
      <w:rPr>
        <w:rFonts w:hint="default"/>
        <w:lang w:val="ms" w:eastAsia="en-US" w:bidi="ar-SA"/>
      </w:rPr>
    </w:lvl>
    <w:lvl w:ilvl="5">
      <w:start w:val="0"/>
      <w:numFmt w:val="bullet"/>
      <w:lvlText w:val="•"/>
      <w:lvlJc w:val="left"/>
      <w:pPr>
        <w:ind w:left="5877" w:hanging="361"/>
      </w:pPr>
      <w:rPr>
        <w:rFonts w:hint="default"/>
        <w:lang w:val="ms" w:eastAsia="en-US" w:bidi="ar-SA"/>
      </w:rPr>
    </w:lvl>
    <w:lvl w:ilvl="6">
      <w:start w:val="0"/>
      <w:numFmt w:val="bullet"/>
      <w:lvlText w:val="•"/>
      <w:lvlJc w:val="left"/>
      <w:pPr>
        <w:ind w:left="6544" w:hanging="361"/>
      </w:pPr>
      <w:rPr>
        <w:rFonts w:hint="default"/>
        <w:lang w:val="ms" w:eastAsia="en-US" w:bidi="ar-SA"/>
      </w:rPr>
    </w:lvl>
    <w:lvl w:ilvl="7">
      <w:start w:val="0"/>
      <w:numFmt w:val="bullet"/>
      <w:lvlText w:val="•"/>
      <w:lvlJc w:val="left"/>
      <w:pPr>
        <w:ind w:left="7212" w:hanging="361"/>
      </w:pPr>
      <w:rPr>
        <w:rFonts w:hint="default"/>
        <w:lang w:val="ms" w:eastAsia="en-US" w:bidi="ar-SA"/>
      </w:rPr>
    </w:lvl>
    <w:lvl w:ilvl="8">
      <w:start w:val="0"/>
      <w:numFmt w:val="bullet"/>
      <w:lvlText w:val="•"/>
      <w:lvlJc w:val="left"/>
      <w:pPr>
        <w:ind w:left="7879" w:hanging="361"/>
      </w:pPr>
      <w:rPr>
        <w:rFonts w:hint="default"/>
        <w:lang w:val="ms" w:eastAsia="en-US" w:bidi="ar-SA"/>
      </w:rPr>
    </w:lvl>
  </w:abstractNum>
  <w:abstractNum w:abstractNumId="15">
    <w:multiLevelType w:val="hybridMultilevel"/>
    <w:lvl w:ilvl="0">
      <w:start w:val="1"/>
      <w:numFmt w:val="decimal"/>
      <w:lvlText w:val="%1)"/>
      <w:lvlJc w:val="left"/>
      <w:pPr>
        <w:ind w:left="2544" w:hanging="36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3207" w:hanging="361"/>
      </w:pPr>
      <w:rPr>
        <w:rFonts w:hint="default"/>
        <w:lang w:val="ms" w:eastAsia="en-US" w:bidi="ar-SA"/>
      </w:rPr>
    </w:lvl>
    <w:lvl w:ilvl="2">
      <w:start w:val="0"/>
      <w:numFmt w:val="bullet"/>
      <w:lvlText w:val="•"/>
      <w:lvlJc w:val="left"/>
      <w:pPr>
        <w:ind w:left="3874" w:hanging="361"/>
      </w:pPr>
      <w:rPr>
        <w:rFonts w:hint="default"/>
        <w:lang w:val="ms" w:eastAsia="en-US" w:bidi="ar-SA"/>
      </w:rPr>
    </w:lvl>
    <w:lvl w:ilvl="3">
      <w:start w:val="0"/>
      <w:numFmt w:val="bullet"/>
      <w:lvlText w:val="•"/>
      <w:lvlJc w:val="left"/>
      <w:pPr>
        <w:ind w:left="4542" w:hanging="361"/>
      </w:pPr>
      <w:rPr>
        <w:rFonts w:hint="default"/>
        <w:lang w:val="ms" w:eastAsia="en-US" w:bidi="ar-SA"/>
      </w:rPr>
    </w:lvl>
    <w:lvl w:ilvl="4">
      <w:start w:val="0"/>
      <w:numFmt w:val="bullet"/>
      <w:lvlText w:val="•"/>
      <w:lvlJc w:val="left"/>
      <w:pPr>
        <w:ind w:left="5209" w:hanging="361"/>
      </w:pPr>
      <w:rPr>
        <w:rFonts w:hint="default"/>
        <w:lang w:val="ms" w:eastAsia="en-US" w:bidi="ar-SA"/>
      </w:rPr>
    </w:lvl>
    <w:lvl w:ilvl="5">
      <w:start w:val="0"/>
      <w:numFmt w:val="bullet"/>
      <w:lvlText w:val="•"/>
      <w:lvlJc w:val="left"/>
      <w:pPr>
        <w:ind w:left="5877" w:hanging="361"/>
      </w:pPr>
      <w:rPr>
        <w:rFonts w:hint="default"/>
        <w:lang w:val="ms" w:eastAsia="en-US" w:bidi="ar-SA"/>
      </w:rPr>
    </w:lvl>
    <w:lvl w:ilvl="6">
      <w:start w:val="0"/>
      <w:numFmt w:val="bullet"/>
      <w:lvlText w:val="•"/>
      <w:lvlJc w:val="left"/>
      <w:pPr>
        <w:ind w:left="6544" w:hanging="361"/>
      </w:pPr>
      <w:rPr>
        <w:rFonts w:hint="default"/>
        <w:lang w:val="ms" w:eastAsia="en-US" w:bidi="ar-SA"/>
      </w:rPr>
    </w:lvl>
    <w:lvl w:ilvl="7">
      <w:start w:val="0"/>
      <w:numFmt w:val="bullet"/>
      <w:lvlText w:val="•"/>
      <w:lvlJc w:val="left"/>
      <w:pPr>
        <w:ind w:left="7212" w:hanging="361"/>
      </w:pPr>
      <w:rPr>
        <w:rFonts w:hint="default"/>
        <w:lang w:val="ms" w:eastAsia="en-US" w:bidi="ar-SA"/>
      </w:rPr>
    </w:lvl>
    <w:lvl w:ilvl="8">
      <w:start w:val="0"/>
      <w:numFmt w:val="bullet"/>
      <w:lvlText w:val="•"/>
      <w:lvlJc w:val="left"/>
      <w:pPr>
        <w:ind w:left="7879" w:hanging="361"/>
      </w:pPr>
      <w:rPr>
        <w:rFonts w:hint="default"/>
        <w:lang w:val="ms" w:eastAsia="en-US" w:bidi="ar-SA"/>
      </w:rPr>
    </w:lvl>
  </w:abstractNum>
  <w:abstractNum w:abstractNumId="14">
    <w:multiLevelType w:val="hybridMultilevel"/>
    <w:lvl w:ilvl="0">
      <w:start w:val="1"/>
      <w:numFmt w:val="lowerLetter"/>
      <w:lvlText w:val="%1."/>
      <w:lvlJc w:val="left"/>
      <w:pPr>
        <w:ind w:left="290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1">
      <w:start w:val="0"/>
      <w:numFmt w:val="bullet"/>
      <w:lvlText w:val="•"/>
      <w:lvlJc w:val="left"/>
      <w:pPr>
        <w:ind w:left="3531" w:hanging="360"/>
      </w:pPr>
      <w:rPr>
        <w:rFonts w:hint="default"/>
        <w:lang w:val="ms" w:eastAsia="en-US" w:bidi="ar-SA"/>
      </w:rPr>
    </w:lvl>
    <w:lvl w:ilvl="2">
      <w:start w:val="0"/>
      <w:numFmt w:val="bullet"/>
      <w:lvlText w:val="•"/>
      <w:lvlJc w:val="left"/>
      <w:pPr>
        <w:ind w:left="4162" w:hanging="360"/>
      </w:pPr>
      <w:rPr>
        <w:rFonts w:hint="default"/>
        <w:lang w:val="ms" w:eastAsia="en-US" w:bidi="ar-SA"/>
      </w:rPr>
    </w:lvl>
    <w:lvl w:ilvl="3">
      <w:start w:val="0"/>
      <w:numFmt w:val="bullet"/>
      <w:lvlText w:val="•"/>
      <w:lvlJc w:val="left"/>
      <w:pPr>
        <w:ind w:left="4794" w:hanging="360"/>
      </w:pPr>
      <w:rPr>
        <w:rFonts w:hint="default"/>
        <w:lang w:val="ms" w:eastAsia="en-US" w:bidi="ar-SA"/>
      </w:rPr>
    </w:lvl>
    <w:lvl w:ilvl="4">
      <w:start w:val="0"/>
      <w:numFmt w:val="bullet"/>
      <w:lvlText w:val="•"/>
      <w:lvlJc w:val="left"/>
      <w:pPr>
        <w:ind w:left="5425" w:hanging="360"/>
      </w:pPr>
      <w:rPr>
        <w:rFonts w:hint="default"/>
        <w:lang w:val="ms" w:eastAsia="en-US" w:bidi="ar-SA"/>
      </w:rPr>
    </w:lvl>
    <w:lvl w:ilvl="5">
      <w:start w:val="0"/>
      <w:numFmt w:val="bullet"/>
      <w:lvlText w:val="•"/>
      <w:lvlJc w:val="left"/>
      <w:pPr>
        <w:ind w:left="6057" w:hanging="360"/>
      </w:pPr>
      <w:rPr>
        <w:rFonts w:hint="default"/>
        <w:lang w:val="ms" w:eastAsia="en-US" w:bidi="ar-SA"/>
      </w:rPr>
    </w:lvl>
    <w:lvl w:ilvl="6">
      <w:start w:val="0"/>
      <w:numFmt w:val="bullet"/>
      <w:lvlText w:val="•"/>
      <w:lvlJc w:val="left"/>
      <w:pPr>
        <w:ind w:left="6688" w:hanging="360"/>
      </w:pPr>
      <w:rPr>
        <w:rFonts w:hint="default"/>
        <w:lang w:val="ms" w:eastAsia="en-US" w:bidi="ar-SA"/>
      </w:rPr>
    </w:lvl>
    <w:lvl w:ilvl="7">
      <w:start w:val="0"/>
      <w:numFmt w:val="bullet"/>
      <w:lvlText w:val="•"/>
      <w:lvlJc w:val="left"/>
      <w:pPr>
        <w:ind w:left="7320" w:hanging="360"/>
      </w:pPr>
      <w:rPr>
        <w:rFonts w:hint="default"/>
        <w:lang w:val="ms" w:eastAsia="en-US" w:bidi="ar-SA"/>
      </w:rPr>
    </w:lvl>
    <w:lvl w:ilvl="8">
      <w:start w:val="0"/>
      <w:numFmt w:val="bullet"/>
      <w:lvlText w:val="•"/>
      <w:lvlJc w:val="left"/>
      <w:pPr>
        <w:ind w:left="7951" w:hanging="360"/>
      </w:pPr>
      <w:rPr>
        <w:rFonts w:hint="default"/>
        <w:lang w:val="ms" w:eastAsia="en-US" w:bidi="ar-SA"/>
      </w:rPr>
    </w:lvl>
  </w:abstractNum>
  <w:abstractNum w:abstractNumId="13">
    <w:multiLevelType w:val="hybridMultilevel"/>
    <w:lvl w:ilvl="0">
      <w:start w:val="1"/>
      <w:numFmt w:val="lowerLetter"/>
      <w:lvlText w:val="%1)"/>
      <w:lvlJc w:val="left"/>
      <w:pPr>
        <w:ind w:left="1823"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1">
      <w:start w:val="1"/>
      <w:numFmt w:val="decimal"/>
      <w:lvlText w:val="%2."/>
      <w:lvlJc w:val="left"/>
      <w:pPr>
        <w:ind w:left="2544" w:hanging="36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lowerLetter"/>
      <w:lvlText w:val="%3)"/>
      <w:lvlJc w:val="left"/>
      <w:pPr>
        <w:ind w:left="290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3">
      <w:start w:val="0"/>
      <w:numFmt w:val="bullet"/>
      <w:lvlText w:val="•"/>
      <w:lvlJc w:val="left"/>
      <w:pPr>
        <w:ind w:left="3689" w:hanging="360"/>
      </w:pPr>
      <w:rPr>
        <w:rFonts w:hint="default"/>
        <w:lang w:val="ms" w:eastAsia="en-US" w:bidi="ar-SA"/>
      </w:rPr>
    </w:lvl>
    <w:lvl w:ilvl="4">
      <w:start w:val="0"/>
      <w:numFmt w:val="bullet"/>
      <w:lvlText w:val="•"/>
      <w:lvlJc w:val="left"/>
      <w:pPr>
        <w:ind w:left="4478" w:hanging="360"/>
      </w:pPr>
      <w:rPr>
        <w:rFonts w:hint="default"/>
        <w:lang w:val="ms" w:eastAsia="en-US" w:bidi="ar-SA"/>
      </w:rPr>
    </w:lvl>
    <w:lvl w:ilvl="5">
      <w:start w:val="0"/>
      <w:numFmt w:val="bullet"/>
      <w:lvlText w:val="•"/>
      <w:lvlJc w:val="left"/>
      <w:pPr>
        <w:ind w:left="5267" w:hanging="360"/>
      </w:pPr>
      <w:rPr>
        <w:rFonts w:hint="default"/>
        <w:lang w:val="ms" w:eastAsia="en-US" w:bidi="ar-SA"/>
      </w:rPr>
    </w:lvl>
    <w:lvl w:ilvl="6">
      <w:start w:val="0"/>
      <w:numFmt w:val="bullet"/>
      <w:lvlText w:val="•"/>
      <w:lvlJc w:val="left"/>
      <w:pPr>
        <w:ind w:left="6057" w:hanging="360"/>
      </w:pPr>
      <w:rPr>
        <w:rFonts w:hint="default"/>
        <w:lang w:val="ms" w:eastAsia="en-US" w:bidi="ar-SA"/>
      </w:rPr>
    </w:lvl>
    <w:lvl w:ilvl="7">
      <w:start w:val="0"/>
      <w:numFmt w:val="bullet"/>
      <w:lvlText w:val="•"/>
      <w:lvlJc w:val="left"/>
      <w:pPr>
        <w:ind w:left="6846" w:hanging="360"/>
      </w:pPr>
      <w:rPr>
        <w:rFonts w:hint="default"/>
        <w:lang w:val="ms" w:eastAsia="en-US" w:bidi="ar-SA"/>
      </w:rPr>
    </w:lvl>
    <w:lvl w:ilvl="8">
      <w:start w:val="0"/>
      <w:numFmt w:val="bullet"/>
      <w:lvlText w:val="•"/>
      <w:lvlJc w:val="left"/>
      <w:pPr>
        <w:ind w:left="7635" w:hanging="360"/>
      </w:pPr>
      <w:rPr>
        <w:rFonts w:hint="default"/>
        <w:lang w:val="ms" w:eastAsia="en-US" w:bidi="ar-SA"/>
      </w:rPr>
    </w:lvl>
  </w:abstractNum>
  <w:abstractNum w:abstractNumId="12">
    <w:multiLevelType w:val="hybridMultilevel"/>
    <w:lvl w:ilvl="0">
      <w:start w:val="1"/>
      <w:numFmt w:val="decimal"/>
      <w:lvlText w:val="%1)"/>
      <w:lvlJc w:val="left"/>
      <w:pPr>
        <w:ind w:left="2544" w:hanging="36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lowerLetter"/>
      <w:lvlText w:val="%2."/>
      <w:lvlJc w:val="left"/>
      <w:pPr>
        <w:ind w:left="290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2">
      <w:start w:val="1"/>
      <w:numFmt w:val="lowerRoman"/>
      <w:lvlText w:val="(%3)"/>
      <w:lvlJc w:val="left"/>
      <w:pPr>
        <w:ind w:left="3624" w:hanging="72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start w:val="0"/>
      <w:numFmt w:val="bullet"/>
      <w:lvlText w:val="•"/>
      <w:lvlJc w:val="left"/>
      <w:pPr>
        <w:ind w:left="4319" w:hanging="720"/>
      </w:pPr>
      <w:rPr>
        <w:rFonts w:hint="default"/>
        <w:lang w:val="ms" w:eastAsia="en-US" w:bidi="ar-SA"/>
      </w:rPr>
    </w:lvl>
    <w:lvl w:ilvl="4">
      <w:start w:val="0"/>
      <w:numFmt w:val="bullet"/>
      <w:lvlText w:val="•"/>
      <w:lvlJc w:val="left"/>
      <w:pPr>
        <w:ind w:left="5018" w:hanging="720"/>
      </w:pPr>
      <w:rPr>
        <w:rFonts w:hint="default"/>
        <w:lang w:val="ms" w:eastAsia="en-US" w:bidi="ar-SA"/>
      </w:rPr>
    </w:lvl>
    <w:lvl w:ilvl="5">
      <w:start w:val="0"/>
      <w:numFmt w:val="bullet"/>
      <w:lvlText w:val="•"/>
      <w:lvlJc w:val="left"/>
      <w:pPr>
        <w:ind w:left="5717" w:hanging="720"/>
      </w:pPr>
      <w:rPr>
        <w:rFonts w:hint="default"/>
        <w:lang w:val="ms" w:eastAsia="en-US" w:bidi="ar-SA"/>
      </w:rPr>
    </w:lvl>
    <w:lvl w:ilvl="6">
      <w:start w:val="0"/>
      <w:numFmt w:val="bullet"/>
      <w:lvlText w:val="•"/>
      <w:lvlJc w:val="left"/>
      <w:pPr>
        <w:ind w:left="6417" w:hanging="720"/>
      </w:pPr>
      <w:rPr>
        <w:rFonts w:hint="default"/>
        <w:lang w:val="ms" w:eastAsia="en-US" w:bidi="ar-SA"/>
      </w:rPr>
    </w:lvl>
    <w:lvl w:ilvl="7">
      <w:start w:val="0"/>
      <w:numFmt w:val="bullet"/>
      <w:lvlText w:val="•"/>
      <w:lvlJc w:val="left"/>
      <w:pPr>
        <w:ind w:left="7116" w:hanging="720"/>
      </w:pPr>
      <w:rPr>
        <w:rFonts w:hint="default"/>
        <w:lang w:val="ms" w:eastAsia="en-US" w:bidi="ar-SA"/>
      </w:rPr>
    </w:lvl>
    <w:lvl w:ilvl="8">
      <w:start w:val="0"/>
      <w:numFmt w:val="bullet"/>
      <w:lvlText w:val="•"/>
      <w:lvlJc w:val="left"/>
      <w:pPr>
        <w:ind w:left="7815" w:hanging="720"/>
      </w:pPr>
      <w:rPr>
        <w:rFonts w:hint="default"/>
        <w:lang w:val="ms" w:eastAsia="en-US" w:bidi="ar-SA"/>
      </w:rPr>
    </w:lvl>
  </w:abstractNum>
  <w:abstractNum w:abstractNumId="11">
    <w:multiLevelType w:val="hybridMultilevel"/>
    <w:lvl w:ilvl="0">
      <w:start w:val="2"/>
      <w:numFmt w:val="decimal"/>
      <w:lvlText w:val="%1"/>
      <w:lvlJc w:val="left"/>
      <w:pPr>
        <w:ind w:left="875" w:hanging="360"/>
        <w:jc w:val="left"/>
      </w:pPr>
      <w:rPr>
        <w:rFonts w:hint="default"/>
        <w:lang w:val="ms" w:eastAsia="en-US" w:bidi="ar-SA"/>
      </w:rPr>
    </w:lvl>
    <w:lvl w:ilvl="1">
      <w:start w:val="1"/>
      <w:numFmt w:val="decimal"/>
      <w:lvlText w:val="%1.%2"/>
      <w:lvlJc w:val="left"/>
      <w:pPr>
        <w:ind w:left="875" w:hanging="360"/>
        <w:jc w:val="left"/>
      </w:pPr>
      <w:rPr>
        <w:rFonts w:hint="default" w:ascii="Times New Roman" w:hAnsi="Times New Roman" w:eastAsia="Times New Roman" w:cs="Times New Roman"/>
        <w:b/>
        <w:bCs/>
        <w:i w:val="0"/>
        <w:iCs w:val="0"/>
        <w:spacing w:val="0"/>
        <w:w w:val="100"/>
        <w:sz w:val="24"/>
        <w:szCs w:val="24"/>
        <w:lang w:val="ms" w:eastAsia="en-US" w:bidi="ar-SA"/>
      </w:rPr>
    </w:lvl>
    <w:lvl w:ilvl="2">
      <w:start w:val="1"/>
      <w:numFmt w:val="decimal"/>
      <w:lvlText w:val="%1.%2.%3"/>
      <w:lvlJc w:val="left"/>
      <w:pPr>
        <w:ind w:left="1643" w:hanging="540"/>
        <w:jc w:val="left"/>
      </w:pPr>
      <w:rPr>
        <w:rFonts w:hint="default" w:ascii="Times New Roman" w:hAnsi="Times New Roman" w:eastAsia="Times New Roman" w:cs="Times New Roman"/>
        <w:b/>
        <w:bCs/>
        <w:i w:val="0"/>
        <w:iCs w:val="0"/>
        <w:spacing w:val="0"/>
        <w:w w:val="100"/>
        <w:sz w:val="24"/>
        <w:szCs w:val="24"/>
        <w:lang w:val="ms" w:eastAsia="en-US" w:bidi="ar-SA"/>
      </w:rPr>
    </w:lvl>
    <w:lvl w:ilvl="3">
      <w:start w:val="1"/>
      <w:numFmt w:val="decimal"/>
      <w:lvlText w:val="%4."/>
      <w:lvlJc w:val="left"/>
      <w:pPr>
        <w:ind w:left="2544" w:hanging="36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4">
      <w:start w:val="1"/>
      <w:numFmt w:val="lowerLetter"/>
      <w:lvlText w:val="%5)"/>
      <w:lvlJc w:val="left"/>
      <w:pPr>
        <w:ind w:left="2904"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5">
      <w:start w:val="0"/>
      <w:numFmt w:val="bullet"/>
      <w:lvlText w:val="•"/>
      <w:lvlJc w:val="left"/>
      <w:pPr>
        <w:ind w:left="3620" w:hanging="360"/>
      </w:pPr>
      <w:rPr>
        <w:rFonts w:hint="default"/>
        <w:lang w:val="ms" w:eastAsia="en-US" w:bidi="ar-SA"/>
      </w:rPr>
    </w:lvl>
    <w:lvl w:ilvl="6">
      <w:start w:val="0"/>
      <w:numFmt w:val="bullet"/>
      <w:lvlText w:val="•"/>
      <w:lvlJc w:val="left"/>
      <w:pPr>
        <w:ind w:left="4738" w:hanging="360"/>
      </w:pPr>
      <w:rPr>
        <w:rFonts w:hint="default"/>
        <w:lang w:val="ms" w:eastAsia="en-US" w:bidi="ar-SA"/>
      </w:rPr>
    </w:lvl>
    <w:lvl w:ilvl="7">
      <w:start w:val="0"/>
      <w:numFmt w:val="bullet"/>
      <w:lvlText w:val="•"/>
      <w:lvlJc w:val="left"/>
      <w:pPr>
        <w:ind w:left="5857" w:hanging="360"/>
      </w:pPr>
      <w:rPr>
        <w:rFonts w:hint="default"/>
        <w:lang w:val="ms" w:eastAsia="en-US" w:bidi="ar-SA"/>
      </w:rPr>
    </w:lvl>
    <w:lvl w:ilvl="8">
      <w:start w:val="0"/>
      <w:numFmt w:val="bullet"/>
      <w:lvlText w:val="•"/>
      <w:lvlJc w:val="left"/>
      <w:pPr>
        <w:ind w:left="6976" w:hanging="360"/>
      </w:pPr>
      <w:rPr>
        <w:rFonts w:hint="default"/>
        <w:lang w:val="ms" w:eastAsia="en-US" w:bidi="ar-SA"/>
      </w:rPr>
    </w:lvl>
  </w:abstractNum>
  <w:abstractNum w:abstractNumId="10">
    <w:multiLevelType w:val="hybridMultilevel"/>
    <w:lvl w:ilvl="0">
      <w:start w:val="1"/>
      <w:numFmt w:val="decimal"/>
      <w:lvlText w:val="%1."/>
      <w:lvlJc w:val="left"/>
      <w:pPr>
        <w:ind w:left="1463"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lowerLetter"/>
      <w:lvlText w:val="%2."/>
      <w:lvlJc w:val="left"/>
      <w:pPr>
        <w:ind w:left="1823" w:hanging="360"/>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2">
      <w:start w:val="0"/>
      <w:numFmt w:val="bullet"/>
      <w:lvlText w:val="•"/>
      <w:lvlJc w:val="left"/>
      <w:pPr>
        <w:ind w:left="2641" w:hanging="360"/>
      </w:pPr>
      <w:rPr>
        <w:rFonts w:hint="default"/>
        <w:lang w:val="ms" w:eastAsia="en-US" w:bidi="ar-SA"/>
      </w:rPr>
    </w:lvl>
    <w:lvl w:ilvl="3">
      <w:start w:val="0"/>
      <w:numFmt w:val="bullet"/>
      <w:lvlText w:val="•"/>
      <w:lvlJc w:val="left"/>
      <w:pPr>
        <w:ind w:left="3463" w:hanging="360"/>
      </w:pPr>
      <w:rPr>
        <w:rFonts w:hint="default"/>
        <w:lang w:val="ms" w:eastAsia="en-US" w:bidi="ar-SA"/>
      </w:rPr>
    </w:lvl>
    <w:lvl w:ilvl="4">
      <w:start w:val="0"/>
      <w:numFmt w:val="bullet"/>
      <w:lvlText w:val="•"/>
      <w:lvlJc w:val="left"/>
      <w:pPr>
        <w:ind w:left="4284" w:hanging="360"/>
      </w:pPr>
      <w:rPr>
        <w:rFonts w:hint="default"/>
        <w:lang w:val="ms" w:eastAsia="en-US" w:bidi="ar-SA"/>
      </w:rPr>
    </w:lvl>
    <w:lvl w:ilvl="5">
      <w:start w:val="0"/>
      <w:numFmt w:val="bullet"/>
      <w:lvlText w:val="•"/>
      <w:lvlJc w:val="left"/>
      <w:pPr>
        <w:ind w:left="5106" w:hanging="360"/>
      </w:pPr>
      <w:rPr>
        <w:rFonts w:hint="default"/>
        <w:lang w:val="ms" w:eastAsia="en-US" w:bidi="ar-SA"/>
      </w:rPr>
    </w:lvl>
    <w:lvl w:ilvl="6">
      <w:start w:val="0"/>
      <w:numFmt w:val="bullet"/>
      <w:lvlText w:val="•"/>
      <w:lvlJc w:val="left"/>
      <w:pPr>
        <w:ind w:left="5928" w:hanging="360"/>
      </w:pPr>
      <w:rPr>
        <w:rFonts w:hint="default"/>
        <w:lang w:val="ms" w:eastAsia="en-US" w:bidi="ar-SA"/>
      </w:rPr>
    </w:lvl>
    <w:lvl w:ilvl="7">
      <w:start w:val="0"/>
      <w:numFmt w:val="bullet"/>
      <w:lvlText w:val="•"/>
      <w:lvlJc w:val="left"/>
      <w:pPr>
        <w:ind w:left="6749" w:hanging="360"/>
      </w:pPr>
      <w:rPr>
        <w:rFonts w:hint="default"/>
        <w:lang w:val="ms" w:eastAsia="en-US" w:bidi="ar-SA"/>
      </w:rPr>
    </w:lvl>
    <w:lvl w:ilvl="8">
      <w:start w:val="0"/>
      <w:numFmt w:val="bullet"/>
      <w:lvlText w:val="•"/>
      <w:lvlJc w:val="left"/>
      <w:pPr>
        <w:ind w:left="7571" w:hanging="360"/>
      </w:pPr>
      <w:rPr>
        <w:rFonts w:hint="default"/>
        <w:lang w:val="ms" w:eastAsia="en-US" w:bidi="ar-SA"/>
      </w:rPr>
    </w:lvl>
  </w:abstractNum>
  <w:abstractNum w:abstractNumId="9">
    <w:multiLevelType w:val="hybridMultilevel"/>
    <w:lvl w:ilvl="0">
      <w:start w:val="1"/>
      <w:numFmt w:val="decimal"/>
      <w:lvlText w:val="%1."/>
      <w:lvlJc w:val="left"/>
      <w:pPr>
        <w:ind w:left="1463"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2235" w:hanging="360"/>
      </w:pPr>
      <w:rPr>
        <w:rFonts w:hint="default"/>
        <w:lang w:val="ms" w:eastAsia="en-US" w:bidi="ar-SA"/>
      </w:rPr>
    </w:lvl>
    <w:lvl w:ilvl="2">
      <w:start w:val="0"/>
      <w:numFmt w:val="bullet"/>
      <w:lvlText w:val="•"/>
      <w:lvlJc w:val="left"/>
      <w:pPr>
        <w:ind w:left="3010" w:hanging="360"/>
      </w:pPr>
      <w:rPr>
        <w:rFonts w:hint="default"/>
        <w:lang w:val="ms" w:eastAsia="en-US" w:bidi="ar-SA"/>
      </w:rPr>
    </w:lvl>
    <w:lvl w:ilvl="3">
      <w:start w:val="0"/>
      <w:numFmt w:val="bullet"/>
      <w:lvlText w:val="•"/>
      <w:lvlJc w:val="left"/>
      <w:pPr>
        <w:ind w:left="3786" w:hanging="360"/>
      </w:pPr>
      <w:rPr>
        <w:rFonts w:hint="default"/>
        <w:lang w:val="ms" w:eastAsia="en-US" w:bidi="ar-SA"/>
      </w:rPr>
    </w:lvl>
    <w:lvl w:ilvl="4">
      <w:start w:val="0"/>
      <w:numFmt w:val="bullet"/>
      <w:lvlText w:val="•"/>
      <w:lvlJc w:val="left"/>
      <w:pPr>
        <w:ind w:left="4561" w:hanging="360"/>
      </w:pPr>
      <w:rPr>
        <w:rFonts w:hint="default"/>
        <w:lang w:val="ms" w:eastAsia="en-US" w:bidi="ar-SA"/>
      </w:rPr>
    </w:lvl>
    <w:lvl w:ilvl="5">
      <w:start w:val="0"/>
      <w:numFmt w:val="bullet"/>
      <w:lvlText w:val="•"/>
      <w:lvlJc w:val="left"/>
      <w:pPr>
        <w:ind w:left="5337" w:hanging="360"/>
      </w:pPr>
      <w:rPr>
        <w:rFonts w:hint="default"/>
        <w:lang w:val="ms" w:eastAsia="en-US" w:bidi="ar-SA"/>
      </w:rPr>
    </w:lvl>
    <w:lvl w:ilvl="6">
      <w:start w:val="0"/>
      <w:numFmt w:val="bullet"/>
      <w:lvlText w:val="•"/>
      <w:lvlJc w:val="left"/>
      <w:pPr>
        <w:ind w:left="6112" w:hanging="360"/>
      </w:pPr>
      <w:rPr>
        <w:rFonts w:hint="default"/>
        <w:lang w:val="ms" w:eastAsia="en-US" w:bidi="ar-SA"/>
      </w:rPr>
    </w:lvl>
    <w:lvl w:ilvl="7">
      <w:start w:val="0"/>
      <w:numFmt w:val="bullet"/>
      <w:lvlText w:val="•"/>
      <w:lvlJc w:val="left"/>
      <w:pPr>
        <w:ind w:left="6888" w:hanging="360"/>
      </w:pPr>
      <w:rPr>
        <w:rFonts w:hint="default"/>
        <w:lang w:val="ms" w:eastAsia="en-US" w:bidi="ar-SA"/>
      </w:rPr>
    </w:lvl>
    <w:lvl w:ilvl="8">
      <w:start w:val="0"/>
      <w:numFmt w:val="bullet"/>
      <w:lvlText w:val="•"/>
      <w:lvlJc w:val="left"/>
      <w:pPr>
        <w:ind w:left="7663" w:hanging="360"/>
      </w:pPr>
      <w:rPr>
        <w:rFonts w:hint="default"/>
        <w:lang w:val="ms" w:eastAsia="en-US" w:bidi="ar-SA"/>
      </w:rPr>
    </w:lvl>
  </w:abstractNum>
  <w:abstractNum w:abstractNumId="8">
    <w:multiLevelType w:val="hybridMultilevel"/>
    <w:lvl w:ilvl="0">
      <w:start w:val="1"/>
      <w:numFmt w:val="decimal"/>
      <w:lvlText w:val="%1."/>
      <w:lvlJc w:val="left"/>
      <w:pPr>
        <w:ind w:left="743"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1587" w:hanging="360"/>
      </w:pPr>
      <w:rPr>
        <w:rFonts w:hint="default"/>
        <w:lang w:val="ms" w:eastAsia="en-US" w:bidi="ar-SA"/>
      </w:rPr>
    </w:lvl>
    <w:lvl w:ilvl="2">
      <w:start w:val="0"/>
      <w:numFmt w:val="bullet"/>
      <w:lvlText w:val="•"/>
      <w:lvlJc w:val="left"/>
      <w:pPr>
        <w:ind w:left="2434" w:hanging="360"/>
      </w:pPr>
      <w:rPr>
        <w:rFonts w:hint="default"/>
        <w:lang w:val="ms" w:eastAsia="en-US" w:bidi="ar-SA"/>
      </w:rPr>
    </w:lvl>
    <w:lvl w:ilvl="3">
      <w:start w:val="0"/>
      <w:numFmt w:val="bullet"/>
      <w:lvlText w:val="•"/>
      <w:lvlJc w:val="left"/>
      <w:pPr>
        <w:ind w:left="3282" w:hanging="360"/>
      </w:pPr>
      <w:rPr>
        <w:rFonts w:hint="default"/>
        <w:lang w:val="ms" w:eastAsia="en-US" w:bidi="ar-SA"/>
      </w:rPr>
    </w:lvl>
    <w:lvl w:ilvl="4">
      <w:start w:val="0"/>
      <w:numFmt w:val="bullet"/>
      <w:lvlText w:val="•"/>
      <w:lvlJc w:val="left"/>
      <w:pPr>
        <w:ind w:left="4129" w:hanging="360"/>
      </w:pPr>
      <w:rPr>
        <w:rFonts w:hint="default"/>
        <w:lang w:val="ms" w:eastAsia="en-US" w:bidi="ar-SA"/>
      </w:rPr>
    </w:lvl>
    <w:lvl w:ilvl="5">
      <w:start w:val="0"/>
      <w:numFmt w:val="bullet"/>
      <w:lvlText w:val="•"/>
      <w:lvlJc w:val="left"/>
      <w:pPr>
        <w:ind w:left="4977" w:hanging="360"/>
      </w:pPr>
      <w:rPr>
        <w:rFonts w:hint="default"/>
        <w:lang w:val="ms" w:eastAsia="en-US" w:bidi="ar-SA"/>
      </w:rPr>
    </w:lvl>
    <w:lvl w:ilvl="6">
      <w:start w:val="0"/>
      <w:numFmt w:val="bullet"/>
      <w:lvlText w:val="•"/>
      <w:lvlJc w:val="left"/>
      <w:pPr>
        <w:ind w:left="5824" w:hanging="360"/>
      </w:pPr>
      <w:rPr>
        <w:rFonts w:hint="default"/>
        <w:lang w:val="ms" w:eastAsia="en-US" w:bidi="ar-SA"/>
      </w:rPr>
    </w:lvl>
    <w:lvl w:ilvl="7">
      <w:start w:val="0"/>
      <w:numFmt w:val="bullet"/>
      <w:lvlText w:val="•"/>
      <w:lvlJc w:val="left"/>
      <w:pPr>
        <w:ind w:left="6672" w:hanging="360"/>
      </w:pPr>
      <w:rPr>
        <w:rFonts w:hint="default"/>
        <w:lang w:val="ms" w:eastAsia="en-US" w:bidi="ar-SA"/>
      </w:rPr>
    </w:lvl>
    <w:lvl w:ilvl="8">
      <w:start w:val="0"/>
      <w:numFmt w:val="bullet"/>
      <w:lvlText w:val="•"/>
      <w:lvlJc w:val="left"/>
      <w:pPr>
        <w:ind w:left="7519" w:hanging="360"/>
      </w:pPr>
      <w:rPr>
        <w:rFonts w:hint="default"/>
        <w:lang w:val="ms" w:eastAsia="en-US" w:bidi="ar-SA"/>
      </w:rPr>
    </w:lvl>
  </w:abstractNum>
  <w:abstractNum w:abstractNumId="7">
    <w:multiLevelType w:val="hybridMultilevel"/>
    <w:lvl w:ilvl="0">
      <w:start w:val="1"/>
      <w:numFmt w:val="decimal"/>
      <w:lvlText w:val="%1"/>
      <w:lvlJc w:val="left"/>
      <w:pPr>
        <w:ind w:left="383" w:hanging="360"/>
        <w:jc w:val="left"/>
      </w:pPr>
      <w:rPr>
        <w:rFonts w:hint="default"/>
        <w:lang w:val="ms" w:eastAsia="en-US" w:bidi="ar-SA"/>
      </w:rPr>
    </w:lvl>
    <w:lvl w:ilvl="1">
      <w:start w:val="1"/>
      <w:numFmt w:val="decimal"/>
      <w:lvlText w:val="%1.%2"/>
      <w:lvlJc w:val="left"/>
      <w:pPr>
        <w:ind w:left="383" w:hanging="360"/>
        <w:jc w:val="left"/>
      </w:pPr>
      <w:rPr>
        <w:rFonts w:hint="default" w:ascii="Times New Roman" w:hAnsi="Times New Roman" w:eastAsia="Times New Roman" w:cs="Times New Roman"/>
        <w:b/>
        <w:bCs/>
        <w:i w:val="0"/>
        <w:iCs w:val="0"/>
        <w:spacing w:val="0"/>
        <w:w w:val="100"/>
        <w:sz w:val="24"/>
        <w:szCs w:val="24"/>
        <w:lang w:val="ms" w:eastAsia="en-US" w:bidi="ar-SA"/>
      </w:rPr>
    </w:lvl>
    <w:lvl w:ilvl="2">
      <w:start w:val="1"/>
      <w:numFmt w:val="decimal"/>
      <w:lvlText w:val="%1.%2.%3"/>
      <w:lvlJc w:val="left"/>
      <w:pPr>
        <w:ind w:left="1103" w:hanging="720"/>
        <w:jc w:val="left"/>
      </w:pPr>
      <w:rPr>
        <w:rFonts w:hint="default" w:ascii="Times New Roman" w:hAnsi="Times New Roman" w:eastAsia="Times New Roman" w:cs="Times New Roman"/>
        <w:b/>
        <w:bCs/>
        <w:i w:val="0"/>
        <w:iCs w:val="0"/>
        <w:spacing w:val="0"/>
        <w:w w:val="100"/>
        <w:sz w:val="24"/>
        <w:szCs w:val="24"/>
        <w:lang w:val="ms" w:eastAsia="en-US" w:bidi="ar-SA"/>
      </w:rPr>
    </w:lvl>
    <w:lvl w:ilvl="3">
      <w:start w:val="0"/>
      <w:numFmt w:val="bullet"/>
      <w:lvlText w:val="•"/>
      <w:lvlJc w:val="left"/>
      <w:pPr>
        <w:ind w:left="2903" w:hanging="720"/>
      </w:pPr>
      <w:rPr>
        <w:rFonts w:hint="default"/>
        <w:lang w:val="ms" w:eastAsia="en-US" w:bidi="ar-SA"/>
      </w:rPr>
    </w:lvl>
    <w:lvl w:ilvl="4">
      <w:start w:val="0"/>
      <w:numFmt w:val="bullet"/>
      <w:lvlText w:val="•"/>
      <w:lvlJc w:val="left"/>
      <w:pPr>
        <w:ind w:left="3804" w:hanging="720"/>
      </w:pPr>
      <w:rPr>
        <w:rFonts w:hint="default"/>
        <w:lang w:val="ms" w:eastAsia="en-US" w:bidi="ar-SA"/>
      </w:rPr>
    </w:lvl>
    <w:lvl w:ilvl="5">
      <w:start w:val="0"/>
      <w:numFmt w:val="bullet"/>
      <w:lvlText w:val="•"/>
      <w:lvlJc w:val="left"/>
      <w:pPr>
        <w:ind w:left="4706" w:hanging="720"/>
      </w:pPr>
      <w:rPr>
        <w:rFonts w:hint="default"/>
        <w:lang w:val="ms" w:eastAsia="en-US" w:bidi="ar-SA"/>
      </w:rPr>
    </w:lvl>
    <w:lvl w:ilvl="6">
      <w:start w:val="0"/>
      <w:numFmt w:val="bullet"/>
      <w:lvlText w:val="•"/>
      <w:lvlJc w:val="left"/>
      <w:pPr>
        <w:ind w:left="5608" w:hanging="720"/>
      </w:pPr>
      <w:rPr>
        <w:rFonts w:hint="default"/>
        <w:lang w:val="ms" w:eastAsia="en-US" w:bidi="ar-SA"/>
      </w:rPr>
    </w:lvl>
    <w:lvl w:ilvl="7">
      <w:start w:val="0"/>
      <w:numFmt w:val="bullet"/>
      <w:lvlText w:val="•"/>
      <w:lvlJc w:val="left"/>
      <w:pPr>
        <w:ind w:left="6509" w:hanging="720"/>
      </w:pPr>
      <w:rPr>
        <w:rFonts w:hint="default"/>
        <w:lang w:val="ms" w:eastAsia="en-US" w:bidi="ar-SA"/>
      </w:rPr>
    </w:lvl>
    <w:lvl w:ilvl="8">
      <w:start w:val="0"/>
      <w:numFmt w:val="bullet"/>
      <w:lvlText w:val="•"/>
      <w:lvlJc w:val="left"/>
      <w:pPr>
        <w:ind w:left="7411" w:hanging="720"/>
      </w:pPr>
      <w:rPr>
        <w:rFonts w:hint="default"/>
        <w:lang w:val="ms" w:eastAsia="en-US" w:bidi="ar-SA"/>
      </w:rPr>
    </w:lvl>
  </w:abstractNum>
  <w:abstractNum w:abstractNumId="6">
    <w:multiLevelType w:val="hybridMultilevel"/>
    <w:lvl w:ilvl="0">
      <w:start w:val="5"/>
      <w:numFmt w:val="decimal"/>
      <w:lvlText w:val="%1"/>
      <w:lvlJc w:val="left"/>
      <w:pPr>
        <w:ind w:left="983" w:hanging="740"/>
        <w:jc w:val="left"/>
      </w:pPr>
      <w:rPr>
        <w:rFonts w:hint="default"/>
        <w:lang w:val="ms" w:eastAsia="en-US" w:bidi="ar-SA"/>
      </w:rPr>
    </w:lvl>
    <w:lvl w:ilvl="1">
      <w:start w:val="1"/>
      <w:numFmt w:val="decimal"/>
      <w:lvlText w:val="%1.%2"/>
      <w:lvlJc w:val="left"/>
      <w:pPr>
        <w:ind w:left="983" w:hanging="7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0"/>
      <w:numFmt w:val="bullet"/>
      <w:lvlText w:val="•"/>
      <w:lvlJc w:val="left"/>
      <w:pPr>
        <w:ind w:left="2626" w:hanging="740"/>
      </w:pPr>
      <w:rPr>
        <w:rFonts w:hint="default"/>
        <w:lang w:val="ms" w:eastAsia="en-US" w:bidi="ar-SA"/>
      </w:rPr>
    </w:lvl>
    <w:lvl w:ilvl="3">
      <w:start w:val="0"/>
      <w:numFmt w:val="bullet"/>
      <w:lvlText w:val="•"/>
      <w:lvlJc w:val="left"/>
      <w:pPr>
        <w:ind w:left="3450" w:hanging="740"/>
      </w:pPr>
      <w:rPr>
        <w:rFonts w:hint="default"/>
        <w:lang w:val="ms" w:eastAsia="en-US" w:bidi="ar-SA"/>
      </w:rPr>
    </w:lvl>
    <w:lvl w:ilvl="4">
      <w:start w:val="0"/>
      <w:numFmt w:val="bullet"/>
      <w:lvlText w:val="•"/>
      <w:lvlJc w:val="left"/>
      <w:pPr>
        <w:ind w:left="4273" w:hanging="740"/>
      </w:pPr>
      <w:rPr>
        <w:rFonts w:hint="default"/>
        <w:lang w:val="ms" w:eastAsia="en-US" w:bidi="ar-SA"/>
      </w:rPr>
    </w:lvl>
    <w:lvl w:ilvl="5">
      <w:start w:val="0"/>
      <w:numFmt w:val="bullet"/>
      <w:lvlText w:val="•"/>
      <w:lvlJc w:val="left"/>
      <w:pPr>
        <w:ind w:left="5097" w:hanging="740"/>
      </w:pPr>
      <w:rPr>
        <w:rFonts w:hint="default"/>
        <w:lang w:val="ms" w:eastAsia="en-US" w:bidi="ar-SA"/>
      </w:rPr>
    </w:lvl>
    <w:lvl w:ilvl="6">
      <w:start w:val="0"/>
      <w:numFmt w:val="bullet"/>
      <w:lvlText w:val="•"/>
      <w:lvlJc w:val="left"/>
      <w:pPr>
        <w:ind w:left="5920" w:hanging="740"/>
      </w:pPr>
      <w:rPr>
        <w:rFonts w:hint="default"/>
        <w:lang w:val="ms" w:eastAsia="en-US" w:bidi="ar-SA"/>
      </w:rPr>
    </w:lvl>
    <w:lvl w:ilvl="7">
      <w:start w:val="0"/>
      <w:numFmt w:val="bullet"/>
      <w:lvlText w:val="•"/>
      <w:lvlJc w:val="left"/>
      <w:pPr>
        <w:ind w:left="6744" w:hanging="740"/>
      </w:pPr>
      <w:rPr>
        <w:rFonts w:hint="default"/>
        <w:lang w:val="ms" w:eastAsia="en-US" w:bidi="ar-SA"/>
      </w:rPr>
    </w:lvl>
    <w:lvl w:ilvl="8">
      <w:start w:val="0"/>
      <w:numFmt w:val="bullet"/>
      <w:lvlText w:val="•"/>
      <w:lvlJc w:val="left"/>
      <w:pPr>
        <w:ind w:left="7567" w:hanging="740"/>
      </w:pPr>
      <w:rPr>
        <w:rFonts w:hint="default"/>
        <w:lang w:val="ms" w:eastAsia="en-US" w:bidi="ar-SA"/>
      </w:rPr>
    </w:lvl>
  </w:abstractNum>
  <w:abstractNum w:abstractNumId="5">
    <w:multiLevelType w:val="hybridMultilevel"/>
    <w:lvl w:ilvl="0">
      <w:start w:val="4"/>
      <w:numFmt w:val="decimal"/>
      <w:lvlText w:val="%1"/>
      <w:lvlJc w:val="left"/>
      <w:pPr>
        <w:ind w:left="983" w:hanging="740"/>
        <w:jc w:val="left"/>
      </w:pPr>
      <w:rPr>
        <w:rFonts w:hint="default"/>
        <w:lang w:val="ms" w:eastAsia="en-US" w:bidi="ar-SA"/>
      </w:rPr>
    </w:lvl>
    <w:lvl w:ilvl="1">
      <w:start w:val="1"/>
      <w:numFmt w:val="decimal"/>
      <w:lvlText w:val="%1.%2"/>
      <w:lvlJc w:val="left"/>
      <w:pPr>
        <w:ind w:left="983" w:hanging="7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decimal"/>
      <w:lvlText w:val="%1.%2.%3"/>
      <w:lvlJc w:val="left"/>
      <w:pPr>
        <w:ind w:left="1463" w:hanging="100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start w:val="0"/>
      <w:numFmt w:val="bullet"/>
      <w:lvlText w:val="•"/>
      <w:lvlJc w:val="left"/>
      <w:pPr>
        <w:ind w:left="2429" w:hanging="1001"/>
      </w:pPr>
      <w:rPr>
        <w:rFonts w:hint="default"/>
        <w:lang w:val="ms" w:eastAsia="en-US" w:bidi="ar-SA"/>
      </w:rPr>
    </w:lvl>
    <w:lvl w:ilvl="4">
      <w:start w:val="0"/>
      <w:numFmt w:val="bullet"/>
      <w:lvlText w:val="•"/>
      <w:lvlJc w:val="left"/>
      <w:pPr>
        <w:ind w:left="3398" w:hanging="1001"/>
      </w:pPr>
      <w:rPr>
        <w:rFonts w:hint="default"/>
        <w:lang w:val="ms" w:eastAsia="en-US" w:bidi="ar-SA"/>
      </w:rPr>
    </w:lvl>
    <w:lvl w:ilvl="5">
      <w:start w:val="0"/>
      <w:numFmt w:val="bullet"/>
      <w:lvlText w:val="•"/>
      <w:lvlJc w:val="left"/>
      <w:pPr>
        <w:ind w:left="4367" w:hanging="1001"/>
      </w:pPr>
      <w:rPr>
        <w:rFonts w:hint="default"/>
        <w:lang w:val="ms" w:eastAsia="en-US" w:bidi="ar-SA"/>
      </w:rPr>
    </w:lvl>
    <w:lvl w:ilvl="6">
      <w:start w:val="0"/>
      <w:numFmt w:val="bullet"/>
      <w:lvlText w:val="•"/>
      <w:lvlJc w:val="left"/>
      <w:pPr>
        <w:ind w:left="5337" w:hanging="1001"/>
      </w:pPr>
      <w:rPr>
        <w:rFonts w:hint="default"/>
        <w:lang w:val="ms" w:eastAsia="en-US" w:bidi="ar-SA"/>
      </w:rPr>
    </w:lvl>
    <w:lvl w:ilvl="7">
      <w:start w:val="0"/>
      <w:numFmt w:val="bullet"/>
      <w:lvlText w:val="•"/>
      <w:lvlJc w:val="left"/>
      <w:pPr>
        <w:ind w:left="6306" w:hanging="1001"/>
      </w:pPr>
      <w:rPr>
        <w:rFonts w:hint="default"/>
        <w:lang w:val="ms" w:eastAsia="en-US" w:bidi="ar-SA"/>
      </w:rPr>
    </w:lvl>
    <w:lvl w:ilvl="8">
      <w:start w:val="0"/>
      <w:numFmt w:val="bullet"/>
      <w:lvlText w:val="•"/>
      <w:lvlJc w:val="left"/>
      <w:pPr>
        <w:ind w:left="7275" w:hanging="1001"/>
      </w:pPr>
      <w:rPr>
        <w:rFonts w:hint="default"/>
        <w:lang w:val="ms" w:eastAsia="en-US" w:bidi="ar-SA"/>
      </w:rPr>
    </w:lvl>
  </w:abstractNum>
  <w:abstractNum w:abstractNumId="4">
    <w:multiLevelType w:val="hybridMultilevel"/>
    <w:lvl w:ilvl="0">
      <w:start w:val="3"/>
      <w:numFmt w:val="decimal"/>
      <w:lvlText w:val="%1"/>
      <w:lvlJc w:val="left"/>
      <w:pPr>
        <w:ind w:left="983" w:hanging="740"/>
        <w:jc w:val="left"/>
      </w:pPr>
      <w:rPr>
        <w:rFonts w:hint="default"/>
        <w:lang w:val="ms" w:eastAsia="en-US" w:bidi="ar-SA"/>
      </w:rPr>
    </w:lvl>
    <w:lvl w:ilvl="1">
      <w:start w:val="1"/>
      <w:numFmt w:val="decimal"/>
      <w:lvlText w:val="%1.%2"/>
      <w:lvlJc w:val="left"/>
      <w:pPr>
        <w:ind w:left="983" w:hanging="7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decimal"/>
      <w:lvlText w:val="%1.%2.%3"/>
      <w:lvlJc w:val="left"/>
      <w:pPr>
        <w:ind w:left="1463" w:hanging="100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start w:val="0"/>
      <w:numFmt w:val="bullet"/>
      <w:lvlText w:val="•"/>
      <w:lvlJc w:val="left"/>
      <w:pPr>
        <w:ind w:left="3183" w:hanging="1001"/>
      </w:pPr>
      <w:rPr>
        <w:rFonts w:hint="default"/>
        <w:lang w:val="ms" w:eastAsia="en-US" w:bidi="ar-SA"/>
      </w:rPr>
    </w:lvl>
    <w:lvl w:ilvl="4">
      <w:start w:val="0"/>
      <w:numFmt w:val="bullet"/>
      <w:lvlText w:val="•"/>
      <w:lvlJc w:val="left"/>
      <w:pPr>
        <w:ind w:left="4044" w:hanging="1001"/>
      </w:pPr>
      <w:rPr>
        <w:rFonts w:hint="default"/>
        <w:lang w:val="ms" w:eastAsia="en-US" w:bidi="ar-SA"/>
      </w:rPr>
    </w:lvl>
    <w:lvl w:ilvl="5">
      <w:start w:val="0"/>
      <w:numFmt w:val="bullet"/>
      <w:lvlText w:val="•"/>
      <w:lvlJc w:val="left"/>
      <w:pPr>
        <w:ind w:left="4906" w:hanging="1001"/>
      </w:pPr>
      <w:rPr>
        <w:rFonts w:hint="default"/>
        <w:lang w:val="ms" w:eastAsia="en-US" w:bidi="ar-SA"/>
      </w:rPr>
    </w:lvl>
    <w:lvl w:ilvl="6">
      <w:start w:val="0"/>
      <w:numFmt w:val="bullet"/>
      <w:lvlText w:val="•"/>
      <w:lvlJc w:val="left"/>
      <w:pPr>
        <w:ind w:left="5768" w:hanging="1001"/>
      </w:pPr>
      <w:rPr>
        <w:rFonts w:hint="default"/>
        <w:lang w:val="ms" w:eastAsia="en-US" w:bidi="ar-SA"/>
      </w:rPr>
    </w:lvl>
    <w:lvl w:ilvl="7">
      <w:start w:val="0"/>
      <w:numFmt w:val="bullet"/>
      <w:lvlText w:val="•"/>
      <w:lvlJc w:val="left"/>
      <w:pPr>
        <w:ind w:left="6629" w:hanging="1001"/>
      </w:pPr>
      <w:rPr>
        <w:rFonts w:hint="default"/>
        <w:lang w:val="ms" w:eastAsia="en-US" w:bidi="ar-SA"/>
      </w:rPr>
    </w:lvl>
    <w:lvl w:ilvl="8">
      <w:start w:val="0"/>
      <w:numFmt w:val="bullet"/>
      <w:lvlText w:val="•"/>
      <w:lvlJc w:val="left"/>
      <w:pPr>
        <w:ind w:left="7491" w:hanging="1001"/>
      </w:pPr>
      <w:rPr>
        <w:rFonts w:hint="default"/>
        <w:lang w:val="ms" w:eastAsia="en-US" w:bidi="ar-SA"/>
      </w:rPr>
    </w:lvl>
  </w:abstractNum>
  <w:abstractNum w:abstractNumId="3">
    <w:multiLevelType w:val="hybridMultilevel"/>
    <w:lvl w:ilvl="0">
      <w:start w:val="2"/>
      <w:numFmt w:val="decimal"/>
      <w:lvlText w:val="%1"/>
      <w:lvlJc w:val="left"/>
      <w:pPr>
        <w:ind w:left="983" w:hanging="740"/>
        <w:jc w:val="left"/>
      </w:pPr>
      <w:rPr>
        <w:rFonts w:hint="default"/>
        <w:lang w:val="ms" w:eastAsia="en-US" w:bidi="ar-SA"/>
      </w:rPr>
    </w:lvl>
    <w:lvl w:ilvl="1">
      <w:start w:val="1"/>
      <w:numFmt w:val="decimal"/>
      <w:lvlText w:val="%1.%2"/>
      <w:lvlJc w:val="left"/>
      <w:pPr>
        <w:ind w:left="983" w:hanging="7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decimal"/>
      <w:lvlText w:val="%1.%2.%3"/>
      <w:lvlJc w:val="left"/>
      <w:pPr>
        <w:ind w:left="1463" w:hanging="100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start w:val="0"/>
      <w:numFmt w:val="bullet"/>
      <w:lvlText w:val="•"/>
      <w:lvlJc w:val="left"/>
      <w:pPr>
        <w:ind w:left="2429" w:hanging="1001"/>
      </w:pPr>
      <w:rPr>
        <w:rFonts w:hint="default"/>
        <w:lang w:val="ms" w:eastAsia="en-US" w:bidi="ar-SA"/>
      </w:rPr>
    </w:lvl>
    <w:lvl w:ilvl="4">
      <w:start w:val="0"/>
      <w:numFmt w:val="bullet"/>
      <w:lvlText w:val="•"/>
      <w:lvlJc w:val="left"/>
      <w:pPr>
        <w:ind w:left="3398" w:hanging="1001"/>
      </w:pPr>
      <w:rPr>
        <w:rFonts w:hint="default"/>
        <w:lang w:val="ms" w:eastAsia="en-US" w:bidi="ar-SA"/>
      </w:rPr>
    </w:lvl>
    <w:lvl w:ilvl="5">
      <w:start w:val="0"/>
      <w:numFmt w:val="bullet"/>
      <w:lvlText w:val="•"/>
      <w:lvlJc w:val="left"/>
      <w:pPr>
        <w:ind w:left="4367" w:hanging="1001"/>
      </w:pPr>
      <w:rPr>
        <w:rFonts w:hint="default"/>
        <w:lang w:val="ms" w:eastAsia="en-US" w:bidi="ar-SA"/>
      </w:rPr>
    </w:lvl>
    <w:lvl w:ilvl="6">
      <w:start w:val="0"/>
      <w:numFmt w:val="bullet"/>
      <w:lvlText w:val="•"/>
      <w:lvlJc w:val="left"/>
      <w:pPr>
        <w:ind w:left="5337" w:hanging="1001"/>
      </w:pPr>
      <w:rPr>
        <w:rFonts w:hint="default"/>
        <w:lang w:val="ms" w:eastAsia="en-US" w:bidi="ar-SA"/>
      </w:rPr>
    </w:lvl>
    <w:lvl w:ilvl="7">
      <w:start w:val="0"/>
      <w:numFmt w:val="bullet"/>
      <w:lvlText w:val="•"/>
      <w:lvlJc w:val="left"/>
      <w:pPr>
        <w:ind w:left="6306" w:hanging="1001"/>
      </w:pPr>
      <w:rPr>
        <w:rFonts w:hint="default"/>
        <w:lang w:val="ms" w:eastAsia="en-US" w:bidi="ar-SA"/>
      </w:rPr>
    </w:lvl>
    <w:lvl w:ilvl="8">
      <w:start w:val="0"/>
      <w:numFmt w:val="bullet"/>
      <w:lvlText w:val="•"/>
      <w:lvlJc w:val="left"/>
      <w:pPr>
        <w:ind w:left="7275" w:hanging="1001"/>
      </w:pPr>
      <w:rPr>
        <w:rFonts w:hint="default"/>
        <w:lang w:val="ms" w:eastAsia="en-US" w:bidi="ar-SA"/>
      </w:rPr>
    </w:lvl>
  </w:abstractNum>
  <w:abstractNum w:abstractNumId="2">
    <w:multiLevelType w:val="hybridMultilevel"/>
    <w:lvl w:ilvl="0">
      <w:start w:val="1"/>
      <w:numFmt w:val="decimal"/>
      <w:lvlText w:val="%1"/>
      <w:lvlJc w:val="left"/>
      <w:pPr>
        <w:ind w:left="983" w:hanging="740"/>
        <w:jc w:val="left"/>
      </w:pPr>
      <w:rPr>
        <w:rFonts w:hint="default"/>
        <w:lang w:val="ms" w:eastAsia="en-US" w:bidi="ar-SA"/>
      </w:rPr>
    </w:lvl>
    <w:lvl w:ilvl="1">
      <w:start w:val="1"/>
      <w:numFmt w:val="decimal"/>
      <w:lvlText w:val="%1.%2"/>
      <w:lvlJc w:val="left"/>
      <w:pPr>
        <w:ind w:left="983" w:hanging="7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decimal"/>
      <w:lvlText w:val="%1.%2.%3"/>
      <w:lvlJc w:val="left"/>
      <w:pPr>
        <w:ind w:left="1463" w:hanging="1001"/>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start w:val="0"/>
      <w:numFmt w:val="bullet"/>
      <w:lvlText w:val="•"/>
      <w:lvlJc w:val="left"/>
      <w:pPr>
        <w:ind w:left="3183" w:hanging="1001"/>
      </w:pPr>
      <w:rPr>
        <w:rFonts w:hint="default"/>
        <w:lang w:val="ms" w:eastAsia="en-US" w:bidi="ar-SA"/>
      </w:rPr>
    </w:lvl>
    <w:lvl w:ilvl="4">
      <w:start w:val="0"/>
      <w:numFmt w:val="bullet"/>
      <w:lvlText w:val="•"/>
      <w:lvlJc w:val="left"/>
      <w:pPr>
        <w:ind w:left="4044" w:hanging="1001"/>
      </w:pPr>
      <w:rPr>
        <w:rFonts w:hint="default"/>
        <w:lang w:val="ms" w:eastAsia="en-US" w:bidi="ar-SA"/>
      </w:rPr>
    </w:lvl>
    <w:lvl w:ilvl="5">
      <w:start w:val="0"/>
      <w:numFmt w:val="bullet"/>
      <w:lvlText w:val="•"/>
      <w:lvlJc w:val="left"/>
      <w:pPr>
        <w:ind w:left="4906" w:hanging="1001"/>
      </w:pPr>
      <w:rPr>
        <w:rFonts w:hint="default"/>
        <w:lang w:val="ms" w:eastAsia="en-US" w:bidi="ar-SA"/>
      </w:rPr>
    </w:lvl>
    <w:lvl w:ilvl="6">
      <w:start w:val="0"/>
      <w:numFmt w:val="bullet"/>
      <w:lvlText w:val="•"/>
      <w:lvlJc w:val="left"/>
      <w:pPr>
        <w:ind w:left="5768" w:hanging="1001"/>
      </w:pPr>
      <w:rPr>
        <w:rFonts w:hint="default"/>
        <w:lang w:val="ms" w:eastAsia="en-US" w:bidi="ar-SA"/>
      </w:rPr>
    </w:lvl>
    <w:lvl w:ilvl="7">
      <w:start w:val="0"/>
      <w:numFmt w:val="bullet"/>
      <w:lvlText w:val="•"/>
      <w:lvlJc w:val="left"/>
      <w:pPr>
        <w:ind w:left="6629" w:hanging="1001"/>
      </w:pPr>
      <w:rPr>
        <w:rFonts w:hint="default"/>
        <w:lang w:val="ms" w:eastAsia="en-US" w:bidi="ar-SA"/>
      </w:rPr>
    </w:lvl>
    <w:lvl w:ilvl="8">
      <w:start w:val="0"/>
      <w:numFmt w:val="bullet"/>
      <w:lvlText w:val="•"/>
      <w:lvlJc w:val="left"/>
      <w:pPr>
        <w:ind w:left="7491" w:hanging="1001"/>
      </w:pPr>
      <w:rPr>
        <w:rFonts w:hint="default"/>
        <w:lang w:val="ms" w:eastAsia="en-US" w:bidi="ar-SA"/>
      </w:rPr>
    </w:lvl>
  </w:abstractNum>
  <w:abstractNum w:abstractNumId="1">
    <w:multiLevelType w:val="hybridMultilevel"/>
    <w:lvl w:ilvl="0">
      <w:start w:val="1"/>
      <w:numFmt w:val="decimal"/>
      <w:lvlText w:val="%1."/>
      <w:lvlJc w:val="left"/>
      <w:pPr>
        <w:ind w:left="743"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1587" w:hanging="360"/>
      </w:pPr>
      <w:rPr>
        <w:rFonts w:hint="default"/>
        <w:lang w:val="ms" w:eastAsia="en-US" w:bidi="ar-SA"/>
      </w:rPr>
    </w:lvl>
    <w:lvl w:ilvl="2">
      <w:start w:val="0"/>
      <w:numFmt w:val="bullet"/>
      <w:lvlText w:val="•"/>
      <w:lvlJc w:val="left"/>
      <w:pPr>
        <w:ind w:left="2434" w:hanging="360"/>
      </w:pPr>
      <w:rPr>
        <w:rFonts w:hint="default"/>
        <w:lang w:val="ms" w:eastAsia="en-US" w:bidi="ar-SA"/>
      </w:rPr>
    </w:lvl>
    <w:lvl w:ilvl="3">
      <w:start w:val="0"/>
      <w:numFmt w:val="bullet"/>
      <w:lvlText w:val="•"/>
      <w:lvlJc w:val="left"/>
      <w:pPr>
        <w:ind w:left="3282" w:hanging="360"/>
      </w:pPr>
      <w:rPr>
        <w:rFonts w:hint="default"/>
        <w:lang w:val="ms" w:eastAsia="en-US" w:bidi="ar-SA"/>
      </w:rPr>
    </w:lvl>
    <w:lvl w:ilvl="4">
      <w:start w:val="0"/>
      <w:numFmt w:val="bullet"/>
      <w:lvlText w:val="•"/>
      <w:lvlJc w:val="left"/>
      <w:pPr>
        <w:ind w:left="4129" w:hanging="360"/>
      </w:pPr>
      <w:rPr>
        <w:rFonts w:hint="default"/>
        <w:lang w:val="ms" w:eastAsia="en-US" w:bidi="ar-SA"/>
      </w:rPr>
    </w:lvl>
    <w:lvl w:ilvl="5">
      <w:start w:val="0"/>
      <w:numFmt w:val="bullet"/>
      <w:lvlText w:val="•"/>
      <w:lvlJc w:val="left"/>
      <w:pPr>
        <w:ind w:left="4977" w:hanging="360"/>
      </w:pPr>
      <w:rPr>
        <w:rFonts w:hint="default"/>
        <w:lang w:val="ms" w:eastAsia="en-US" w:bidi="ar-SA"/>
      </w:rPr>
    </w:lvl>
    <w:lvl w:ilvl="6">
      <w:start w:val="0"/>
      <w:numFmt w:val="bullet"/>
      <w:lvlText w:val="•"/>
      <w:lvlJc w:val="left"/>
      <w:pPr>
        <w:ind w:left="5824" w:hanging="360"/>
      </w:pPr>
      <w:rPr>
        <w:rFonts w:hint="default"/>
        <w:lang w:val="ms" w:eastAsia="en-US" w:bidi="ar-SA"/>
      </w:rPr>
    </w:lvl>
    <w:lvl w:ilvl="7">
      <w:start w:val="0"/>
      <w:numFmt w:val="bullet"/>
      <w:lvlText w:val="•"/>
      <w:lvlJc w:val="left"/>
      <w:pPr>
        <w:ind w:left="6672" w:hanging="360"/>
      </w:pPr>
      <w:rPr>
        <w:rFonts w:hint="default"/>
        <w:lang w:val="ms" w:eastAsia="en-US" w:bidi="ar-SA"/>
      </w:rPr>
    </w:lvl>
    <w:lvl w:ilvl="8">
      <w:start w:val="0"/>
      <w:numFmt w:val="bullet"/>
      <w:lvlText w:val="•"/>
      <w:lvlJc w:val="left"/>
      <w:pPr>
        <w:ind w:left="7519" w:hanging="360"/>
      </w:pPr>
      <w:rPr>
        <w:rFonts w:hint="default"/>
        <w:lang w:val="ms" w:eastAsia="en-US" w:bidi="ar-SA"/>
      </w:rPr>
    </w:lvl>
  </w:abstractNum>
  <w:abstractNum w:abstractNumId="0">
    <w:multiLevelType w:val="hybridMultilevel"/>
    <w:lvl w:ilvl="0">
      <w:start w:val="1"/>
      <w:numFmt w:val="decimal"/>
      <w:lvlText w:val="%1."/>
      <w:lvlJc w:val="left"/>
      <w:pPr>
        <w:ind w:left="875" w:hanging="425"/>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lowerLetter"/>
      <w:lvlText w:val="%2."/>
      <w:lvlJc w:val="left"/>
      <w:pPr>
        <w:ind w:left="1300" w:hanging="425"/>
        <w:jc w:val="left"/>
      </w:pPr>
      <w:rPr>
        <w:rFonts w:hint="default" w:ascii="Times New Roman" w:hAnsi="Times New Roman" w:eastAsia="Times New Roman" w:cs="Times New Roman"/>
        <w:b w:val="0"/>
        <w:bCs w:val="0"/>
        <w:i w:val="0"/>
        <w:iCs w:val="0"/>
        <w:spacing w:val="-1"/>
        <w:w w:val="100"/>
        <w:sz w:val="24"/>
        <w:szCs w:val="24"/>
        <w:lang w:val="ms" w:eastAsia="en-US" w:bidi="ar-SA"/>
      </w:rPr>
    </w:lvl>
    <w:lvl w:ilvl="2">
      <w:start w:val="0"/>
      <w:numFmt w:val="bullet"/>
      <w:lvlText w:val="•"/>
      <w:lvlJc w:val="left"/>
      <w:pPr>
        <w:ind w:left="2179" w:hanging="425"/>
      </w:pPr>
      <w:rPr>
        <w:rFonts w:hint="default"/>
        <w:lang w:val="ms" w:eastAsia="en-US" w:bidi="ar-SA"/>
      </w:rPr>
    </w:lvl>
    <w:lvl w:ilvl="3">
      <w:start w:val="0"/>
      <w:numFmt w:val="bullet"/>
      <w:lvlText w:val="•"/>
      <w:lvlJc w:val="left"/>
      <w:pPr>
        <w:ind w:left="3058" w:hanging="425"/>
      </w:pPr>
      <w:rPr>
        <w:rFonts w:hint="default"/>
        <w:lang w:val="ms" w:eastAsia="en-US" w:bidi="ar-SA"/>
      </w:rPr>
    </w:lvl>
    <w:lvl w:ilvl="4">
      <w:start w:val="0"/>
      <w:numFmt w:val="bullet"/>
      <w:lvlText w:val="•"/>
      <w:lvlJc w:val="left"/>
      <w:pPr>
        <w:ind w:left="3938" w:hanging="425"/>
      </w:pPr>
      <w:rPr>
        <w:rFonts w:hint="default"/>
        <w:lang w:val="ms" w:eastAsia="en-US" w:bidi="ar-SA"/>
      </w:rPr>
    </w:lvl>
    <w:lvl w:ilvl="5">
      <w:start w:val="0"/>
      <w:numFmt w:val="bullet"/>
      <w:lvlText w:val="•"/>
      <w:lvlJc w:val="left"/>
      <w:pPr>
        <w:ind w:left="4817" w:hanging="425"/>
      </w:pPr>
      <w:rPr>
        <w:rFonts w:hint="default"/>
        <w:lang w:val="ms" w:eastAsia="en-US" w:bidi="ar-SA"/>
      </w:rPr>
    </w:lvl>
    <w:lvl w:ilvl="6">
      <w:start w:val="0"/>
      <w:numFmt w:val="bullet"/>
      <w:lvlText w:val="•"/>
      <w:lvlJc w:val="left"/>
      <w:pPr>
        <w:ind w:left="5696" w:hanging="425"/>
      </w:pPr>
      <w:rPr>
        <w:rFonts w:hint="default"/>
        <w:lang w:val="ms" w:eastAsia="en-US" w:bidi="ar-SA"/>
      </w:rPr>
    </w:lvl>
    <w:lvl w:ilvl="7">
      <w:start w:val="0"/>
      <w:numFmt w:val="bullet"/>
      <w:lvlText w:val="•"/>
      <w:lvlJc w:val="left"/>
      <w:pPr>
        <w:ind w:left="6576" w:hanging="425"/>
      </w:pPr>
      <w:rPr>
        <w:rFonts w:hint="default"/>
        <w:lang w:val="ms" w:eastAsia="en-US" w:bidi="ar-SA"/>
      </w:rPr>
    </w:lvl>
    <w:lvl w:ilvl="8">
      <w:start w:val="0"/>
      <w:numFmt w:val="bullet"/>
      <w:lvlText w:val="•"/>
      <w:lvlJc w:val="left"/>
      <w:pPr>
        <w:ind w:left="7455" w:hanging="425"/>
      </w:pPr>
      <w:rPr>
        <w:rFonts w:hint="default"/>
        <w:lang w:val="ms"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ms" w:eastAsia="en-US" w:bidi="ar-SA"/>
    </w:rPr>
  </w:style>
  <w:style w:styleId="TOC1" w:type="paragraph">
    <w:name w:val="TOC 1"/>
    <w:basedOn w:val="Normal"/>
    <w:uiPriority w:val="1"/>
    <w:qFormat/>
    <w:pPr>
      <w:spacing w:before="122"/>
      <w:ind w:left="23"/>
    </w:pPr>
    <w:rPr>
      <w:rFonts w:ascii="Times New Roman" w:hAnsi="Times New Roman" w:eastAsia="Times New Roman" w:cs="Times New Roman"/>
      <w:sz w:val="24"/>
      <w:szCs w:val="24"/>
      <w:lang w:val="ms" w:eastAsia="en-US" w:bidi="ar-SA"/>
    </w:rPr>
  </w:style>
  <w:style w:styleId="TOC2" w:type="paragraph">
    <w:name w:val="TOC 2"/>
    <w:basedOn w:val="Normal"/>
    <w:uiPriority w:val="1"/>
    <w:qFormat/>
    <w:pPr>
      <w:spacing w:before="122"/>
      <w:ind w:left="23"/>
    </w:pPr>
    <w:rPr>
      <w:rFonts w:ascii="Times New Roman" w:hAnsi="Times New Roman" w:eastAsia="Times New Roman" w:cs="Times New Roman"/>
      <w:sz w:val="24"/>
      <w:szCs w:val="24"/>
      <w:lang w:val="ms" w:eastAsia="en-US" w:bidi="ar-SA"/>
    </w:rPr>
  </w:style>
  <w:style w:styleId="TOC3" w:type="paragraph">
    <w:name w:val="TOC 3"/>
    <w:basedOn w:val="Normal"/>
    <w:uiPriority w:val="1"/>
    <w:qFormat/>
    <w:pPr>
      <w:spacing w:before="123"/>
      <w:ind w:left="23"/>
    </w:pPr>
    <w:rPr>
      <w:rFonts w:ascii="Times New Roman" w:hAnsi="Times New Roman" w:eastAsia="Times New Roman" w:cs="Times New Roman"/>
      <w:i/>
      <w:iCs/>
      <w:sz w:val="24"/>
      <w:szCs w:val="24"/>
      <w:lang w:val="ms" w:eastAsia="en-US" w:bidi="ar-SA"/>
    </w:rPr>
  </w:style>
  <w:style w:styleId="TOC4" w:type="paragraph">
    <w:name w:val="TOC 4"/>
    <w:basedOn w:val="Normal"/>
    <w:uiPriority w:val="1"/>
    <w:qFormat/>
    <w:pPr>
      <w:spacing w:before="122"/>
      <w:ind w:left="983" w:hanging="739"/>
    </w:pPr>
    <w:rPr>
      <w:rFonts w:ascii="Times New Roman" w:hAnsi="Times New Roman" w:eastAsia="Times New Roman" w:cs="Times New Roman"/>
      <w:sz w:val="24"/>
      <w:szCs w:val="24"/>
      <w:lang w:val="ms" w:eastAsia="en-US" w:bidi="ar-SA"/>
    </w:rPr>
  </w:style>
  <w:style w:styleId="TOC5" w:type="paragraph">
    <w:name w:val="TOC 5"/>
    <w:basedOn w:val="Normal"/>
    <w:uiPriority w:val="1"/>
    <w:qFormat/>
    <w:pPr>
      <w:spacing w:before="122"/>
      <w:ind w:left="1463" w:hanging="1001"/>
    </w:pPr>
    <w:rPr>
      <w:rFonts w:ascii="Times New Roman" w:hAnsi="Times New Roman" w:eastAsia="Times New Roman" w:cs="Times New Roman"/>
      <w:sz w:val="24"/>
      <w:szCs w:val="24"/>
      <w:lang w:val="ms" w:eastAsia="en-US" w:bidi="ar-SA"/>
    </w:rPr>
  </w:style>
  <w:style w:styleId="TOC6" w:type="paragraph">
    <w:name w:val="TOC 6"/>
    <w:basedOn w:val="Normal"/>
    <w:uiPriority w:val="1"/>
    <w:qFormat/>
    <w:pPr>
      <w:spacing w:before="120"/>
      <w:ind w:left="1463" w:hanging="1001"/>
    </w:pPr>
    <w:rPr>
      <w:rFonts w:ascii="Times New Roman" w:hAnsi="Times New Roman" w:eastAsia="Times New Roman" w:cs="Times New Roman"/>
      <w:b/>
      <w:bCs/>
      <w:i/>
      <w:iCs/>
      <w:lang w:val="m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ms" w:eastAsia="en-US" w:bidi="ar-SA"/>
    </w:rPr>
  </w:style>
  <w:style w:styleId="Heading1" w:type="paragraph">
    <w:name w:val="Heading 1"/>
    <w:basedOn w:val="Normal"/>
    <w:uiPriority w:val="1"/>
    <w:qFormat/>
    <w:pPr>
      <w:spacing w:before="60"/>
      <w:ind w:left="1581" w:right="1721"/>
      <w:jc w:val="center"/>
      <w:outlineLvl w:val="1"/>
    </w:pPr>
    <w:rPr>
      <w:rFonts w:ascii="Times New Roman" w:hAnsi="Times New Roman" w:eastAsia="Times New Roman" w:cs="Times New Roman"/>
      <w:b/>
      <w:bCs/>
      <w:sz w:val="24"/>
      <w:szCs w:val="24"/>
      <w:lang w:val="ms" w:eastAsia="en-US" w:bidi="ar-SA"/>
    </w:rPr>
  </w:style>
  <w:style w:styleId="Heading2" w:type="paragraph">
    <w:name w:val="Heading 2"/>
    <w:basedOn w:val="Normal"/>
    <w:uiPriority w:val="1"/>
    <w:qFormat/>
    <w:pPr>
      <w:ind w:left="1463"/>
      <w:jc w:val="both"/>
      <w:outlineLvl w:val="2"/>
    </w:pPr>
    <w:rPr>
      <w:rFonts w:ascii="Times New Roman" w:hAnsi="Times New Roman" w:eastAsia="Times New Roman" w:cs="Times New Roman"/>
      <w:b/>
      <w:bCs/>
      <w:sz w:val="24"/>
      <w:szCs w:val="24"/>
      <w:lang w:val="ms" w:eastAsia="en-US" w:bidi="ar-SA"/>
    </w:rPr>
  </w:style>
  <w:style w:styleId="ListParagraph" w:type="paragraph">
    <w:name w:val="List Paragraph"/>
    <w:basedOn w:val="Normal"/>
    <w:uiPriority w:val="1"/>
    <w:qFormat/>
    <w:pPr>
      <w:ind w:left="1463" w:hanging="360"/>
      <w:jc w:val="both"/>
    </w:pPr>
    <w:rPr>
      <w:rFonts w:ascii="Times New Roman" w:hAnsi="Times New Roman" w:eastAsia="Times New Roman" w:cs="Times New Roman"/>
      <w:lang w:val="ms" w:eastAsia="en-US" w:bidi="ar-SA"/>
    </w:rPr>
  </w:style>
  <w:style w:styleId="TableParagraph" w:type="paragraph">
    <w:name w:val="Table Paragraph"/>
    <w:basedOn w:val="Normal"/>
    <w:uiPriority w:val="1"/>
    <w:qFormat/>
    <w:pPr>
      <w:spacing w:before="23" w:line="257" w:lineRule="exact"/>
      <w:ind w:left="107"/>
    </w:pPr>
    <w:rPr>
      <w:rFonts w:ascii="Times New Roman" w:hAnsi="Times New Roman" w:eastAsia="Times New Roman" w:cs="Times New Roman"/>
      <w:lang w:val="m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oter" Target="footer2.xml"/><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hyperlink" Target="http://penajournal.com/index.php/PENANOMICS/article/view/151" TargetMode="External"/><Relationship Id="rId14" Type="http://schemas.openxmlformats.org/officeDocument/2006/relationships/hyperlink" Target="http://ojs.pnb.ac.id/index.php/JBK" TargetMode="External"/><Relationship Id="rId15" Type="http://schemas.openxmlformats.org/officeDocument/2006/relationships/hyperlink" Target="http://www.ojk.go.id/" TargetMode="External"/><Relationship Id="rId16" Type="http://schemas.openxmlformats.org/officeDocument/2006/relationships/hyperlink" Target="http://www.idx.go.id/" TargetMode="External"/><Relationship Id="rId17" Type="http://schemas.openxmlformats.org/officeDocument/2006/relationships/hyperlink" Target="http://jurnal.um/" TargetMode="External"/><Relationship Id="rId18" Type="http://schemas.openxmlformats.org/officeDocument/2006/relationships/hyperlink" Target="http://www.idx.co.id/" TargetMode="External"/><Relationship Id="rId19" Type="http://schemas.openxmlformats.org/officeDocument/2006/relationships/hyperlink" Target="http://www.bi.go.id/" TargetMode="External"/><Relationship Id="rId20" Type="http://schemas.openxmlformats.org/officeDocument/2006/relationships/hyperlink" Target="http://www.bps.go.id/" TargetMode="External"/><Relationship Id="rId21" Type="http://schemas.openxmlformats.org/officeDocument/2006/relationships/hyperlink" Target="http://ejurnalmalahayati.ac.id/index.php/kreativitas/article/view/3511/pdf" TargetMode="External"/><Relationship Id="rId22" Type="http://schemas.openxmlformats.org/officeDocument/2006/relationships/hyperlink" Target="http://scioteca.caf.com/bitstream/handle/123456789/1091/RED2017-Eng-" TargetMode="External"/><Relationship Id="rId23" Type="http://schemas.openxmlformats.org/officeDocument/2006/relationships/hyperlink" Target="http://dx.doi.org/10.1016/j.regsciurbeco.2008" TargetMode="External"/><Relationship Id="rId24" Type="http://schemas.openxmlformats.org/officeDocument/2006/relationships/hyperlink" Target="http://www.researchgate.net/publication/305320484_SISTEM_PEMBETU" TargetMode="External"/><Relationship Id="rId25" Type="http://schemas.openxmlformats.org/officeDocument/2006/relationships/hyperlink" Target="http://jurnal.um-palembang.ac.id/motivasi/article/view/713" TargetMode="External"/><Relationship Id="rId26" Type="http://schemas.openxmlformats.org/officeDocument/2006/relationships/hyperlink" Target="mailto:adahiday@gmail.com" TargetMode="External"/><Relationship Id="rId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patiitklinik48</dc:creator>
  <dcterms:created xsi:type="dcterms:W3CDTF">2025-07-15T04:34:07Z</dcterms:created>
  <dcterms:modified xsi:type="dcterms:W3CDTF">2025-07-15T04:34:07Z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2025-07-11T00:00:00Z</vt:filetime>
  </property>
  <property fmtid="{D5CDD505-2E9C-101B-9397-08002B2CF9AE}" pid="3" name="Creator">
    <vt:lpwstr>Microsoft® Word for Microsoft 365</vt:lpwstr>
  </property>
  <property fmtid="{D5CDD505-2E9C-101B-9397-08002B2CF9AE}" pid="4" name="LastSaved">
    <vt:filetime>2025-07-15T00:00:00Z</vt:filetime>
  </property>
  <property fmtid="{D5CDD505-2E9C-101B-9397-08002B2CF9AE}" pid="5" name="Producer">
    <vt:lpwstr>Microsoft® Word for Microsoft 365</vt:lpwstr>
  </property>
</Properties>
</file>